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538060" w14:textId="77777777" w:rsidR="00CC3DDD" w:rsidRDefault="00CC3DDD" w:rsidP="00CC3DDD">
      <w:pPr>
        <w:contextualSpacing/>
        <w:jc w:val="center"/>
        <w:rPr>
          <w:rFonts w:ascii="Garamond" w:hAnsi="Garamond"/>
          <w:b/>
        </w:rPr>
      </w:pPr>
      <w:r>
        <w:rPr>
          <w:rFonts w:ascii="Garamond" w:hAnsi="Garamond"/>
          <w:b/>
        </w:rPr>
        <w:t>Longer schooling but not better off? A quasi-experimental study of the effect of compulsory schooling on biomarkers in France</w:t>
      </w:r>
    </w:p>
    <w:p w14:paraId="57708C3C" w14:textId="77777777" w:rsidR="00CC3DDD" w:rsidRPr="00515E78" w:rsidRDefault="00CC3DDD" w:rsidP="00CC3DDD">
      <w:pPr>
        <w:contextualSpacing/>
        <w:rPr>
          <w:rFonts w:ascii="Garamond" w:hAnsi="Garamond"/>
          <w:b/>
        </w:rPr>
      </w:pPr>
    </w:p>
    <w:p w14:paraId="13C0BDD4" w14:textId="77777777" w:rsidR="00CC3DDD" w:rsidRPr="00B87E6A" w:rsidRDefault="00CC3DDD" w:rsidP="00CC3DDD">
      <w:pPr>
        <w:rPr>
          <w:rFonts w:ascii="Garamond" w:hAnsi="Garamond"/>
        </w:rPr>
      </w:pPr>
      <w:r w:rsidRPr="00B87E6A">
        <w:rPr>
          <w:rFonts w:ascii="Garamond" w:hAnsi="Garamond"/>
        </w:rPr>
        <w:t xml:space="preserve">Emilie </w:t>
      </w:r>
      <w:proofErr w:type="spellStart"/>
      <w:r w:rsidRPr="00B87E6A">
        <w:rPr>
          <w:rFonts w:ascii="Garamond" w:hAnsi="Garamond"/>
        </w:rPr>
        <w:t>Courtin</w:t>
      </w:r>
      <w:r>
        <w:rPr>
          <w:rFonts w:ascii="Garamond" w:hAnsi="Garamond"/>
          <w:vertAlign w:val="superscript"/>
        </w:rPr>
        <w:t>a</w:t>
      </w:r>
      <w:proofErr w:type="spellEnd"/>
      <w:r w:rsidRPr="00B87E6A">
        <w:rPr>
          <w:rFonts w:ascii="Garamond" w:hAnsi="Garamond"/>
        </w:rPr>
        <w:t xml:space="preserve">, </w:t>
      </w:r>
      <w:proofErr w:type="spellStart"/>
      <w:r w:rsidRPr="00B87E6A">
        <w:rPr>
          <w:rFonts w:ascii="Garamond" w:hAnsi="Garamond"/>
        </w:rPr>
        <w:t>Vahe</w:t>
      </w:r>
      <w:proofErr w:type="spellEnd"/>
      <w:r w:rsidRPr="00B87E6A">
        <w:rPr>
          <w:rFonts w:ascii="Garamond" w:hAnsi="Garamond"/>
        </w:rPr>
        <w:t xml:space="preserve"> </w:t>
      </w:r>
      <w:proofErr w:type="spellStart"/>
      <w:r w:rsidRPr="00B87E6A">
        <w:rPr>
          <w:rFonts w:ascii="Garamond" w:hAnsi="Garamond"/>
        </w:rPr>
        <w:t>Nafilyan</w:t>
      </w:r>
      <w:r>
        <w:rPr>
          <w:rFonts w:ascii="Garamond" w:hAnsi="Garamond"/>
          <w:vertAlign w:val="superscript"/>
        </w:rPr>
        <w:t>b</w:t>
      </w:r>
      <w:proofErr w:type="spellEnd"/>
      <w:r w:rsidRPr="00B87E6A">
        <w:rPr>
          <w:rFonts w:ascii="Garamond" w:hAnsi="Garamond"/>
        </w:rPr>
        <w:t xml:space="preserve">, Mauricio </w:t>
      </w:r>
      <w:proofErr w:type="spellStart"/>
      <w:proofErr w:type="gramStart"/>
      <w:r w:rsidRPr="00B87E6A">
        <w:rPr>
          <w:rFonts w:ascii="Garamond" w:hAnsi="Garamond"/>
        </w:rPr>
        <w:t>Avendano</w:t>
      </w:r>
      <w:r>
        <w:rPr>
          <w:rFonts w:ascii="Garamond" w:hAnsi="Garamond"/>
          <w:vertAlign w:val="superscript"/>
        </w:rPr>
        <w:t>c</w:t>
      </w:r>
      <w:r w:rsidRPr="00B87E6A">
        <w:rPr>
          <w:rFonts w:ascii="Garamond" w:hAnsi="Garamond"/>
          <w:vertAlign w:val="superscript"/>
        </w:rPr>
        <w:t>,</w:t>
      </w:r>
      <w:r>
        <w:rPr>
          <w:rFonts w:ascii="Garamond" w:hAnsi="Garamond"/>
          <w:vertAlign w:val="superscript"/>
        </w:rPr>
        <w:t>d</w:t>
      </w:r>
      <w:proofErr w:type="spellEnd"/>
      <w:proofErr w:type="gramEnd"/>
      <w:r w:rsidRPr="00B87E6A">
        <w:rPr>
          <w:rFonts w:ascii="Garamond" w:hAnsi="Garamond"/>
        </w:rPr>
        <w:t xml:space="preserve">, </w:t>
      </w:r>
      <w:r w:rsidRPr="008D3F18">
        <w:rPr>
          <w:rFonts w:ascii="Garamond" w:hAnsi="Garamond"/>
        </w:rPr>
        <w:t xml:space="preserve">Pierre </w:t>
      </w:r>
      <w:proofErr w:type="spellStart"/>
      <w:r w:rsidRPr="008D3F18">
        <w:rPr>
          <w:rFonts w:ascii="Garamond" w:hAnsi="Garamond"/>
        </w:rPr>
        <w:t>Meneton</w:t>
      </w:r>
      <w:r>
        <w:rPr>
          <w:rFonts w:ascii="Garamond" w:hAnsi="Garamond"/>
          <w:vertAlign w:val="superscript"/>
        </w:rPr>
        <w:t>e</w:t>
      </w:r>
      <w:proofErr w:type="spellEnd"/>
      <w:r w:rsidRPr="00B87E6A">
        <w:rPr>
          <w:rFonts w:ascii="Garamond" w:hAnsi="Garamond"/>
        </w:rPr>
        <w:t xml:space="preserve">, Lisa </w:t>
      </w:r>
      <w:proofErr w:type="spellStart"/>
      <w:r w:rsidRPr="00B87E6A">
        <w:rPr>
          <w:rFonts w:ascii="Garamond" w:hAnsi="Garamond"/>
        </w:rPr>
        <w:t>Berkman</w:t>
      </w:r>
      <w:r>
        <w:rPr>
          <w:rFonts w:ascii="Garamond" w:hAnsi="Garamond"/>
          <w:vertAlign w:val="superscript"/>
        </w:rPr>
        <w:t>a</w:t>
      </w:r>
      <w:proofErr w:type="spellEnd"/>
      <w:r w:rsidRPr="00B87E6A">
        <w:rPr>
          <w:rFonts w:ascii="Garamond" w:hAnsi="Garamond"/>
        </w:rPr>
        <w:t xml:space="preserve">, Marcel </w:t>
      </w:r>
      <w:proofErr w:type="spellStart"/>
      <w:r w:rsidRPr="00B87E6A">
        <w:rPr>
          <w:rFonts w:ascii="Garamond" w:hAnsi="Garamond"/>
        </w:rPr>
        <w:t>Goldberg</w:t>
      </w:r>
      <w:r>
        <w:rPr>
          <w:rFonts w:ascii="Garamond" w:hAnsi="Garamond"/>
          <w:vertAlign w:val="superscript"/>
        </w:rPr>
        <w:t>f,g</w:t>
      </w:r>
      <w:proofErr w:type="spellEnd"/>
      <w:r w:rsidRPr="00B87E6A">
        <w:rPr>
          <w:rFonts w:ascii="Garamond" w:hAnsi="Garamond"/>
        </w:rPr>
        <w:t xml:space="preserve">, Marie </w:t>
      </w:r>
      <w:proofErr w:type="spellStart"/>
      <w:r w:rsidRPr="00B87E6A">
        <w:rPr>
          <w:rFonts w:ascii="Garamond" w:hAnsi="Garamond"/>
        </w:rPr>
        <w:t>Zins</w:t>
      </w:r>
      <w:r>
        <w:rPr>
          <w:rFonts w:ascii="Garamond" w:hAnsi="Garamond"/>
          <w:vertAlign w:val="superscript"/>
        </w:rPr>
        <w:t>f,g</w:t>
      </w:r>
      <w:proofErr w:type="spellEnd"/>
      <w:r w:rsidRPr="00B87E6A">
        <w:rPr>
          <w:rFonts w:ascii="Garamond" w:hAnsi="Garamond"/>
        </w:rPr>
        <w:t xml:space="preserve">, </w:t>
      </w:r>
      <w:r w:rsidRPr="008D3F18">
        <w:rPr>
          <w:rFonts w:ascii="Garamond" w:hAnsi="Garamond"/>
        </w:rPr>
        <w:t xml:space="preserve">Jennifer B. </w:t>
      </w:r>
      <w:proofErr w:type="spellStart"/>
      <w:r w:rsidRPr="008D3F18">
        <w:rPr>
          <w:rFonts w:ascii="Garamond" w:hAnsi="Garamond"/>
        </w:rPr>
        <w:t>Dowd</w:t>
      </w:r>
      <w:r>
        <w:rPr>
          <w:rFonts w:ascii="Garamond" w:hAnsi="Garamond"/>
          <w:vertAlign w:val="superscript"/>
        </w:rPr>
        <w:t>c,h</w:t>
      </w:r>
      <w:proofErr w:type="spellEnd"/>
    </w:p>
    <w:p w14:paraId="643F344C" w14:textId="77777777" w:rsidR="00CC3DDD" w:rsidRDefault="00CC3DDD" w:rsidP="00CC3DDD">
      <w:pPr>
        <w:rPr>
          <w:rFonts w:ascii="Garamond" w:hAnsi="Garamond"/>
          <w:b/>
        </w:rPr>
      </w:pPr>
    </w:p>
    <w:p w14:paraId="67C62FFB" w14:textId="77777777" w:rsidR="00CC3DDD" w:rsidRDefault="00CC3DDD" w:rsidP="00CC3DDD">
      <w:pPr>
        <w:rPr>
          <w:rFonts w:ascii="Garamond" w:hAnsi="Garamond"/>
          <w:b/>
        </w:rPr>
      </w:pPr>
      <w:r>
        <w:rPr>
          <w:rFonts w:ascii="Garamond" w:hAnsi="Garamond"/>
          <w:b/>
        </w:rPr>
        <w:t>Corresponding author:</w:t>
      </w:r>
    </w:p>
    <w:p w14:paraId="392BB15C" w14:textId="77777777" w:rsidR="00CC3DDD" w:rsidRDefault="00CC3DDD" w:rsidP="00CC3DDD">
      <w:pPr>
        <w:rPr>
          <w:rFonts w:ascii="Garamond" w:eastAsia="Times New Roman" w:hAnsi="Garamond"/>
          <w:color w:val="000000"/>
          <w:shd w:val="clear" w:color="auto" w:fill="FFFFFF"/>
        </w:rPr>
      </w:pPr>
      <w:r w:rsidRPr="00A074E2">
        <w:rPr>
          <w:rFonts w:ascii="Garamond" w:eastAsia="Times New Roman" w:hAnsi="Garamond"/>
          <w:color w:val="000000"/>
          <w:shd w:val="clear" w:color="auto" w:fill="FFFFFF"/>
        </w:rPr>
        <w:t>Harvard Center for Popu</w:t>
      </w:r>
      <w:r>
        <w:rPr>
          <w:rFonts w:ascii="Garamond" w:eastAsia="Times New Roman" w:hAnsi="Garamond"/>
          <w:color w:val="000000"/>
          <w:shd w:val="clear" w:color="auto" w:fill="FFFFFF"/>
        </w:rPr>
        <w:t>lation and Development Studies</w:t>
      </w:r>
    </w:p>
    <w:p w14:paraId="5C3FF5F4" w14:textId="77777777" w:rsidR="00CC3DDD" w:rsidRPr="00A074E2" w:rsidRDefault="00CC3DDD" w:rsidP="00CC3DDD">
      <w:pPr>
        <w:rPr>
          <w:rFonts w:ascii="Garamond" w:eastAsia="Times New Roman" w:hAnsi="Garamond"/>
          <w:color w:val="000000"/>
          <w:shd w:val="clear" w:color="auto" w:fill="FFFFFF"/>
        </w:rPr>
      </w:pPr>
      <w:r w:rsidRPr="00A074E2">
        <w:rPr>
          <w:rFonts w:ascii="Garamond" w:eastAsia="Times New Roman" w:hAnsi="Garamond"/>
          <w:color w:val="000000"/>
          <w:shd w:val="clear" w:color="auto" w:fill="FFFFFF"/>
        </w:rPr>
        <w:t xml:space="preserve">Harvard </w:t>
      </w:r>
      <w:r>
        <w:rPr>
          <w:rFonts w:ascii="Garamond" w:eastAsia="Times New Roman" w:hAnsi="Garamond"/>
          <w:color w:val="000000"/>
          <w:shd w:val="clear" w:color="auto" w:fill="FFFFFF"/>
        </w:rPr>
        <w:t xml:space="preserve">T H Chan </w:t>
      </w:r>
      <w:r w:rsidRPr="00A074E2">
        <w:rPr>
          <w:rFonts w:ascii="Garamond" w:eastAsia="Times New Roman" w:hAnsi="Garamond"/>
          <w:color w:val="000000"/>
          <w:shd w:val="clear" w:color="auto" w:fill="FFFFFF"/>
        </w:rPr>
        <w:t xml:space="preserve">School of Public Health </w:t>
      </w:r>
    </w:p>
    <w:p w14:paraId="1CCB822F" w14:textId="77777777" w:rsidR="00CC3DDD" w:rsidRPr="006A061C" w:rsidRDefault="00CC3DDD" w:rsidP="00CC3DDD">
      <w:pPr>
        <w:rPr>
          <w:rFonts w:ascii="Garamond" w:eastAsia="Times New Roman" w:hAnsi="Garamond"/>
          <w:color w:val="000000"/>
          <w:shd w:val="clear" w:color="auto" w:fill="FFFFFF"/>
          <w:lang w:val="fr-FR"/>
        </w:rPr>
      </w:pPr>
      <w:r w:rsidRPr="006A061C">
        <w:rPr>
          <w:rFonts w:ascii="Garamond" w:eastAsia="Times New Roman" w:hAnsi="Garamond"/>
          <w:color w:val="000000"/>
          <w:shd w:val="clear" w:color="auto" w:fill="FFFFFF"/>
          <w:lang w:val="fr-FR"/>
        </w:rPr>
        <w:t>9 Bow St</w:t>
      </w:r>
    </w:p>
    <w:p w14:paraId="464E182B" w14:textId="77777777" w:rsidR="00CC3DDD" w:rsidRDefault="00CC3DDD" w:rsidP="00CC3DDD">
      <w:pPr>
        <w:rPr>
          <w:rFonts w:ascii="Garamond" w:eastAsia="Times New Roman" w:hAnsi="Garamond"/>
          <w:color w:val="000000"/>
          <w:shd w:val="clear" w:color="auto" w:fill="FFFFFF"/>
          <w:lang w:val="fr-FR"/>
        </w:rPr>
      </w:pPr>
      <w:r w:rsidRPr="006A061C">
        <w:rPr>
          <w:rFonts w:ascii="Garamond" w:eastAsia="Times New Roman" w:hAnsi="Garamond"/>
          <w:color w:val="000000"/>
          <w:shd w:val="clear" w:color="auto" w:fill="FFFFFF"/>
          <w:lang w:val="fr-FR"/>
        </w:rPr>
        <w:t>Cambridge, MA 02138, USA</w:t>
      </w:r>
    </w:p>
    <w:p w14:paraId="3D021452" w14:textId="77777777" w:rsidR="00CC3DDD" w:rsidRDefault="00CC3DDD" w:rsidP="00CC3DDD">
      <w:pPr>
        <w:rPr>
          <w:rFonts w:ascii="Garamond" w:eastAsia="Times New Roman" w:hAnsi="Garamond"/>
          <w:color w:val="000000"/>
          <w:shd w:val="clear" w:color="auto" w:fill="FFFFFF"/>
          <w:lang w:val="fr-FR"/>
        </w:rPr>
      </w:pPr>
      <w:hyperlink r:id="rId9" w:history="1">
        <w:r w:rsidRPr="00A94729">
          <w:rPr>
            <w:rStyle w:val="Hyperlink"/>
            <w:rFonts w:ascii="Garamond" w:eastAsia="Times New Roman" w:hAnsi="Garamond"/>
            <w:shd w:val="clear" w:color="auto" w:fill="FFFFFF"/>
            <w:lang w:val="fr-FR"/>
          </w:rPr>
          <w:t>ecourtin@hsph.harvard.edu</w:t>
        </w:r>
      </w:hyperlink>
    </w:p>
    <w:p w14:paraId="13D25A72" w14:textId="77777777" w:rsidR="00CC3DDD" w:rsidRPr="006A061C" w:rsidRDefault="00CC3DDD" w:rsidP="00CC3DDD">
      <w:pPr>
        <w:rPr>
          <w:rFonts w:ascii="Garamond" w:eastAsia="Times New Roman" w:hAnsi="Garamond"/>
          <w:color w:val="000000"/>
          <w:shd w:val="clear" w:color="auto" w:fill="FFFFFF"/>
          <w:lang w:val="fr-FR"/>
        </w:rPr>
      </w:pPr>
      <w:r>
        <w:rPr>
          <w:rFonts w:ascii="Garamond" w:eastAsia="Times New Roman" w:hAnsi="Garamond"/>
          <w:color w:val="000000"/>
          <w:shd w:val="clear" w:color="auto" w:fill="FFFFFF"/>
          <w:lang w:val="fr-FR"/>
        </w:rPr>
        <w:t>+1 617 495 8108</w:t>
      </w:r>
    </w:p>
    <w:p w14:paraId="07E473ED" w14:textId="77777777" w:rsidR="00CC3DDD" w:rsidRDefault="00CC3DDD" w:rsidP="00CC3DDD">
      <w:pPr>
        <w:rPr>
          <w:rFonts w:ascii="Garamond" w:hAnsi="Garamond"/>
          <w:b/>
        </w:rPr>
      </w:pPr>
    </w:p>
    <w:p w14:paraId="623FFA87" w14:textId="77777777" w:rsidR="00CC3DDD" w:rsidRDefault="00CC3DDD" w:rsidP="00CC3DDD">
      <w:pPr>
        <w:rPr>
          <w:rFonts w:ascii="Garamond" w:eastAsia="Times New Roman" w:hAnsi="Garamond"/>
          <w:color w:val="000000"/>
          <w:shd w:val="clear" w:color="auto" w:fill="FFFFFF"/>
        </w:rPr>
      </w:pPr>
      <w:r>
        <w:rPr>
          <w:rFonts w:ascii="Garamond" w:hAnsi="Garamond"/>
          <w:vertAlign w:val="superscript"/>
          <w:lang w:val="en-GB"/>
        </w:rPr>
        <w:t>a</w:t>
      </w:r>
      <w:r w:rsidRPr="00AD4ACB">
        <w:rPr>
          <w:rFonts w:ascii="Garamond" w:eastAsia="Times New Roman" w:hAnsi="Garamond"/>
          <w:color w:val="000000"/>
          <w:shd w:val="clear" w:color="auto" w:fill="FFFFFF"/>
        </w:rPr>
        <w:t xml:space="preserve"> </w:t>
      </w:r>
      <w:r w:rsidRPr="00A074E2">
        <w:rPr>
          <w:rFonts w:ascii="Garamond" w:eastAsia="Times New Roman" w:hAnsi="Garamond"/>
          <w:color w:val="000000"/>
          <w:shd w:val="clear" w:color="auto" w:fill="FFFFFF"/>
        </w:rPr>
        <w:t>Harvard Center for Popu</w:t>
      </w:r>
      <w:r>
        <w:rPr>
          <w:rFonts w:ascii="Garamond" w:eastAsia="Times New Roman" w:hAnsi="Garamond"/>
          <w:color w:val="000000"/>
          <w:shd w:val="clear" w:color="auto" w:fill="FFFFFF"/>
        </w:rPr>
        <w:t>lation and Development Studies</w:t>
      </w:r>
    </w:p>
    <w:p w14:paraId="4B7AE60F" w14:textId="77777777" w:rsidR="00CC3DDD" w:rsidRPr="00A074E2" w:rsidRDefault="00CC3DDD" w:rsidP="00CC3DDD">
      <w:pPr>
        <w:rPr>
          <w:rFonts w:ascii="Garamond" w:eastAsia="Times New Roman" w:hAnsi="Garamond"/>
          <w:color w:val="000000"/>
          <w:shd w:val="clear" w:color="auto" w:fill="FFFFFF"/>
        </w:rPr>
      </w:pPr>
      <w:r w:rsidRPr="00A074E2">
        <w:rPr>
          <w:rFonts w:ascii="Garamond" w:eastAsia="Times New Roman" w:hAnsi="Garamond"/>
          <w:color w:val="000000"/>
          <w:shd w:val="clear" w:color="auto" w:fill="FFFFFF"/>
        </w:rPr>
        <w:t xml:space="preserve">Harvard </w:t>
      </w:r>
      <w:r>
        <w:rPr>
          <w:rFonts w:ascii="Garamond" w:eastAsia="Times New Roman" w:hAnsi="Garamond"/>
          <w:color w:val="000000"/>
          <w:shd w:val="clear" w:color="auto" w:fill="FFFFFF"/>
        </w:rPr>
        <w:t xml:space="preserve">T H Chan </w:t>
      </w:r>
      <w:r w:rsidRPr="00A074E2">
        <w:rPr>
          <w:rFonts w:ascii="Garamond" w:eastAsia="Times New Roman" w:hAnsi="Garamond"/>
          <w:color w:val="000000"/>
          <w:shd w:val="clear" w:color="auto" w:fill="FFFFFF"/>
        </w:rPr>
        <w:t xml:space="preserve">School of Public Health </w:t>
      </w:r>
    </w:p>
    <w:p w14:paraId="44D89F32" w14:textId="77777777" w:rsidR="00CC3DDD" w:rsidRPr="006A061C" w:rsidRDefault="00CC3DDD" w:rsidP="00CC3DDD">
      <w:pPr>
        <w:rPr>
          <w:rFonts w:ascii="Garamond" w:eastAsia="Times New Roman" w:hAnsi="Garamond"/>
          <w:color w:val="000000"/>
          <w:shd w:val="clear" w:color="auto" w:fill="FFFFFF"/>
          <w:lang w:val="fr-FR"/>
        </w:rPr>
      </w:pPr>
      <w:r w:rsidRPr="006A061C">
        <w:rPr>
          <w:rFonts w:ascii="Garamond" w:eastAsia="Times New Roman" w:hAnsi="Garamond"/>
          <w:color w:val="000000"/>
          <w:shd w:val="clear" w:color="auto" w:fill="FFFFFF"/>
          <w:lang w:val="fr-FR"/>
        </w:rPr>
        <w:t>9 Bow St</w:t>
      </w:r>
    </w:p>
    <w:p w14:paraId="45602186" w14:textId="77777777" w:rsidR="00CC3DDD" w:rsidRPr="00AD4ACB" w:rsidRDefault="00CC3DDD" w:rsidP="00CC3DDD">
      <w:pPr>
        <w:rPr>
          <w:rFonts w:ascii="Garamond" w:eastAsia="Times New Roman" w:hAnsi="Garamond"/>
          <w:color w:val="000000"/>
          <w:shd w:val="clear" w:color="auto" w:fill="FFFFFF"/>
          <w:lang w:val="fr-FR"/>
        </w:rPr>
      </w:pPr>
      <w:r w:rsidRPr="006A061C">
        <w:rPr>
          <w:rFonts w:ascii="Garamond" w:eastAsia="Times New Roman" w:hAnsi="Garamond"/>
          <w:color w:val="000000"/>
          <w:shd w:val="clear" w:color="auto" w:fill="FFFFFF"/>
          <w:lang w:val="fr-FR"/>
        </w:rPr>
        <w:t>Cambridge, MA 02138, USA</w:t>
      </w:r>
    </w:p>
    <w:p w14:paraId="13F2DBC9" w14:textId="77777777" w:rsidR="00CC3DDD" w:rsidRDefault="00CC3DDD" w:rsidP="00CC3DDD">
      <w:pPr>
        <w:rPr>
          <w:rFonts w:ascii="Garamond" w:hAnsi="Garamond"/>
          <w:b/>
        </w:rPr>
      </w:pPr>
    </w:p>
    <w:p w14:paraId="66E67A25" w14:textId="77777777" w:rsidR="00CC3DDD" w:rsidRPr="00A074E2" w:rsidRDefault="00CC3DDD" w:rsidP="00CC3DDD">
      <w:pPr>
        <w:rPr>
          <w:rFonts w:ascii="Garamond" w:hAnsi="Garamond"/>
          <w:lang w:val="en-GB"/>
        </w:rPr>
      </w:pPr>
      <w:proofErr w:type="spellStart"/>
      <w:r>
        <w:rPr>
          <w:rFonts w:ascii="Garamond" w:hAnsi="Garamond"/>
          <w:vertAlign w:val="superscript"/>
          <w:lang w:val="en-GB"/>
        </w:rPr>
        <w:t>b</w:t>
      </w:r>
      <w:r>
        <w:rPr>
          <w:rFonts w:ascii="Garamond" w:hAnsi="Garamond"/>
          <w:lang w:val="en-GB"/>
        </w:rPr>
        <w:t>King’s</w:t>
      </w:r>
      <w:proofErr w:type="spellEnd"/>
      <w:r>
        <w:rPr>
          <w:rFonts w:ascii="Garamond" w:hAnsi="Garamond"/>
          <w:lang w:val="en-GB"/>
        </w:rPr>
        <w:t xml:space="preserve"> Business School</w:t>
      </w:r>
    </w:p>
    <w:p w14:paraId="32E8CC43" w14:textId="77777777" w:rsidR="00CC3DDD" w:rsidRPr="00A074E2" w:rsidRDefault="00CC3DDD" w:rsidP="00CC3DDD">
      <w:pPr>
        <w:rPr>
          <w:rFonts w:ascii="Garamond" w:hAnsi="Garamond"/>
          <w:lang w:val="en-GB"/>
        </w:rPr>
      </w:pPr>
      <w:r w:rsidRPr="00A074E2">
        <w:rPr>
          <w:rFonts w:ascii="Garamond" w:hAnsi="Garamond"/>
          <w:lang w:val="en-GB"/>
        </w:rPr>
        <w:t>King’s College London</w:t>
      </w:r>
    </w:p>
    <w:p w14:paraId="27F0F29E" w14:textId="77777777" w:rsidR="00CC3DDD" w:rsidRPr="00A074E2" w:rsidRDefault="00CC3DDD" w:rsidP="00CC3DDD">
      <w:pPr>
        <w:rPr>
          <w:rFonts w:ascii="Garamond" w:hAnsi="Garamond"/>
          <w:lang w:val="en-GB"/>
        </w:rPr>
      </w:pPr>
      <w:r>
        <w:rPr>
          <w:rFonts w:ascii="Garamond" w:hAnsi="Garamond"/>
          <w:lang w:val="en-GB"/>
        </w:rPr>
        <w:t>Bush House</w:t>
      </w:r>
    </w:p>
    <w:p w14:paraId="61986DCA" w14:textId="77777777" w:rsidR="00CC3DDD" w:rsidRPr="00A074E2" w:rsidRDefault="00CC3DDD" w:rsidP="00CC3DDD">
      <w:pPr>
        <w:rPr>
          <w:rFonts w:ascii="Garamond" w:hAnsi="Garamond"/>
          <w:lang w:val="en-GB"/>
        </w:rPr>
      </w:pPr>
      <w:r>
        <w:rPr>
          <w:rFonts w:ascii="Garamond" w:hAnsi="Garamond"/>
          <w:lang w:val="en-GB"/>
        </w:rPr>
        <w:t>30 Aldwych Road</w:t>
      </w:r>
    </w:p>
    <w:p w14:paraId="2FB8C8C8" w14:textId="77777777" w:rsidR="00CC3DDD" w:rsidRPr="00A074E2" w:rsidRDefault="00CC3DDD" w:rsidP="00CC3DDD">
      <w:pPr>
        <w:rPr>
          <w:rFonts w:ascii="Garamond" w:hAnsi="Garamond"/>
        </w:rPr>
      </w:pPr>
      <w:r w:rsidRPr="00A074E2">
        <w:rPr>
          <w:rFonts w:ascii="Garamond" w:hAnsi="Garamond"/>
        </w:rPr>
        <w:t xml:space="preserve">London </w:t>
      </w:r>
      <w:r>
        <w:rPr>
          <w:rFonts w:ascii="Garamond" w:hAnsi="Garamond"/>
        </w:rPr>
        <w:t>WC2B 4BG</w:t>
      </w:r>
      <w:r w:rsidRPr="00A074E2">
        <w:rPr>
          <w:rFonts w:ascii="Garamond" w:hAnsi="Garamond"/>
        </w:rPr>
        <w:t>, UK</w:t>
      </w:r>
    </w:p>
    <w:p w14:paraId="5EFB77CC" w14:textId="77777777" w:rsidR="00CC3DDD" w:rsidRDefault="00CC3DDD" w:rsidP="00CC3DDD">
      <w:pPr>
        <w:rPr>
          <w:rFonts w:ascii="Garamond" w:hAnsi="Garamond"/>
          <w:b/>
        </w:rPr>
      </w:pPr>
    </w:p>
    <w:p w14:paraId="702FB076" w14:textId="77777777" w:rsidR="00CC3DDD" w:rsidRDefault="00CC3DDD" w:rsidP="00CC3DDD">
      <w:pPr>
        <w:rPr>
          <w:rFonts w:ascii="Garamond" w:eastAsia="Times New Roman" w:hAnsi="Garamond"/>
          <w:color w:val="000000"/>
          <w:shd w:val="clear" w:color="auto" w:fill="FFFFFF"/>
        </w:rPr>
      </w:pPr>
      <w:proofErr w:type="spellStart"/>
      <w:r>
        <w:rPr>
          <w:rFonts w:ascii="Garamond" w:eastAsia="Times New Roman" w:hAnsi="Garamond"/>
          <w:vertAlign w:val="superscript"/>
        </w:rPr>
        <w:t>c</w:t>
      </w:r>
      <w:r w:rsidRPr="00A074E2">
        <w:rPr>
          <w:rFonts w:ascii="Garamond" w:eastAsia="Times New Roman" w:hAnsi="Garamond"/>
          <w:color w:val="000000"/>
          <w:shd w:val="clear" w:color="auto" w:fill="FFFFFF"/>
        </w:rPr>
        <w:t>Department</w:t>
      </w:r>
      <w:proofErr w:type="spellEnd"/>
      <w:r w:rsidRPr="00A074E2">
        <w:rPr>
          <w:rFonts w:ascii="Garamond" w:eastAsia="Times New Roman" w:hAnsi="Garamond"/>
          <w:color w:val="000000"/>
          <w:shd w:val="clear" w:color="auto" w:fill="FFFFFF"/>
        </w:rPr>
        <w:t xml:space="preserve"> of </w:t>
      </w:r>
      <w:r>
        <w:rPr>
          <w:rFonts w:ascii="Garamond" w:eastAsia="Times New Roman" w:hAnsi="Garamond"/>
          <w:color w:val="000000"/>
          <w:shd w:val="clear" w:color="auto" w:fill="FFFFFF"/>
        </w:rPr>
        <w:t>Social and Behavioral Sciences</w:t>
      </w:r>
    </w:p>
    <w:p w14:paraId="70919986" w14:textId="77777777" w:rsidR="00CC3DDD" w:rsidRPr="00A074E2" w:rsidRDefault="00CC3DDD" w:rsidP="00CC3DDD">
      <w:pPr>
        <w:rPr>
          <w:rFonts w:ascii="Garamond" w:eastAsia="Times New Roman" w:hAnsi="Garamond"/>
          <w:color w:val="000000"/>
          <w:shd w:val="clear" w:color="auto" w:fill="FFFFFF"/>
        </w:rPr>
      </w:pPr>
      <w:r w:rsidRPr="00A074E2">
        <w:rPr>
          <w:rFonts w:ascii="Garamond" w:eastAsia="Times New Roman" w:hAnsi="Garamond"/>
          <w:color w:val="000000"/>
          <w:shd w:val="clear" w:color="auto" w:fill="FFFFFF"/>
        </w:rPr>
        <w:t xml:space="preserve">Harvard </w:t>
      </w:r>
      <w:r>
        <w:rPr>
          <w:rFonts w:ascii="Garamond" w:eastAsia="Times New Roman" w:hAnsi="Garamond"/>
          <w:color w:val="000000"/>
          <w:shd w:val="clear" w:color="auto" w:fill="FFFFFF"/>
        </w:rPr>
        <w:t>T H Chan School of Public Health</w:t>
      </w:r>
      <w:r w:rsidRPr="00A074E2">
        <w:rPr>
          <w:rFonts w:ascii="Garamond" w:eastAsia="Times New Roman" w:hAnsi="Garamond"/>
          <w:color w:val="000000"/>
          <w:shd w:val="clear" w:color="auto" w:fill="FFFFFF"/>
        </w:rPr>
        <w:t xml:space="preserve"> </w:t>
      </w:r>
    </w:p>
    <w:p w14:paraId="1CBB90DC" w14:textId="77777777" w:rsidR="00CC3DDD" w:rsidRPr="006A061C" w:rsidRDefault="00CC3DDD" w:rsidP="00CC3DDD">
      <w:pPr>
        <w:rPr>
          <w:rFonts w:ascii="Garamond" w:eastAsia="Times New Roman" w:hAnsi="Garamond"/>
          <w:color w:val="000000"/>
          <w:shd w:val="clear" w:color="auto" w:fill="FFFFFF"/>
          <w:lang w:val="fr-FR"/>
        </w:rPr>
      </w:pPr>
      <w:r w:rsidRPr="006A061C">
        <w:rPr>
          <w:rFonts w:ascii="Garamond" w:eastAsia="Times New Roman" w:hAnsi="Garamond"/>
          <w:color w:val="000000"/>
          <w:shd w:val="clear" w:color="auto" w:fill="FFFFFF"/>
          <w:lang w:val="fr-FR"/>
        </w:rPr>
        <w:t>677 Huntington Ave</w:t>
      </w:r>
    </w:p>
    <w:p w14:paraId="62B1000B" w14:textId="77777777" w:rsidR="00CC3DDD" w:rsidRDefault="00CC3DDD" w:rsidP="00CC3DDD">
      <w:pPr>
        <w:rPr>
          <w:rFonts w:ascii="Garamond" w:eastAsia="Times New Roman" w:hAnsi="Garamond"/>
          <w:color w:val="000000"/>
          <w:shd w:val="clear" w:color="auto" w:fill="FFFFFF"/>
          <w:lang w:val="fr-FR"/>
        </w:rPr>
      </w:pPr>
      <w:r w:rsidRPr="006A061C">
        <w:rPr>
          <w:rFonts w:ascii="Garamond" w:eastAsia="Times New Roman" w:hAnsi="Garamond"/>
          <w:color w:val="000000"/>
          <w:shd w:val="clear" w:color="auto" w:fill="FFFFFF"/>
          <w:lang w:val="fr-FR"/>
        </w:rPr>
        <w:t>Boston, MA 02115, USA</w:t>
      </w:r>
    </w:p>
    <w:p w14:paraId="3B5B81B5" w14:textId="77777777" w:rsidR="00CC3DDD" w:rsidRDefault="00CC3DDD" w:rsidP="00CC3DDD">
      <w:pPr>
        <w:rPr>
          <w:rFonts w:ascii="Garamond" w:eastAsia="Times New Roman" w:hAnsi="Garamond"/>
          <w:color w:val="000000"/>
          <w:shd w:val="clear" w:color="auto" w:fill="FFFFFF"/>
          <w:lang w:val="fr-FR"/>
        </w:rPr>
      </w:pPr>
    </w:p>
    <w:p w14:paraId="408BE32E" w14:textId="77777777" w:rsidR="00CC3DDD" w:rsidRDefault="00CC3DDD" w:rsidP="00CC3DDD">
      <w:pPr>
        <w:rPr>
          <w:rFonts w:ascii="Garamond" w:eastAsia="Times New Roman" w:hAnsi="Garamond"/>
          <w:color w:val="000000"/>
          <w:shd w:val="clear" w:color="auto" w:fill="FFFFFF"/>
        </w:rPr>
      </w:pPr>
      <w:proofErr w:type="spellStart"/>
      <w:r>
        <w:rPr>
          <w:rFonts w:ascii="Garamond" w:eastAsia="Times New Roman" w:hAnsi="Garamond"/>
          <w:vertAlign w:val="superscript"/>
        </w:rPr>
        <w:t>d</w:t>
      </w:r>
      <w:r w:rsidRPr="00A074E2">
        <w:rPr>
          <w:rFonts w:ascii="Garamond" w:eastAsia="Times New Roman" w:hAnsi="Garamond"/>
          <w:color w:val="000000"/>
          <w:shd w:val="clear" w:color="auto" w:fill="FFFFFF"/>
        </w:rPr>
        <w:t>Department</w:t>
      </w:r>
      <w:proofErr w:type="spellEnd"/>
      <w:r w:rsidRPr="00A074E2">
        <w:rPr>
          <w:rFonts w:ascii="Garamond" w:eastAsia="Times New Roman" w:hAnsi="Garamond"/>
          <w:color w:val="000000"/>
          <w:shd w:val="clear" w:color="auto" w:fill="FFFFFF"/>
        </w:rPr>
        <w:t xml:space="preserve"> o</w:t>
      </w:r>
      <w:r>
        <w:rPr>
          <w:rFonts w:ascii="Garamond" w:eastAsia="Times New Roman" w:hAnsi="Garamond"/>
          <w:color w:val="000000"/>
          <w:shd w:val="clear" w:color="auto" w:fill="FFFFFF"/>
        </w:rPr>
        <w:t>f Global Health and Social Medicine</w:t>
      </w:r>
    </w:p>
    <w:p w14:paraId="5197412A" w14:textId="77777777" w:rsidR="00CC3DDD" w:rsidRDefault="00CC3DDD" w:rsidP="00CC3DDD">
      <w:pPr>
        <w:rPr>
          <w:rFonts w:ascii="Garamond" w:eastAsia="Times New Roman" w:hAnsi="Garamond"/>
          <w:color w:val="000000"/>
          <w:shd w:val="clear" w:color="auto" w:fill="FFFFFF"/>
        </w:rPr>
      </w:pPr>
      <w:r>
        <w:rPr>
          <w:rFonts w:ascii="Garamond" w:eastAsia="Times New Roman" w:hAnsi="Garamond"/>
          <w:color w:val="000000"/>
          <w:shd w:val="clear" w:color="auto" w:fill="FFFFFF"/>
        </w:rPr>
        <w:t>King’s College London</w:t>
      </w:r>
    </w:p>
    <w:p w14:paraId="32ABBFDA" w14:textId="77777777" w:rsidR="00CC3DDD" w:rsidRPr="00A074E2" w:rsidRDefault="00CC3DDD" w:rsidP="00CC3DDD">
      <w:pPr>
        <w:rPr>
          <w:rFonts w:ascii="Garamond" w:hAnsi="Garamond"/>
          <w:lang w:val="en-GB"/>
        </w:rPr>
      </w:pPr>
      <w:r>
        <w:rPr>
          <w:rFonts w:ascii="Garamond" w:hAnsi="Garamond"/>
          <w:lang w:val="en-GB"/>
        </w:rPr>
        <w:t>Bush House</w:t>
      </w:r>
    </w:p>
    <w:p w14:paraId="01EBCEA3" w14:textId="77777777" w:rsidR="00CC3DDD" w:rsidRPr="00A074E2" w:rsidRDefault="00CC3DDD" w:rsidP="00CC3DDD">
      <w:pPr>
        <w:rPr>
          <w:rFonts w:ascii="Garamond" w:hAnsi="Garamond"/>
          <w:lang w:val="en-GB"/>
        </w:rPr>
      </w:pPr>
      <w:r>
        <w:rPr>
          <w:rFonts w:ascii="Garamond" w:hAnsi="Garamond"/>
          <w:lang w:val="en-GB"/>
        </w:rPr>
        <w:t>30 Aldwych Road</w:t>
      </w:r>
    </w:p>
    <w:p w14:paraId="4E62FEC8" w14:textId="77777777" w:rsidR="00CC3DDD" w:rsidRPr="00AD4ACB" w:rsidRDefault="00CC3DDD" w:rsidP="00CC3DDD">
      <w:pPr>
        <w:rPr>
          <w:rFonts w:ascii="Garamond" w:hAnsi="Garamond"/>
        </w:rPr>
      </w:pPr>
      <w:r w:rsidRPr="00A074E2">
        <w:rPr>
          <w:rFonts w:ascii="Garamond" w:hAnsi="Garamond"/>
        </w:rPr>
        <w:t xml:space="preserve">London </w:t>
      </w:r>
      <w:r>
        <w:rPr>
          <w:rFonts w:ascii="Garamond" w:hAnsi="Garamond"/>
        </w:rPr>
        <w:t>WC2B 4BG</w:t>
      </w:r>
      <w:r w:rsidRPr="00A074E2">
        <w:rPr>
          <w:rFonts w:ascii="Garamond" w:hAnsi="Garamond"/>
        </w:rPr>
        <w:t>, UK</w:t>
      </w:r>
    </w:p>
    <w:p w14:paraId="46D52802" w14:textId="77777777" w:rsidR="00CC3DDD" w:rsidRPr="006A061C" w:rsidRDefault="00CC3DDD" w:rsidP="00CC3DDD">
      <w:pPr>
        <w:rPr>
          <w:rFonts w:ascii="Garamond" w:eastAsia="Times New Roman" w:hAnsi="Garamond"/>
          <w:color w:val="000000"/>
          <w:shd w:val="clear" w:color="auto" w:fill="FFFFFF"/>
          <w:lang w:val="fr-FR"/>
        </w:rPr>
      </w:pPr>
    </w:p>
    <w:p w14:paraId="7A6CAE0A" w14:textId="77777777" w:rsidR="00CC3DDD" w:rsidRPr="006A061C" w:rsidRDefault="00CC3DDD" w:rsidP="00CC3DDD">
      <w:pPr>
        <w:rPr>
          <w:rFonts w:ascii="Garamond" w:eastAsia="Times New Roman" w:hAnsi="Garamond"/>
          <w:color w:val="000000"/>
          <w:shd w:val="clear" w:color="auto" w:fill="FFFFFF"/>
          <w:lang w:val="fr-FR"/>
        </w:rPr>
      </w:pPr>
      <w:proofErr w:type="spellStart"/>
      <w:r>
        <w:rPr>
          <w:rFonts w:ascii="Garamond" w:eastAsia="Times New Roman" w:hAnsi="Garamond"/>
          <w:color w:val="000000"/>
          <w:shd w:val="clear" w:color="auto" w:fill="FFFFFF"/>
          <w:vertAlign w:val="superscript"/>
          <w:lang w:val="fr-FR"/>
        </w:rPr>
        <w:t>e</w:t>
      </w:r>
      <w:r w:rsidRPr="006A061C">
        <w:rPr>
          <w:rFonts w:ascii="Garamond" w:eastAsia="Times New Roman" w:hAnsi="Garamond"/>
          <w:color w:val="000000"/>
          <w:shd w:val="clear" w:color="auto" w:fill="FFFFFF"/>
          <w:lang w:val="fr-FR"/>
        </w:rPr>
        <w:t>Inserm</w:t>
      </w:r>
      <w:proofErr w:type="spellEnd"/>
      <w:r w:rsidRPr="006A061C">
        <w:rPr>
          <w:rFonts w:ascii="Garamond" w:eastAsia="Times New Roman" w:hAnsi="Garamond"/>
          <w:color w:val="000000"/>
          <w:shd w:val="clear" w:color="auto" w:fill="FFFFFF"/>
          <w:lang w:val="fr-FR"/>
        </w:rPr>
        <w:t xml:space="preserve">, </w:t>
      </w:r>
      <w:proofErr w:type="spellStart"/>
      <w:r w:rsidRPr="006A061C">
        <w:rPr>
          <w:rFonts w:ascii="Garamond" w:eastAsia="Times New Roman" w:hAnsi="Garamond"/>
          <w:color w:val="000000"/>
          <w:shd w:val="clear" w:color="auto" w:fill="FFFFFF"/>
          <w:lang w:val="fr-FR"/>
        </w:rPr>
        <w:t>Limics</w:t>
      </w:r>
      <w:proofErr w:type="spellEnd"/>
      <w:r w:rsidRPr="006A061C">
        <w:rPr>
          <w:rFonts w:ascii="Garamond" w:eastAsia="Times New Roman" w:hAnsi="Garamond"/>
          <w:color w:val="000000"/>
          <w:shd w:val="clear" w:color="auto" w:fill="FFFFFF"/>
          <w:lang w:val="fr-FR"/>
        </w:rPr>
        <w:t xml:space="preserve">, U1142, </w:t>
      </w:r>
    </w:p>
    <w:p w14:paraId="365DA341" w14:textId="77777777" w:rsidR="00CC3DDD" w:rsidRPr="006A061C" w:rsidRDefault="00CC3DDD" w:rsidP="00CC3DDD">
      <w:pPr>
        <w:rPr>
          <w:rFonts w:ascii="Garamond" w:eastAsia="Times New Roman" w:hAnsi="Garamond"/>
          <w:color w:val="000000"/>
          <w:shd w:val="clear" w:color="auto" w:fill="FFFFFF"/>
          <w:lang w:val="fr-FR"/>
        </w:rPr>
      </w:pPr>
      <w:r w:rsidRPr="006A061C">
        <w:rPr>
          <w:rFonts w:ascii="Garamond" w:eastAsia="Times New Roman" w:hAnsi="Garamond"/>
          <w:color w:val="000000"/>
          <w:shd w:val="clear" w:color="auto" w:fill="FFFFFF"/>
          <w:lang w:val="fr-FR"/>
        </w:rPr>
        <w:t>Campus des cordeliers</w:t>
      </w:r>
    </w:p>
    <w:p w14:paraId="414CC490" w14:textId="77777777" w:rsidR="00CC3DDD" w:rsidRPr="006A061C" w:rsidRDefault="00CC3DDD" w:rsidP="00CC3DDD">
      <w:pPr>
        <w:rPr>
          <w:rFonts w:ascii="Garamond" w:eastAsia="Times New Roman" w:hAnsi="Garamond"/>
          <w:color w:val="000000"/>
          <w:shd w:val="clear" w:color="auto" w:fill="FFFFFF"/>
          <w:lang w:val="fr-FR"/>
        </w:rPr>
      </w:pPr>
      <w:r w:rsidRPr="006A061C">
        <w:rPr>
          <w:rFonts w:ascii="Garamond" w:eastAsia="Times New Roman" w:hAnsi="Garamond"/>
          <w:color w:val="000000"/>
          <w:shd w:val="clear" w:color="auto" w:fill="FFFFFF"/>
          <w:lang w:val="fr-FR"/>
        </w:rPr>
        <w:t>15 rue de l’</w:t>
      </w:r>
      <w:proofErr w:type="spellStart"/>
      <w:r w:rsidRPr="006A061C">
        <w:rPr>
          <w:rFonts w:ascii="Garamond" w:eastAsia="Times New Roman" w:hAnsi="Garamond"/>
          <w:color w:val="000000"/>
          <w:shd w:val="clear" w:color="auto" w:fill="FFFFFF"/>
          <w:lang w:val="fr-FR"/>
        </w:rPr>
        <w:t>ecole</w:t>
      </w:r>
      <w:proofErr w:type="spellEnd"/>
      <w:r w:rsidRPr="006A061C">
        <w:rPr>
          <w:rFonts w:ascii="Garamond" w:eastAsia="Times New Roman" w:hAnsi="Garamond"/>
          <w:color w:val="000000"/>
          <w:shd w:val="clear" w:color="auto" w:fill="FFFFFF"/>
          <w:lang w:val="fr-FR"/>
        </w:rPr>
        <w:t xml:space="preserve"> de </w:t>
      </w:r>
      <w:proofErr w:type="spellStart"/>
      <w:r w:rsidRPr="006A061C">
        <w:rPr>
          <w:rFonts w:ascii="Garamond" w:eastAsia="Times New Roman" w:hAnsi="Garamond"/>
          <w:color w:val="000000"/>
          <w:shd w:val="clear" w:color="auto" w:fill="FFFFFF"/>
          <w:lang w:val="fr-FR"/>
        </w:rPr>
        <w:t>medicine</w:t>
      </w:r>
      <w:proofErr w:type="spellEnd"/>
    </w:p>
    <w:p w14:paraId="391D9AE2" w14:textId="77777777" w:rsidR="00CC3DDD" w:rsidRDefault="00CC3DDD" w:rsidP="00CC3DDD">
      <w:pPr>
        <w:rPr>
          <w:rFonts w:ascii="Garamond" w:eastAsia="Times New Roman" w:hAnsi="Garamond"/>
          <w:color w:val="000000"/>
          <w:shd w:val="clear" w:color="auto" w:fill="FFFFFF"/>
        </w:rPr>
      </w:pPr>
      <w:r>
        <w:rPr>
          <w:rFonts w:ascii="Garamond" w:eastAsia="Times New Roman" w:hAnsi="Garamond"/>
          <w:color w:val="000000"/>
          <w:shd w:val="clear" w:color="auto" w:fill="FFFFFF"/>
        </w:rPr>
        <w:t>75006 Paris, France</w:t>
      </w:r>
    </w:p>
    <w:p w14:paraId="3FCBB062" w14:textId="77777777" w:rsidR="00CC3DDD" w:rsidRPr="006A061C" w:rsidRDefault="00CC3DDD" w:rsidP="00CC3DDD">
      <w:pPr>
        <w:rPr>
          <w:rFonts w:ascii="Garamond" w:eastAsia="Times New Roman" w:hAnsi="Garamond"/>
          <w:color w:val="000000"/>
          <w:shd w:val="clear" w:color="auto" w:fill="FFFFFF"/>
          <w:lang w:val="fr-FR"/>
        </w:rPr>
      </w:pPr>
    </w:p>
    <w:p w14:paraId="043A891B" w14:textId="77777777" w:rsidR="00CC3DDD" w:rsidRPr="006A061C" w:rsidRDefault="00CC3DDD" w:rsidP="00CC3DDD">
      <w:pPr>
        <w:rPr>
          <w:rFonts w:ascii="Garamond" w:eastAsia="Times New Roman" w:hAnsi="Garamond"/>
          <w:color w:val="000000" w:themeColor="text1"/>
          <w:shd w:val="clear" w:color="auto" w:fill="FFFFFF"/>
          <w:lang w:val="fr-FR"/>
        </w:rPr>
      </w:pPr>
      <w:proofErr w:type="spellStart"/>
      <w:proofErr w:type="gramStart"/>
      <w:r w:rsidRPr="006A061C">
        <w:rPr>
          <w:rFonts w:ascii="Garamond" w:eastAsia="Times New Roman" w:hAnsi="Garamond"/>
          <w:vertAlign w:val="superscript"/>
          <w:lang w:val="fr-FR"/>
        </w:rPr>
        <w:t>f</w:t>
      </w:r>
      <w:r w:rsidRPr="006A061C">
        <w:rPr>
          <w:rFonts w:ascii="Garamond" w:hAnsi="Garamond"/>
          <w:color w:val="000000" w:themeColor="text1"/>
          <w:lang w:val="fr-FR"/>
        </w:rPr>
        <w:t>Inserm</w:t>
      </w:r>
      <w:proofErr w:type="spellEnd"/>
      <w:proofErr w:type="gramEnd"/>
      <w:r w:rsidRPr="006A061C">
        <w:rPr>
          <w:rFonts w:ascii="Garamond" w:eastAsia="Times New Roman" w:hAnsi="Garamond"/>
          <w:color w:val="000000" w:themeColor="text1"/>
          <w:shd w:val="clear" w:color="auto" w:fill="FFFFFF"/>
          <w:lang w:val="fr-FR"/>
        </w:rPr>
        <w:t>, Population-</w:t>
      </w:r>
      <w:proofErr w:type="spellStart"/>
      <w:r w:rsidRPr="006A061C">
        <w:rPr>
          <w:rFonts w:ascii="Garamond" w:eastAsia="Times New Roman" w:hAnsi="Garamond"/>
          <w:color w:val="000000" w:themeColor="text1"/>
          <w:shd w:val="clear" w:color="auto" w:fill="FFFFFF"/>
          <w:lang w:val="fr-FR"/>
        </w:rPr>
        <w:t>based</w:t>
      </w:r>
      <w:proofErr w:type="spellEnd"/>
      <w:r w:rsidRPr="006A061C">
        <w:rPr>
          <w:rFonts w:ascii="Garamond" w:eastAsia="Times New Roman" w:hAnsi="Garamond"/>
          <w:color w:val="000000" w:themeColor="text1"/>
          <w:shd w:val="clear" w:color="auto" w:fill="FFFFFF"/>
          <w:lang w:val="fr-FR"/>
        </w:rPr>
        <w:t xml:space="preserve"> </w:t>
      </w:r>
      <w:proofErr w:type="spellStart"/>
      <w:r w:rsidRPr="006A061C">
        <w:rPr>
          <w:rFonts w:ascii="Garamond" w:eastAsia="Times New Roman" w:hAnsi="Garamond"/>
          <w:color w:val="000000" w:themeColor="text1"/>
          <w:shd w:val="clear" w:color="auto" w:fill="FFFFFF"/>
          <w:lang w:val="fr-FR"/>
        </w:rPr>
        <w:t>Epidemiologic</w:t>
      </w:r>
      <w:proofErr w:type="spellEnd"/>
      <w:r w:rsidRPr="006A061C">
        <w:rPr>
          <w:rFonts w:ascii="Garamond" w:eastAsia="Times New Roman" w:hAnsi="Garamond"/>
          <w:color w:val="000000" w:themeColor="text1"/>
          <w:shd w:val="clear" w:color="auto" w:fill="FFFFFF"/>
          <w:lang w:val="fr-FR"/>
        </w:rPr>
        <w:t xml:space="preserve"> </w:t>
      </w:r>
      <w:proofErr w:type="spellStart"/>
      <w:r w:rsidRPr="006A061C">
        <w:rPr>
          <w:rFonts w:ascii="Garamond" w:eastAsia="Times New Roman" w:hAnsi="Garamond"/>
          <w:color w:val="000000" w:themeColor="text1"/>
          <w:shd w:val="clear" w:color="auto" w:fill="FFFFFF"/>
          <w:lang w:val="fr-FR"/>
        </w:rPr>
        <w:t>Cohorts</w:t>
      </w:r>
      <w:proofErr w:type="spellEnd"/>
      <w:r w:rsidRPr="006A061C">
        <w:rPr>
          <w:rFonts w:ascii="Garamond" w:eastAsia="Times New Roman" w:hAnsi="Garamond"/>
          <w:color w:val="000000" w:themeColor="text1"/>
          <w:shd w:val="clear" w:color="auto" w:fill="FFFFFF"/>
          <w:lang w:val="fr-FR"/>
        </w:rPr>
        <w:t xml:space="preserve"> Unit, UMS 011</w:t>
      </w:r>
    </w:p>
    <w:p w14:paraId="54AA7AB1" w14:textId="77777777" w:rsidR="00CC3DDD" w:rsidRPr="00A074E2" w:rsidRDefault="00CC3DDD" w:rsidP="00CC3DDD">
      <w:pPr>
        <w:rPr>
          <w:rFonts w:ascii="Garamond" w:eastAsia="Times New Roman" w:hAnsi="Garamond"/>
          <w:color w:val="000000" w:themeColor="text1"/>
          <w:shd w:val="clear" w:color="auto" w:fill="FFFFFF"/>
          <w:lang w:val="fr-FR"/>
        </w:rPr>
      </w:pPr>
      <w:proofErr w:type="spellStart"/>
      <w:r w:rsidRPr="00A074E2">
        <w:rPr>
          <w:rFonts w:ascii="Garamond" w:eastAsia="Times New Roman" w:hAnsi="Garamond"/>
          <w:color w:val="000000" w:themeColor="text1"/>
          <w:shd w:val="clear" w:color="auto" w:fill="FFFFFF"/>
          <w:lang w:val="fr-FR"/>
        </w:rPr>
        <w:t>Hopital</w:t>
      </w:r>
      <w:proofErr w:type="spellEnd"/>
      <w:r w:rsidRPr="00A074E2">
        <w:rPr>
          <w:rFonts w:ascii="Garamond" w:eastAsia="Times New Roman" w:hAnsi="Garamond"/>
          <w:color w:val="000000" w:themeColor="text1"/>
          <w:shd w:val="clear" w:color="auto" w:fill="FFFFFF"/>
          <w:lang w:val="fr-FR"/>
        </w:rPr>
        <w:t xml:space="preserve"> Paul-Brousse</w:t>
      </w:r>
    </w:p>
    <w:p w14:paraId="2B31C6BF" w14:textId="77777777" w:rsidR="00CC3DDD" w:rsidRPr="00A074E2" w:rsidRDefault="00CC3DDD" w:rsidP="00CC3DDD">
      <w:pPr>
        <w:rPr>
          <w:rFonts w:ascii="Garamond" w:eastAsia="Times New Roman" w:hAnsi="Garamond"/>
          <w:color w:val="000000" w:themeColor="text1"/>
          <w:shd w:val="clear" w:color="auto" w:fill="FFFFFF"/>
          <w:lang w:val="fr-FR"/>
        </w:rPr>
      </w:pPr>
      <w:proofErr w:type="spellStart"/>
      <w:r w:rsidRPr="00A074E2">
        <w:rPr>
          <w:rFonts w:ascii="Garamond" w:eastAsia="Times New Roman" w:hAnsi="Garamond"/>
          <w:color w:val="000000" w:themeColor="text1"/>
          <w:shd w:val="clear" w:color="auto" w:fill="FFFFFF"/>
          <w:lang w:val="fr-FR"/>
        </w:rPr>
        <w:t>Batiment</w:t>
      </w:r>
      <w:proofErr w:type="spellEnd"/>
      <w:r w:rsidRPr="00A074E2">
        <w:rPr>
          <w:rFonts w:ascii="Garamond" w:eastAsia="Times New Roman" w:hAnsi="Garamond"/>
          <w:color w:val="000000" w:themeColor="text1"/>
          <w:shd w:val="clear" w:color="auto" w:fill="FFFFFF"/>
          <w:lang w:val="fr-FR"/>
        </w:rPr>
        <w:t xml:space="preserve"> 15/16</w:t>
      </w:r>
    </w:p>
    <w:p w14:paraId="2FA25D30" w14:textId="77777777" w:rsidR="00CC3DDD" w:rsidRPr="00A074E2" w:rsidRDefault="00CC3DDD" w:rsidP="00CC3DDD">
      <w:pPr>
        <w:rPr>
          <w:rFonts w:ascii="Garamond" w:eastAsia="Times New Roman" w:hAnsi="Garamond"/>
          <w:color w:val="000000" w:themeColor="text1"/>
          <w:shd w:val="clear" w:color="auto" w:fill="FFFFFF"/>
          <w:lang w:val="fr-FR"/>
        </w:rPr>
      </w:pPr>
      <w:r w:rsidRPr="00A074E2">
        <w:rPr>
          <w:rFonts w:ascii="Garamond" w:eastAsia="Times New Roman" w:hAnsi="Garamond"/>
          <w:color w:val="000000" w:themeColor="text1"/>
          <w:shd w:val="clear" w:color="auto" w:fill="FFFFFF"/>
          <w:lang w:val="fr-FR"/>
        </w:rPr>
        <w:t>16, avenue Paul-Vaillant Couturier</w:t>
      </w:r>
    </w:p>
    <w:p w14:paraId="02DDBF13" w14:textId="77777777" w:rsidR="00CC3DDD" w:rsidRPr="00A074E2" w:rsidRDefault="00CC3DDD" w:rsidP="00CC3DDD">
      <w:pPr>
        <w:rPr>
          <w:rFonts w:ascii="Garamond" w:eastAsia="Times New Roman" w:hAnsi="Garamond"/>
          <w:color w:val="000000" w:themeColor="text1"/>
          <w:lang w:val="fr-FR"/>
        </w:rPr>
      </w:pPr>
      <w:r w:rsidRPr="00A074E2">
        <w:rPr>
          <w:rFonts w:ascii="Garamond" w:eastAsia="Times New Roman" w:hAnsi="Garamond"/>
          <w:color w:val="000000" w:themeColor="text1"/>
          <w:shd w:val="clear" w:color="auto" w:fill="FFFFFF"/>
          <w:lang w:val="fr-FR"/>
        </w:rPr>
        <w:t>94807 Villejuif, France</w:t>
      </w:r>
    </w:p>
    <w:p w14:paraId="0FF7FE11" w14:textId="77777777" w:rsidR="00CC3DDD" w:rsidRPr="00A074E2" w:rsidRDefault="00CC3DDD" w:rsidP="00CC3DDD">
      <w:pPr>
        <w:rPr>
          <w:rFonts w:ascii="Garamond" w:hAnsi="Garamond"/>
          <w:lang w:val="fr-FR"/>
        </w:rPr>
      </w:pPr>
    </w:p>
    <w:p w14:paraId="37DA9491" w14:textId="77777777" w:rsidR="00CC3DDD" w:rsidRPr="00A074E2" w:rsidRDefault="00CC3DDD" w:rsidP="00CC3DDD">
      <w:pPr>
        <w:rPr>
          <w:rFonts w:ascii="Garamond" w:hAnsi="Garamond"/>
          <w:lang w:val="fr-FR"/>
        </w:rPr>
      </w:pPr>
      <w:proofErr w:type="spellStart"/>
      <w:proofErr w:type="gramStart"/>
      <w:r>
        <w:rPr>
          <w:rFonts w:ascii="Garamond" w:hAnsi="Garamond"/>
          <w:vertAlign w:val="superscript"/>
          <w:lang w:val="fr-FR"/>
        </w:rPr>
        <w:t>g</w:t>
      </w:r>
      <w:r w:rsidRPr="00A074E2">
        <w:rPr>
          <w:rFonts w:ascii="Garamond" w:hAnsi="Garamond"/>
          <w:lang w:val="fr-FR"/>
        </w:rPr>
        <w:t>Paris</w:t>
      </w:r>
      <w:proofErr w:type="spellEnd"/>
      <w:proofErr w:type="gramEnd"/>
      <w:r w:rsidRPr="00A074E2">
        <w:rPr>
          <w:rFonts w:ascii="Garamond" w:hAnsi="Garamond"/>
          <w:lang w:val="fr-FR"/>
        </w:rPr>
        <w:t xml:space="preserve"> Descartes </w:t>
      </w:r>
      <w:proofErr w:type="spellStart"/>
      <w:r w:rsidRPr="00A074E2">
        <w:rPr>
          <w:rFonts w:ascii="Garamond" w:hAnsi="Garamond"/>
          <w:lang w:val="fr-FR"/>
        </w:rPr>
        <w:t>University</w:t>
      </w:r>
      <w:proofErr w:type="spellEnd"/>
    </w:p>
    <w:p w14:paraId="5782469B" w14:textId="77777777" w:rsidR="00CC3DDD" w:rsidRPr="00A074E2" w:rsidRDefault="00CC3DDD" w:rsidP="00CC3DDD">
      <w:pPr>
        <w:rPr>
          <w:rFonts w:ascii="Garamond" w:hAnsi="Garamond"/>
          <w:lang w:val="fr-FR"/>
        </w:rPr>
      </w:pPr>
      <w:r w:rsidRPr="00A074E2">
        <w:rPr>
          <w:rFonts w:ascii="Garamond" w:hAnsi="Garamond"/>
          <w:lang w:val="fr-FR"/>
        </w:rPr>
        <w:t xml:space="preserve">12, rue de l’Ecole de </w:t>
      </w:r>
      <w:proofErr w:type="spellStart"/>
      <w:r w:rsidRPr="00A074E2">
        <w:rPr>
          <w:rFonts w:ascii="Garamond" w:hAnsi="Garamond"/>
          <w:lang w:val="fr-FR"/>
        </w:rPr>
        <w:t>Medecine</w:t>
      </w:r>
      <w:proofErr w:type="spellEnd"/>
    </w:p>
    <w:p w14:paraId="3BDB9089" w14:textId="77777777" w:rsidR="00CC3DDD" w:rsidRDefault="00CC3DDD" w:rsidP="00CC3DDD">
      <w:pPr>
        <w:rPr>
          <w:rFonts w:ascii="Garamond" w:hAnsi="Garamond"/>
        </w:rPr>
      </w:pPr>
      <w:r w:rsidRPr="00A074E2">
        <w:rPr>
          <w:rFonts w:ascii="Garamond" w:hAnsi="Garamond"/>
        </w:rPr>
        <w:t>75006 Paris, France</w:t>
      </w:r>
    </w:p>
    <w:p w14:paraId="7144A4A5" w14:textId="77777777" w:rsidR="00CC3DDD" w:rsidRDefault="00CC3DDD" w:rsidP="00CC3DDD">
      <w:pPr>
        <w:rPr>
          <w:rFonts w:ascii="Garamond" w:hAnsi="Garamond"/>
        </w:rPr>
      </w:pPr>
    </w:p>
    <w:p w14:paraId="716D35B7" w14:textId="77777777" w:rsidR="00CC3DDD" w:rsidRPr="006A061C" w:rsidRDefault="00CC3DDD" w:rsidP="00CC3DDD">
      <w:pPr>
        <w:widowControl w:val="0"/>
        <w:autoSpaceDE w:val="0"/>
        <w:autoSpaceDN w:val="0"/>
        <w:adjustRightInd w:val="0"/>
        <w:rPr>
          <w:rFonts w:ascii="Garamond" w:hAnsi="Garamond"/>
        </w:rPr>
      </w:pPr>
      <w:proofErr w:type="spellStart"/>
      <w:r w:rsidRPr="006A061C">
        <w:rPr>
          <w:rFonts w:ascii="Garamond" w:hAnsi="Garamond"/>
          <w:vertAlign w:val="superscript"/>
        </w:rPr>
        <w:lastRenderedPageBreak/>
        <w:t>h</w:t>
      </w:r>
      <w:r w:rsidRPr="006A061C">
        <w:rPr>
          <w:rFonts w:ascii="Garamond" w:hAnsi="Garamond"/>
        </w:rPr>
        <w:t>CUNY</w:t>
      </w:r>
      <w:proofErr w:type="spellEnd"/>
      <w:r w:rsidRPr="006A061C">
        <w:rPr>
          <w:rFonts w:ascii="Garamond" w:hAnsi="Garamond"/>
        </w:rPr>
        <w:t xml:space="preserve"> Graduate School of Public Health and Health Policy</w:t>
      </w:r>
    </w:p>
    <w:p w14:paraId="05B29D5A" w14:textId="77777777" w:rsidR="00CC3DDD" w:rsidRPr="006A061C" w:rsidRDefault="00CC3DDD" w:rsidP="00CC3DDD">
      <w:pPr>
        <w:widowControl w:val="0"/>
        <w:autoSpaceDE w:val="0"/>
        <w:autoSpaceDN w:val="0"/>
        <w:adjustRightInd w:val="0"/>
        <w:rPr>
          <w:rFonts w:ascii="Garamond" w:hAnsi="Garamond"/>
        </w:rPr>
      </w:pPr>
      <w:r w:rsidRPr="006A061C">
        <w:rPr>
          <w:rFonts w:ascii="Garamond" w:hAnsi="Garamond"/>
        </w:rPr>
        <w:t>205 East 42nd Street</w:t>
      </w:r>
    </w:p>
    <w:p w14:paraId="304B4084" w14:textId="77777777" w:rsidR="00CC3DDD" w:rsidRPr="006A061C" w:rsidRDefault="00CC3DDD" w:rsidP="00CC3DDD">
      <w:pPr>
        <w:widowControl w:val="0"/>
        <w:autoSpaceDE w:val="0"/>
        <w:autoSpaceDN w:val="0"/>
        <w:adjustRightInd w:val="0"/>
        <w:rPr>
          <w:rFonts w:ascii="Garamond" w:hAnsi="Garamond"/>
        </w:rPr>
      </w:pPr>
      <w:r w:rsidRPr="006A061C">
        <w:rPr>
          <w:rFonts w:ascii="Garamond" w:hAnsi="Garamond"/>
        </w:rPr>
        <w:t>New York, NY 10017, USA</w:t>
      </w:r>
    </w:p>
    <w:p w14:paraId="51F6D1FB" w14:textId="77777777" w:rsidR="00CC3DDD" w:rsidRPr="006A061C" w:rsidRDefault="00CC3DDD" w:rsidP="00CC3DDD">
      <w:pPr>
        <w:widowControl w:val="0"/>
        <w:autoSpaceDE w:val="0"/>
        <w:autoSpaceDN w:val="0"/>
        <w:adjustRightInd w:val="0"/>
        <w:rPr>
          <w:rFonts w:ascii="Garamond" w:hAnsi="Garamond"/>
        </w:rPr>
      </w:pPr>
    </w:p>
    <w:p w14:paraId="04E275B6" w14:textId="77777777" w:rsidR="00CC3DDD" w:rsidRPr="006A061C" w:rsidRDefault="00CC3DDD" w:rsidP="00CC3DDD">
      <w:pPr>
        <w:widowControl w:val="0"/>
        <w:autoSpaceDE w:val="0"/>
        <w:autoSpaceDN w:val="0"/>
        <w:adjustRightInd w:val="0"/>
        <w:rPr>
          <w:rFonts w:ascii="Garamond" w:hAnsi="Garamond"/>
        </w:rPr>
      </w:pPr>
    </w:p>
    <w:p w14:paraId="7A699124" w14:textId="77777777" w:rsidR="00CC3DDD" w:rsidRDefault="00CC3DDD">
      <w:pPr>
        <w:rPr>
          <w:rFonts w:ascii="Garamond" w:hAnsi="Garamond"/>
          <w:b/>
        </w:rPr>
      </w:pPr>
      <w:r>
        <w:rPr>
          <w:rFonts w:ascii="Garamond" w:hAnsi="Garamond"/>
          <w:b/>
        </w:rPr>
        <w:br w:type="page"/>
      </w:r>
    </w:p>
    <w:p w14:paraId="1D08FF13" w14:textId="03E4C516" w:rsidR="000F2697" w:rsidRDefault="0034778C" w:rsidP="000F2697">
      <w:pPr>
        <w:contextualSpacing/>
        <w:jc w:val="center"/>
        <w:rPr>
          <w:rFonts w:ascii="Garamond" w:hAnsi="Garamond"/>
          <w:b/>
        </w:rPr>
      </w:pPr>
      <w:r>
        <w:rPr>
          <w:rFonts w:ascii="Garamond" w:hAnsi="Garamond"/>
          <w:b/>
        </w:rPr>
        <w:lastRenderedPageBreak/>
        <w:t>Longer schooling</w:t>
      </w:r>
      <w:r w:rsidR="000F2697">
        <w:rPr>
          <w:rFonts w:ascii="Garamond" w:hAnsi="Garamond"/>
          <w:b/>
        </w:rPr>
        <w:t xml:space="preserve"> but not better off? A quasi-experimental study of the effect of compulsory schooling on biomarkers in France</w:t>
      </w:r>
    </w:p>
    <w:p w14:paraId="0EA27DE2" w14:textId="77777777" w:rsidR="000F2697" w:rsidRDefault="000F2697" w:rsidP="00C278B9">
      <w:pPr>
        <w:contextualSpacing/>
        <w:jc w:val="both"/>
        <w:outlineLvl w:val="0"/>
        <w:rPr>
          <w:rFonts w:ascii="Garamond" w:hAnsi="Garamond"/>
          <w:b/>
        </w:rPr>
      </w:pPr>
    </w:p>
    <w:p w14:paraId="0AC40538" w14:textId="77777777" w:rsidR="000F2697" w:rsidRDefault="000F2697" w:rsidP="00C278B9">
      <w:pPr>
        <w:contextualSpacing/>
        <w:jc w:val="both"/>
        <w:outlineLvl w:val="0"/>
        <w:rPr>
          <w:rFonts w:ascii="Garamond" w:hAnsi="Garamond"/>
          <w:b/>
        </w:rPr>
      </w:pPr>
    </w:p>
    <w:p w14:paraId="064F948A" w14:textId="315EB1CE" w:rsidR="008A2D19" w:rsidRDefault="008A2D19" w:rsidP="00C278B9">
      <w:pPr>
        <w:contextualSpacing/>
        <w:jc w:val="both"/>
        <w:outlineLvl w:val="0"/>
        <w:rPr>
          <w:rFonts w:ascii="Garamond" w:hAnsi="Garamond"/>
          <w:b/>
        </w:rPr>
      </w:pPr>
      <w:r>
        <w:rPr>
          <w:rFonts w:ascii="Garamond" w:hAnsi="Garamond"/>
          <w:b/>
        </w:rPr>
        <w:t>Abstract</w:t>
      </w:r>
    </w:p>
    <w:p w14:paraId="0BBFDF78" w14:textId="77777777" w:rsidR="008A2D19" w:rsidRDefault="008A2D19" w:rsidP="00732323">
      <w:pPr>
        <w:contextualSpacing/>
        <w:jc w:val="both"/>
        <w:rPr>
          <w:rFonts w:ascii="Garamond" w:hAnsi="Garamond"/>
          <w:b/>
        </w:rPr>
      </w:pPr>
    </w:p>
    <w:p w14:paraId="091A5A8C" w14:textId="3C5EF8E2" w:rsidR="00063E10" w:rsidRPr="00702DB1" w:rsidRDefault="00D751A1" w:rsidP="000743A6">
      <w:pPr>
        <w:jc w:val="both"/>
        <w:rPr>
          <w:rFonts w:ascii="Garamond" w:hAnsi="Garamond"/>
        </w:rPr>
      </w:pPr>
      <w:r>
        <w:rPr>
          <w:rFonts w:ascii="Garamond" w:hAnsi="Garamond"/>
        </w:rPr>
        <w:t>Less schooling</w:t>
      </w:r>
      <w:r w:rsidR="00167EE0">
        <w:rPr>
          <w:rFonts w:ascii="Garamond" w:hAnsi="Garamond"/>
        </w:rPr>
        <w:t xml:space="preserve"> </w:t>
      </w:r>
      <w:r w:rsidR="00B60681">
        <w:rPr>
          <w:rFonts w:ascii="Garamond" w:hAnsi="Garamond"/>
        </w:rPr>
        <w:t>is associate</w:t>
      </w:r>
      <w:r w:rsidR="0067566C">
        <w:rPr>
          <w:rFonts w:ascii="Garamond" w:hAnsi="Garamond"/>
        </w:rPr>
        <w:t>d</w:t>
      </w:r>
      <w:r w:rsidR="00B60681">
        <w:rPr>
          <w:rFonts w:ascii="Garamond" w:hAnsi="Garamond"/>
        </w:rPr>
        <w:t xml:space="preserve"> with </w:t>
      </w:r>
      <w:r w:rsidR="00C317DD">
        <w:rPr>
          <w:rFonts w:ascii="Garamond" w:hAnsi="Garamond"/>
        </w:rPr>
        <w:t>increased biological risk</w:t>
      </w:r>
      <w:r>
        <w:rPr>
          <w:rFonts w:ascii="Garamond" w:hAnsi="Garamond"/>
        </w:rPr>
        <w:t>s</w:t>
      </w:r>
      <w:r w:rsidR="00C317DD">
        <w:rPr>
          <w:rFonts w:ascii="Garamond" w:hAnsi="Garamond"/>
        </w:rPr>
        <w:t xml:space="preserve"> for chronic disease, </w:t>
      </w:r>
      <w:r w:rsidR="003A163B">
        <w:rPr>
          <w:rFonts w:ascii="Garamond" w:hAnsi="Garamond"/>
        </w:rPr>
        <w:t xml:space="preserve">but whether </w:t>
      </w:r>
      <w:r>
        <w:rPr>
          <w:rFonts w:ascii="Garamond" w:hAnsi="Garamond"/>
        </w:rPr>
        <w:t xml:space="preserve">increasing years of schooling through policy interventions reduces these risks </w:t>
      </w:r>
      <w:r w:rsidR="003A163B">
        <w:rPr>
          <w:rFonts w:ascii="Garamond" w:hAnsi="Garamond"/>
        </w:rPr>
        <w:t xml:space="preserve">remains </w:t>
      </w:r>
      <w:r w:rsidR="00702DB1">
        <w:rPr>
          <w:rFonts w:ascii="Garamond" w:hAnsi="Garamond"/>
        </w:rPr>
        <w:t>unclear</w:t>
      </w:r>
      <w:r w:rsidR="003A163B">
        <w:rPr>
          <w:rFonts w:ascii="Garamond" w:hAnsi="Garamond"/>
        </w:rPr>
        <w:t xml:space="preserve">. </w:t>
      </w:r>
      <w:r w:rsidR="00063E10">
        <w:rPr>
          <w:rFonts w:ascii="Garamond" w:hAnsi="Garamond"/>
        </w:rPr>
        <w:t>W</w:t>
      </w:r>
      <w:r w:rsidR="0070422F">
        <w:rPr>
          <w:rFonts w:ascii="Garamond" w:hAnsi="Garamond"/>
        </w:rPr>
        <w:t xml:space="preserve">e </w:t>
      </w:r>
      <w:r w:rsidR="00063E10">
        <w:rPr>
          <w:rFonts w:ascii="Garamond" w:hAnsi="Garamond"/>
        </w:rPr>
        <w:t xml:space="preserve">examine the effect of </w:t>
      </w:r>
      <w:r w:rsidR="009C1BE0">
        <w:rPr>
          <w:rFonts w:ascii="Garamond" w:hAnsi="Garamond"/>
        </w:rPr>
        <w:t xml:space="preserve">a major education reform introduced in </w:t>
      </w:r>
      <w:r w:rsidR="0004281D">
        <w:rPr>
          <w:rFonts w:ascii="Garamond" w:hAnsi="Garamond"/>
        </w:rPr>
        <w:t>195</w:t>
      </w:r>
      <w:r w:rsidR="00702DB1">
        <w:rPr>
          <w:rFonts w:ascii="Garamond" w:hAnsi="Garamond"/>
        </w:rPr>
        <w:t>9</w:t>
      </w:r>
      <w:r w:rsidR="0004281D">
        <w:rPr>
          <w:rFonts w:ascii="Garamond" w:hAnsi="Garamond"/>
        </w:rPr>
        <w:t xml:space="preserve"> </w:t>
      </w:r>
      <w:r w:rsidR="00673768">
        <w:rPr>
          <w:rFonts w:ascii="Garamond" w:hAnsi="Garamond"/>
        </w:rPr>
        <w:t>that</w:t>
      </w:r>
      <w:r w:rsidR="009C1BE0">
        <w:rPr>
          <w:rFonts w:ascii="Garamond" w:hAnsi="Garamond"/>
        </w:rPr>
        <w:t xml:space="preserve"> raised the minimum school leaving age from 14 to 16 </w:t>
      </w:r>
      <w:r w:rsidR="00063E10">
        <w:rPr>
          <w:rFonts w:ascii="Garamond" w:hAnsi="Garamond"/>
        </w:rPr>
        <w:t>years</w:t>
      </w:r>
      <w:r w:rsidR="00880EC2">
        <w:rPr>
          <w:rFonts w:ascii="Garamond" w:hAnsi="Garamond"/>
        </w:rPr>
        <w:t xml:space="preserve"> in France</w:t>
      </w:r>
      <w:r w:rsidR="00063E10">
        <w:rPr>
          <w:rFonts w:ascii="Garamond" w:hAnsi="Garamond"/>
        </w:rPr>
        <w:t xml:space="preserve">, offering a unique natural experiment. We </w:t>
      </w:r>
      <w:r w:rsidR="00C4090C">
        <w:rPr>
          <w:rFonts w:ascii="Garamond" w:hAnsi="Garamond"/>
        </w:rPr>
        <w:t xml:space="preserve">assess </w:t>
      </w:r>
      <w:r w:rsidR="009C1BE0">
        <w:rPr>
          <w:rFonts w:ascii="Garamond" w:hAnsi="Garamond"/>
        </w:rPr>
        <w:t xml:space="preserve">the causal impact of </w:t>
      </w:r>
      <w:r w:rsidR="00063E10">
        <w:rPr>
          <w:rFonts w:ascii="Garamond" w:hAnsi="Garamond"/>
        </w:rPr>
        <w:t>increased</w:t>
      </w:r>
      <w:r w:rsidR="00080EBE">
        <w:rPr>
          <w:rFonts w:ascii="Garamond" w:hAnsi="Garamond"/>
        </w:rPr>
        <w:t xml:space="preserve"> </w:t>
      </w:r>
      <w:r w:rsidR="0004281D">
        <w:rPr>
          <w:rFonts w:ascii="Garamond" w:hAnsi="Garamond"/>
        </w:rPr>
        <w:t>schooling duration</w:t>
      </w:r>
      <w:r w:rsidR="009C1BE0">
        <w:rPr>
          <w:rFonts w:ascii="Garamond" w:hAnsi="Garamond"/>
        </w:rPr>
        <w:t xml:space="preserve"> on </w:t>
      </w:r>
      <w:r w:rsidR="00CC4AB6">
        <w:rPr>
          <w:rFonts w:ascii="Garamond" w:hAnsi="Garamond"/>
        </w:rPr>
        <w:t>1</w:t>
      </w:r>
      <w:r w:rsidR="00702DB1">
        <w:rPr>
          <w:rFonts w:ascii="Garamond" w:hAnsi="Garamond"/>
        </w:rPr>
        <w:t>6</w:t>
      </w:r>
      <w:r w:rsidR="00C4090C">
        <w:rPr>
          <w:rFonts w:ascii="Garamond" w:hAnsi="Garamond"/>
        </w:rPr>
        <w:t xml:space="preserve"> </w:t>
      </w:r>
      <w:r w:rsidR="00702DB1">
        <w:rPr>
          <w:rFonts w:ascii="Garamond" w:hAnsi="Garamond"/>
        </w:rPr>
        <w:t>biomarkers</w:t>
      </w:r>
      <w:r w:rsidR="005D3667">
        <w:rPr>
          <w:rFonts w:ascii="Garamond" w:hAnsi="Garamond"/>
        </w:rPr>
        <w:t xml:space="preserve"> of c</w:t>
      </w:r>
      <w:r w:rsidR="00080EBE">
        <w:rPr>
          <w:rFonts w:ascii="Garamond" w:hAnsi="Garamond"/>
        </w:rPr>
        <w:t xml:space="preserve">ardiovascular, </w:t>
      </w:r>
      <w:r w:rsidR="00904BEB">
        <w:rPr>
          <w:rFonts w:ascii="Garamond" w:hAnsi="Garamond"/>
        </w:rPr>
        <w:t xml:space="preserve">metabolic, </w:t>
      </w:r>
      <w:r w:rsidR="00B87E6A">
        <w:rPr>
          <w:rFonts w:ascii="Garamond" w:hAnsi="Garamond"/>
        </w:rPr>
        <w:t>organ</w:t>
      </w:r>
      <w:r w:rsidR="00904BEB">
        <w:rPr>
          <w:rFonts w:ascii="Garamond" w:hAnsi="Garamond"/>
        </w:rPr>
        <w:t xml:space="preserve"> </w:t>
      </w:r>
      <w:r w:rsidR="00702DB1">
        <w:rPr>
          <w:rFonts w:ascii="Garamond" w:hAnsi="Garamond"/>
        </w:rPr>
        <w:t xml:space="preserve">and </w:t>
      </w:r>
      <w:r w:rsidR="00256D6E">
        <w:rPr>
          <w:rFonts w:ascii="Garamond" w:hAnsi="Garamond"/>
        </w:rPr>
        <w:t>immune function</w:t>
      </w:r>
      <w:r w:rsidR="0004281D">
        <w:rPr>
          <w:rFonts w:ascii="Garamond" w:hAnsi="Garamond"/>
        </w:rPr>
        <w:t xml:space="preserve"> in a large cohort of men and women born around 1953</w:t>
      </w:r>
      <w:r w:rsidR="00045DA2">
        <w:rPr>
          <w:rFonts w:ascii="Garamond" w:hAnsi="Garamond"/>
        </w:rPr>
        <w:t xml:space="preserve">. </w:t>
      </w:r>
      <w:r w:rsidR="009C1BE0">
        <w:rPr>
          <w:rFonts w:ascii="Garamond" w:hAnsi="Garamond"/>
        </w:rPr>
        <w:t xml:space="preserve">Using a </w:t>
      </w:r>
      <w:r w:rsidR="0070422F">
        <w:rPr>
          <w:rFonts w:ascii="Garamond" w:hAnsi="Garamond"/>
        </w:rPr>
        <w:t>Regression Discontinuity Design</w:t>
      </w:r>
      <w:r w:rsidR="009C1BE0">
        <w:rPr>
          <w:rFonts w:ascii="Garamond" w:hAnsi="Garamond"/>
        </w:rPr>
        <w:t xml:space="preserve">, we find that the reform led to a significant increase in schooling </w:t>
      </w:r>
      <w:r w:rsidR="004052F2">
        <w:rPr>
          <w:rFonts w:ascii="Garamond" w:hAnsi="Garamond"/>
        </w:rPr>
        <w:t xml:space="preserve">duration </w:t>
      </w:r>
      <w:r w:rsidR="009C1BE0">
        <w:rPr>
          <w:rFonts w:ascii="Garamond" w:hAnsi="Garamond"/>
        </w:rPr>
        <w:t xml:space="preserve">among </w:t>
      </w:r>
      <w:r w:rsidR="0004281D">
        <w:rPr>
          <w:rFonts w:ascii="Garamond" w:hAnsi="Garamond"/>
        </w:rPr>
        <w:t>children from disadvantaged families</w:t>
      </w:r>
      <w:r w:rsidR="00F5714D">
        <w:rPr>
          <w:rFonts w:ascii="Garamond" w:hAnsi="Garamond"/>
        </w:rPr>
        <w:t>;</w:t>
      </w:r>
      <w:r w:rsidR="009C1BE0">
        <w:rPr>
          <w:rFonts w:ascii="Garamond" w:hAnsi="Garamond"/>
        </w:rPr>
        <w:t xml:space="preserve"> but </w:t>
      </w:r>
      <w:r w:rsidR="0087234D">
        <w:rPr>
          <w:rFonts w:ascii="Garamond" w:hAnsi="Garamond"/>
        </w:rPr>
        <w:t>longer</w:t>
      </w:r>
      <w:r w:rsidR="007C02F0">
        <w:rPr>
          <w:rFonts w:ascii="Garamond" w:hAnsi="Garamond"/>
        </w:rPr>
        <w:t xml:space="preserve"> schooling </w:t>
      </w:r>
      <w:r w:rsidR="009C1BE0">
        <w:rPr>
          <w:rFonts w:ascii="Garamond" w:hAnsi="Garamond"/>
        </w:rPr>
        <w:t xml:space="preserve">did not translate into better </w:t>
      </w:r>
      <w:r w:rsidR="00063E10">
        <w:rPr>
          <w:rFonts w:ascii="Garamond" w:hAnsi="Garamond"/>
        </w:rPr>
        <w:t>biomarker profiles</w:t>
      </w:r>
      <w:r w:rsidR="0024527A">
        <w:rPr>
          <w:rFonts w:ascii="Garamond" w:hAnsi="Garamond"/>
        </w:rPr>
        <w:t xml:space="preserve"> in adulthood</w:t>
      </w:r>
      <w:r w:rsidR="009C1BE0">
        <w:rPr>
          <w:rFonts w:ascii="Garamond" w:hAnsi="Garamond"/>
        </w:rPr>
        <w:t xml:space="preserve">. </w:t>
      </w:r>
      <w:r w:rsidR="009224C1">
        <w:rPr>
          <w:rFonts w:ascii="Garamond" w:hAnsi="Garamond"/>
        </w:rPr>
        <w:t>Eligibility to the</w:t>
      </w:r>
      <w:r w:rsidR="00CA6F42">
        <w:rPr>
          <w:rFonts w:ascii="Garamond" w:hAnsi="Garamond"/>
        </w:rPr>
        <w:t xml:space="preserve"> reform had no impact on the biomarker profile of respondents from intermediate or high social class</w:t>
      </w:r>
      <w:r w:rsidR="00F5714D">
        <w:rPr>
          <w:rFonts w:ascii="Garamond" w:hAnsi="Garamond"/>
        </w:rPr>
        <w:t xml:space="preserve"> families</w:t>
      </w:r>
      <w:r w:rsidR="00CA6F42">
        <w:rPr>
          <w:rFonts w:ascii="Garamond" w:hAnsi="Garamond"/>
        </w:rPr>
        <w:t xml:space="preserve">, while </w:t>
      </w:r>
      <w:r w:rsidR="009224C1">
        <w:rPr>
          <w:rFonts w:ascii="Garamond" w:hAnsi="Garamond"/>
        </w:rPr>
        <w:t>it</w:t>
      </w:r>
      <w:r w:rsidR="00063E10">
        <w:rPr>
          <w:rFonts w:ascii="Garamond" w:hAnsi="Garamond"/>
        </w:rPr>
        <w:t xml:space="preserve"> led to increased blood pressure </w:t>
      </w:r>
      <w:r w:rsidR="001B70D7">
        <w:rPr>
          <w:rFonts w:ascii="Garamond" w:hAnsi="Garamond"/>
        </w:rPr>
        <w:t xml:space="preserve">and white cells counts </w:t>
      </w:r>
      <w:r w:rsidR="00063E10">
        <w:rPr>
          <w:rFonts w:ascii="Garamond" w:hAnsi="Garamond"/>
        </w:rPr>
        <w:t xml:space="preserve">in adulthood among those from </w:t>
      </w:r>
      <w:r w:rsidR="00583663">
        <w:rPr>
          <w:rFonts w:ascii="Garamond" w:hAnsi="Garamond"/>
        </w:rPr>
        <w:t>low</w:t>
      </w:r>
      <w:r w:rsidR="00CA6F42">
        <w:rPr>
          <w:rFonts w:ascii="Garamond" w:hAnsi="Garamond"/>
        </w:rPr>
        <w:t xml:space="preserve"> parental social class</w:t>
      </w:r>
      <w:r w:rsidR="00063E10">
        <w:rPr>
          <w:rFonts w:ascii="Garamond" w:hAnsi="Garamond"/>
        </w:rPr>
        <w:t xml:space="preserve">. </w:t>
      </w:r>
      <w:r w:rsidR="00441ABC">
        <w:rPr>
          <w:rFonts w:ascii="Garamond" w:hAnsi="Garamond"/>
        </w:rPr>
        <w:t>These findings</w:t>
      </w:r>
      <w:r w:rsidR="005D3667">
        <w:rPr>
          <w:rFonts w:ascii="Garamond" w:hAnsi="Garamond"/>
        </w:rPr>
        <w:t xml:space="preserve"> </w:t>
      </w:r>
      <w:r w:rsidR="003A232A">
        <w:rPr>
          <w:rFonts w:ascii="Garamond" w:hAnsi="Garamond"/>
        </w:rPr>
        <w:t>were</w:t>
      </w:r>
      <w:r w:rsidR="005D3667">
        <w:rPr>
          <w:rFonts w:ascii="Garamond" w:hAnsi="Garamond"/>
        </w:rPr>
        <w:t xml:space="preserve"> robust acros</w:t>
      </w:r>
      <w:r w:rsidR="003A232A">
        <w:rPr>
          <w:rFonts w:ascii="Garamond" w:hAnsi="Garamond"/>
        </w:rPr>
        <w:t xml:space="preserve">s several sensitivity analyses. </w:t>
      </w:r>
      <w:r w:rsidR="001A6D16">
        <w:rPr>
          <w:rFonts w:ascii="Garamond" w:hAnsi="Garamond"/>
        </w:rPr>
        <w:t>They</w:t>
      </w:r>
      <w:r w:rsidR="003A232A" w:rsidRPr="003A232A">
        <w:rPr>
          <w:rFonts w:ascii="Garamond" w:hAnsi="Garamond"/>
        </w:rPr>
        <w:t xml:space="preserve"> </w:t>
      </w:r>
      <w:r w:rsidR="00B84253">
        <w:rPr>
          <w:rFonts w:ascii="Garamond" w:hAnsi="Garamond"/>
        </w:rPr>
        <w:t xml:space="preserve">emphasize the importance of </w:t>
      </w:r>
      <w:r w:rsidR="00C12564">
        <w:rPr>
          <w:rFonts w:ascii="Garamond" w:hAnsi="Garamond"/>
        </w:rPr>
        <w:t xml:space="preserve">considering the institutional context and the </w:t>
      </w:r>
      <w:r w:rsidR="00B84253">
        <w:rPr>
          <w:rFonts w:ascii="Garamond" w:hAnsi="Garamond"/>
        </w:rPr>
        <w:t xml:space="preserve">respondents’ social origins </w:t>
      </w:r>
      <w:r w:rsidR="001A6D16">
        <w:rPr>
          <w:rFonts w:ascii="Garamond" w:hAnsi="Garamond"/>
        </w:rPr>
        <w:t xml:space="preserve">when evaluating the health effects of compulsory schooling reforms. Our results </w:t>
      </w:r>
      <w:r w:rsidR="003A232A" w:rsidRPr="003A232A">
        <w:rPr>
          <w:rFonts w:ascii="Garamond" w:hAnsi="Garamond"/>
        </w:rPr>
        <w:t xml:space="preserve">do not necessarily question the </w:t>
      </w:r>
      <w:r w:rsidR="00C16517">
        <w:rPr>
          <w:rFonts w:ascii="Garamond" w:hAnsi="Garamond"/>
        </w:rPr>
        <w:t>premise</w:t>
      </w:r>
      <w:r w:rsidR="003A232A" w:rsidRPr="003A232A">
        <w:rPr>
          <w:rFonts w:ascii="Garamond" w:hAnsi="Garamond"/>
        </w:rPr>
        <w:t xml:space="preserve"> that education lead</w:t>
      </w:r>
      <w:r w:rsidR="00256D6E">
        <w:rPr>
          <w:rFonts w:ascii="Garamond" w:hAnsi="Garamond"/>
        </w:rPr>
        <w:t>s</w:t>
      </w:r>
      <w:r w:rsidR="003A232A" w:rsidRPr="003A232A">
        <w:rPr>
          <w:rFonts w:ascii="Garamond" w:hAnsi="Garamond"/>
        </w:rPr>
        <w:t xml:space="preserve"> to better health, but they </w:t>
      </w:r>
      <w:r>
        <w:rPr>
          <w:rFonts w:ascii="Garamond" w:hAnsi="Garamond"/>
        </w:rPr>
        <w:t xml:space="preserve">suggest that law-mandated increases in schooling alone may not improve the health of </w:t>
      </w:r>
      <w:r w:rsidR="003A232A" w:rsidRPr="003A232A">
        <w:rPr>
          <w:rFonts w:ascii="Garamond" w:hAnsi="Garamond"/>
        </w:rPr>
        <w:t xml:space="preserve">disadvantaged groups. </w:t>
      </w:r>
    </w:p>
    <w:p w14:paraId="1609F721" w14:textId="77777777" w:rsidR="00880EC2" w:rsidRDefault="00880EC2">
      <w:pPr>
        <w:rPr>
          <w:rFonts w:ascii="Garamond" w:hAnsi="Garamond"/>
          <w:b/>
        </w:rPr>
      </w:pPr>
    </w:p>
    <w:p w14:paraId="22C03A39" w14:textId="6F942747" w:rsidR="00880EC2" w:rsidRPr="00880EC2" w:rsidRDefault="00880EC2" w:rsidP="00880EC2">
      <w:pPr>
        <w:jc w:val="both"/>
        <w:rPr>
          <w:rFonts w:ascii="Garamond" w:hAnsi="Garamond"/>
        </w:rPr>
      </w:pPr>
      <w:r>
        <w:rPr>
          <w:rFonts w:ascii="Garamond" w:hAnsi="Garamond"/>
          <w:b/>
        </w:rPr>
        <w:t xml:space="preserve">Word count: </w:t>
      </w:r>
      <w:r w:rsidRPr="00AD61B7">
        <w:rPr>
          <w:rFonts w:ascii="Garamond" w:hAnsi="Garamond"/>
        </w:rPr>
        <w:t>7,</w:t>
      </w:r>
      <w:r w:rsidR="0077041E">
        <w:rPr>
          <w:rFonts w:ascii="Garamond" w:hAnsi="Garamond"/>
        </w:rPr>
        <w:t>963</w:t>
      </w:r>
      <w:r w:rsidR="0077041E">
        <w:rPr>
          <w:rFonts w:ascii="Garamond" w:hAnsi="Garamond"/>
          <w:b/>
        </w:rPr>
        <w:t xml:space="preserve"> </w:t>
      </w:r>
      <w:r w:rsidRPr="00880EC2">
        <w:rPr>
          <w:rFonts w:ascii="Garamond" w:hAnsi="Garamond"/>
        </w:rPr>
        <w:t>(including abstract, main text, tables, figures and references)</w:t>
      </w:r>
    </w:p>
    <w:p w14:paraId="130120C7" w14:textId="3495F459" w:rsidR="00880EC2" w:rsidRDefault="00880EC2" w:rsidP="00880EC2">
      <w:pPr>
        <w:jc w:val="both"/>
        <w:rPr>
          <w:rFonts w:ascii="Garamond" w:hAnsi="Garamond"/>
          <w:b/>
        </w:rPr>
      </w:pPr>
      <w:r>
        <w:rPr>
          <w:rFonts w:ascii="Garamond" w:hAnsi="Garamond"/>
          <w:b/>
        </w:rPr>
        <w:t xml:space="preserve">Keywords: </w:t>
      </w:r>
      <w:r w:rsidRPr="00880EC2">
        <w:rPr>
          <w:rFonts w:ascii="Garamond" w:hAnsi="Garamond"/>
        </w:rPr>
        <w:t>compulsory schooling law, regression discontinuity design, natural experiment, biomarkers</w:t>
      </w:r>
    </w:p>
    <w:p w14:paraId="02ACD1D1" w14:textId="2D53308F" w:rsidR="004C2B51" w:rsidRDefault="004C2B51">
      <w:pPr>
        <w:rPr>
          <w:rFonts w:ascii="Garamond" w:hAnsi="Garamond"/>
          <w:b/>
        </w:rPr>
      </w:pPr>
      <w:r>
        <w:rPr>
          <w:rFonts w:ascii="Garamond" w:hAnsi="Garamond"/>
          <w:b/>
        </w:rPr>
        <w:br w:type="page"/>
      </w:r>
    </w:p>
    <w:p w14:paraId="77C7184D" w14:textId="77CBCF39" w:rsidR="00A175FE" w:rsidRDefault="00D16606" w:rsidP="00C278B9">
      <w:pPr>
        <w:spacing w:line="480" w:lineRule="auto"/>
        <w:contextualSpacing/>
        <w:jc w:val="both"/>
        <w:outlineLvl w:val="0"/>
        <w:rPr>
          <w:rFonts w:ascii="Garamond" w:hAnsi="Garamond"/>
          <w:b/>
        </w:rPr>
      </w:pPr>
      <w:r w:rsidRPr="00515E78">
        <w:rPr>
          <w:rFonts w:ascii="Garamond" w:hAnsi="Garamond"/>
          <w:b/>
        </w:rPr>
        <w:lastRenderedPageBreak/>
        <w:t>Introduction</w:t>
      </w:r>
    </w:p>
    <w:p w14:paraId="238A54E5" w14:textId="77777777" w:rsidR="00DE661F" w:rsidRPr="00286DD7" w:rsidRDefault="00DE661F" w:rsidP="00C278B9">
      <w:pPr>
        <w:spacing w:line="480" w:lineRule="auto"/>
        <w:contextualSpacing/>
        <w:jc w:val="both"/>
        <w:outlineLvl w:val="0"/>
        <w:rPr>
          <w:rFonts w:ascii="Garamond" w:hAnsi="Garamond"/>
          <w:b/>
        </w:rPr>
      </w:pPr>
    </w:p>
    <w:p w14:paraId="4635989B" w14:textId="6E7FAD30" w:rsidR="00454AE9" w:rsidRDefault="005F0774" w:rsidP="005B6093">
      <w:pPr>
        <w:spacing w:line="480" w:lineRule="auto"/>
        <w:ind w:firstLine="720"/>
        <w:contextualSpacing/>
        <w:jc w:val="both"/>
        <w:rPr>
          <w:rFonts w:ascii="Garamond" w:hAnsi="Garamond"/>
        </w:rPr>
      </w:pPr>
      <w:r>
        <w:rPr>
          <w:rFonts w:ascii="Garamond" w:hAnsi="Garamond"/>
        </w:rPr>
        <w:t xml:space="preserve">There is </w:t>
      </w:r>
      <w:r w:rsidR="00554271">
        <w:rPr>
          <w:rFonts w:ascii="Garamond" w:hAnsi="Garamond"/>
        </w:rPr>
        <w:t xml:space="preserve">compelling </w:t>
      </w:r>
      <w:r w:rsidR="00C17C73">
        <w:rPr>
          <w:rFonts w:ascii="Garamond" w:hAnsi="Garamond"/>
        </w:rPr>
        <w:t xml:space="preserve">evidence that </w:t>
      </w:r>
      <w:r w:rsidR="00E53EC3">
        <w:rPr>
          <w:rFonts w:ascii="Garamond" w:hAnsi="Garamond"/>
        </w:rPr>
        <w:t xml:space="preserve">higher </w:t>
      </w:r>
      <w:r w:rsidR="00C17C73">
        <w:rPr>
          <w:rFonts w:ascii="Garamond" w:hAnsi="Garamond"/>
        </w:rPr>
        <w:t>educational attainment</w:t>
      </w:r>
      <w:r w:rsidR="00D751A1">
        <w:rPr>
          <w:rFonts w:ascii="Garamond" w:hAnsi="Garamond"/>
        </w:rPr>
        <w:t xml:space="preserve"> and longer schooling are </w:t>
      </w:r>
      <w:r w:rsidR="00E619EF">
        <w:rPr>
          <w:rFonts w:ascii="Garamond" w:hAnsi="Garamond"/>
        </w:rPr>
        <w:t xml:space="preserve">associated with </w:t>
      </w:r>
      <w:r w:rsidR="00E53EC3">
        <w:rPr>
          <w:rFonts w:ascii="Garamond" w:hAnsi="Garamond"/>
        </w:rPr>
        <w:t xml:space="preserve">better </w:t>
      </w:r>
      <w:r w:rsidR="00C17C73">
        <w:rPr>
          <w:rFonts w:ascii="Garamond" w:hAnsi="Garamond"/>
        </w:rPr>
        <w:t xml:space="preserve">health and longevity. This association, </w:t>
      </w:r>
      <w:r w:rsidR="00DE661F">
        <w:rPr>
          <w:rFonts w:ascii="Garamond" w:hAnsi="Garamond"/>
        </w:rPr>
        <w:t xml:space="preserve">consistent across countries, </w:t>
      </w:r>
      <w:r w:rsidR="00C17C73">
        <w:rPr>
          <w:rFonts w:ascii="Garamond" w:hAnsi="Garamond"/>
        </w:rPr>
        <w:t>outcomes and over time, has fueled interest in education policies as potential tools to improve population health</w:t>
      </w:r>
      <w:r w:rsidR="008D0533">
        <w:rPr>
          <w:rFonts w:ascii="Garamond" w:hAnsi="Garamond"/>
        </w:rPr>
        <w:t xml:space="preserve"> </w:t>
      </w:r>
      <w:r w:rsidR="00DF749D">
        <w:rPr>
          <w:rFonts w:ascii="Garamond" w:hAnsi="Garamond"/>
        </w:rPr>
        <w:fldChar w:fldCharType="begin"/>
      </w:r>
      <w:r w:rsidR="00CC2B97">
        <w:rPr>
          <w:rFonts w:ascii="Garamond" w:hAnsi="Garamond"/>
        </w:rPr>
        <w:instrText xml:space="preserve"> ADDIN EN.CITE &lt;EndNote&gt;&lt;Cite&gt;&lt;Author&gt;Klebanoff Cohen&lt;/Author&gt;&lt;Year&gt;2013&lt;/Year&gt;&lt;RecNum&gt;1&lt;/RecNum&gt;&lt;DisplayText&gt;(Klebanoff Cohen &amp;amp; Syme, 2013)&lt;/DisplayText&gt;&lt;record&gt;&lt;rec-number&gt;1&lt;/rec-number&gt;&lt;foreign-keys&gt;&lt;key app="EN" db-id="p5pavdvzwwdesueaz0rxssxmtd2ext2dvwpd" timestamp="1542656735"&gt;1&lt;/key&gt;&lt;/foreign-keys&gt;&lt;ref-type name="Journal Article"&gt;17&lt;/ref-type&gt;&lt;contributors&gt;&lt;authors&gt;&lt;author&gt;Klebanoff Cohen, A.&lt;/author&gt;&lt;author&gt;Syme, S.L.&lt;/author&gt;&lt;/authors&gt;&lt;/contributors&gt;&lt;titles&gt;&lt;title&gt;Education: a missed opportunity for public health intervention&lt;/title&gt;&lt;secondary-title&gt;American Journal of Public Health&lt;/secondary-title&gt;&lt;/titles&gt;&lt;periodical&gt;&lt;full-title&gt;American Journal of Public Health&lt;/full-title&gt;&lt;/periodical&gt;&lt;pages&gt;997-1001&lt;/pages&gt;&lt;volume&gt;103&lt;/volume&gt;&lt;number&gt;6&lt;/number&gt;&lt;dates&gt;&lt;year&gt;2013&lt;/year&gt;&lt;/dates&gt;&lt;urls&gt;&lt;/urls&gt;&lt;/record&gt;&lt;/Cite&gt;&lt;/EndNote&gt;</w:instrText>
      </w:r>
      <w:r w:rsidR="00DF749D">
        <w:rPr>
          <w:rFonts w:ascii="Garamond" w:hAnsi="Garamond"/>
        </w:rPr>
        <w:fldChar w:fldCharType="separate"/>
      </w:r>
      <w:r w:rsidR="00C07932">
        <w:rPr>
          <w:rFonts w:ascii="Garamond" w:hAnsi="Garamond"/>
          <w:noProof/>
        </w:rPr>
        <w:t>(</w:t>
      </w:r>
      <w:hyperlink w:anchor="_ENREF_40" w:tooltip="Klebanoff Cohen, 2013 #1" w:history="1">
        <w:r w:rsidR="006B1724">
          <w:rPr>
            <w:rFonts w:ascii="Garamond" w:hAnsi="Garamond"/>
            <w:noProof/>
          </w:rPr>
          <w:t>Klebanoff Cohen &amp; Syme, 2013</w:t>
        </w:r>
      </w:hyperlink>
      <w:r w:rsidR="00C07932">
        <w:rPr>
          <w:rFonts w:ascii="Garamond" w:hAnsi="Garamond"/>
          <w:noProof/>
        </w:rPr>
        <w:t>)</w:t>
      </w:r>
      <w:r w:rsidR="00DF749D">
        <w:rPr>
          <w:rFonts w:ascii="Garamond" w:hAnsi="Garamond"/>
        </w:rPr>
        <w:fldChar w:fldCharType="end"/>
      </w:r>
      <w:r w:rsidR="00C17C73">
        <w:rPr>
          <w:rFonts w:ascii="Garamond" w:hAnsi="Garamond"/>
        </w:rPr>
        <w:t xml:space="preserve">. </w:t>
      </w:r>
      <w:r w:rsidR="00DF749D">
        <w:rPr>
          <w:rFonts w:ascii="Garamond" w:hAnsi="Garamond"/>
        </w:rPr>
        <w:t>However, u</w:t>
      </w:r>
      <w:r w:rsidR="00645E92">
        <w:rPr>
          <w:rFonts w:ascii="Garamond" w:hAnsi="Garamond"/>
        </w:rPr>
        <w:t xml:space="preserve">nderstanding the </w:t>
      </w:r>
      <w:r w:rsidR="005623E1" w:rsidRPr="00391AF9">
        <w:rPr>
          <w:rFonts w:ascii="Garamond" w:hAnsi="Garamond"/>
        </w:rPr>
        <w:t>causal</w:t>
      </w:r>
      <w:r w:rsidR="005623E1" w:rsidRPr="00645E92">
        <w:rPr>
          <w:rFonts w:ascii="Garamond" w:hAnsi="Garamond"/>
        </w:rPr>
        <w:t xml:space="preserve"> </w:t>
      </w:r>
      <w:r w:rsidR="00645E92" w:rsidRPr="00645E92">
        <w:rPr>
          <w:rFonts w:ascii="Garamond" w:hAnsi="Garamond"/>
        </w:rPr>
        <w:t xml:space="preserve">nature of </w:t>
      </w:r>
      <w:r w:rsidR="00FF462E">
        <w:rPr>
          <w:rFonts w:ascii="Garamond" w:hAnsi="Garamond"/>
        </w:rPr>
        <w:t xml:space="preserve">the </w:t>
      </w:r>
      <w:r w:rsidR="00D66293">
        <w:rPr>
          <w:rFonts w:ascii="Garamond" w:hAnsi="Garamond"/>
        </w:rPr>
        <w:t xml:space="preserve">association </w:t>
      </w:r>
      <w:r w:rsidR="00FF462E">
        <w:rPr>
          <w:rFonts w:ascii="Garamond" w:hAnsi="Garamond"/>
        </w:rPr>
        <w:t>between education</w:t>
      </w:r>
      <w:r w:rsidR="00D751A1">
        <w:rPr>
          <w:rFonts w:ascii="Garamond" w:hAnsi="Garamond"/>
        </w:rPr>
        <w:t xml:space="preserve">, schooling duration </w:t>
      </w:r>
      <w:r w:rsidR="00FF462E">
        <w:rPr>
          <w:rFonts w:ascii="Garamond" w:hAnsi="Garamond"/>
        </w:rPr>
        <w:t>and health</w:t>
      </w:r>
      <w:r w:rsidR="00DF749D">
        <w:rPr>
          <w:rFonts w:ascii="Garamond" w:hAnsi="Garamond"/>
        </w:rPr>
        <w:t xml:space="preserve"> </w:t>
      </w:r>
      <w:r w:rsidR="00645E92">
        <w:rPr>
          <w:rFonts w:ascii="Garamond" w:hAnsi="Garamond"/>
        </w:rPr>
        <w:t xml:space="preserve">has proved </w:t>
      </w:r>
      <w:r w:rsidR="0083313D">
        <w:rPr>
          <w:rFonts w:ascii="Garamond" w:hAnsi="Garamond"/>
        </w:rPr>
        <w:t>challenging</w:t>
      </w:r>
      <w:r w:rsidR="0003027B">
        <w:rPr>
          <w:rFonts w:ascii="Garamond" w:hAnsi="Garamond"/>
        </w:rPr>
        <w:t xml:space="preserve"> </w:t>
      </w:r>
      <w:r w:rsidR="00CC4AB6">
        <w:rPr>
          <w:rFonts w:ascii="Garamond" w:hAnsi="Garamond"/>
        </w:rPr>
        <w:fldChar w:fldCharType="begin"/>
      </w:r>
      <w:r w:rsidR="00CC2B97">
        <w:rPr>
          <w:rFonts w:ascii="Garamond" w:hAnsi="Garamond"/>
        </w:rPr>
        <w:instrText xml:space="preserve"> ADDIN EN.CITE &lt;EndNote&gt;&lt;Cite&gt;&lt;Author&gt;Kawachi&lt;/Author&gt;&lt;Year&gt;2010&lt;/Year&gt;&lt;RecNum&gt;2&lt;/RecNum&gt;&lt;DisplayText&gt;(Karas Montez &amp;amp; Freidman, 2015; Kawachi, Adler, &amp;amp; Dow, 2010)&lt;/DisplayText&gt;&lt;record&gt;&lt;rec-number&gt;2&lt;/rec-number&gt;&lt;foreign-keys&gt;&lt;key app="EN" db-id="p5pavdvzwwdesueaz0rxssxmtd2ext2dvwpd" timestamp="1542656735"&gt;2&lt;/key&gt;&lt;/foreign-keys&gt;&lt;ref-type name="Journal Article"&gt;17&lt;/ref-type&gt;&lt;contributors&gt;&lt;authors&gt;&lt;author&gt;Kawachi, I.&lt;/author&gt;&lt;author&gt;Adler, N.E.&lt;/author&gt;&lt;author&gt;Dow, W.H.&lt;/author&gt;&lt;/authors&gt;&lt;/contributors&gt;&lt;titles&gt;&lt;title&gt;Money, schooling and health: Mechanisms and causal evidence&lt;/title&gt;&lt;secondary-title&gt;Annals of the New York Academy of Sciences&lt;/secondary-title&gt;&lt;/titles&gt;&lt;periodical&gt;&lt;full-title&gt;Annals of the New York Academy of Sciences&lt;/full-title&gt;&lt;/periodical&gt;&lt;pages&gt;56-68&lt;/pages&gt;&lt;volume&gt;1186&lt;/volume&gt;&lt;dates&gt;&lt;year&gt;2010&lt;/year&gt;&lt;/dates&gt;&lt;urls&gt;&lt;/urls&gt;&lt;/record&gt;&lt;/Cite&gt;&lt;Cite&gt;&lt;Author&gt;Karas Montez&lt;/Author&gt;&lt;Year&gt;2015&lt;/Year&gt;&lt;RecNum&gt;3&lt;/RecNum&gt;&lt;record&gt;&lt;rec-number&gt;3&lt;/rec-number&gt;&lt;foreign-keys&gt;&lt;key app="EN" db-id="p5pavdvzwwdesueaz0rxssxmtd2ext2dvwpd" timestamp="1542656735"&gt;3&lt;/key&gt;&lt;/foreign-keys&gt;&lt;ref-type name="Journal Article"&gt;17&lt;/ref-type&gt;&lt;contributors&gt;&lt;authors&gt;&lt;author&gt;Karas Montez, J.&lt;/author&gt;&lt;author&gt;Freidman, E. M.&lt;/author&gt;&lt;/authors&gt;&lt;/contributors&gt;&lt;titles&gt;&lt;title&gt;Educational attainment and adult health: Under what conditions is the association causal?&lt;/title&gt;&lt;secondary-title&gt;Social Science &amp;amp; Medicine&lt;/secondary-title&gt;&lt;/titles&gt;&lt;periodical&gt;&lt;full-title&gt;Social Science &amp;amp; Medicine&lt;/full-title&gt;&lt;/periodical&gt;&lt;pages&gt;1-7&lt;/pages&gt;&lt;volume&gt;127&lt;/volume&gt;&lt;dates&gt;&lt;year&gt;2015&lt;/year&gt;&lt;/dates&gt;&lt;urls&gt;&lt;/urls&gt;&lt;/record&gt;&lt;/Cite&gt;&lt;/EndNote&gt;</w:instrText>
      </w:r>
      <w:r w:rsidR="00CC4AB6">
        <w:rPr>
          <w:rFonts w:ascii="Garamond" w:hAnsi="Garamond"/>
        </w:rPr>
        <w:fldChar w:fldCharType="separate"/>
      </w:r>
      <w:r w:rsidR="00C07932">
        <w:rPr>
          <w:rFonts w:ascii="Garamond" w:hAnsi="Garamond"/>
          <w:noProof/>
        </w:rPr>
        <w:t>(</w:t>
      </w:r>
      <w:hyperlink w:anchor="_ENREF_37" w:tooltip="Karas Montez, 2015 #3" w:history="1">
        <w:r w:rsidR="006B1724">
          <w:rPr>
            <w:rFonts w:ascii="Garamond" w:hAnsi="Garamond"/>
            <w:noProof/>
          </w:rPr>
          <w:t>Karas Montez &amp; Freidman, 2015</w:t>
        </w:r>
      </w:hyperlink>
      <w:r w:rsidR="00C07932">
        <w:rPr>
          <w:rFonts w:ascii="Garamond" w:hAnsi="Garamond"/>
          <w:noProof/>
        </w:rPr>
        <w:t xml:space="preserve">; </w:t>
      </w:r>
      <w:hyperlink w:anchor="_ENREF_39" w:tooltip="Kawachi, 2010 #2" w:history="1">
        <w:r w:rsidR="006B1724">
          <w:rPr>
            <w:rFonts w:ascii="Garamond" w:hAnsi="Garamond"/>
            <w:noProof/>
          </w:rPr>
          <w:t>Kawachi, Adler, &amp; Dow, 2010</w:t>
        </w:r>
      </w:hyperlink>
      <w:r w:rsidR="00C07932">
        <w:rPr>
          <w:rFonts w:ascii="Garamond" w:hAnsi="Garamond"/>
          <w:noProof/>
        </w:rPr>
        <w:t>)</w:t>
      </w:r>
      <w:r w:rsidR="00CC4AB6">
        <w:rPr>
          <w:rFonts w:ascii="Garamond" w:hAnsi="Garamond"/>
        </w:rPr>
        <w:fldChar w:fldCharType="end"/>
      </w:r>
      <w:r w:rsidR="0083313D">
        <w:rPr>
          <w:rFonts w:ascii="Garamond" w:hAnsi="Garamond"/>
        </w:rPr>
        <w:t>.</w:t>
      </w:r>
      <w:r w:rsidR="005623E1" w:rsidRPr="005623E1">
        <w:rPr>
          <w:rFonts w:ascii="Garamond" w:hAnsi="Garamond"/>
        </w:rPr>
        <w:t xml:space="preserve"> </w:t>
      </w:r>
      <w:r w:rsidR="0083313D">
        <w:rPr>
          <w:rFonts w:ascii="Garamond" w:hAnsi="Garamond"/>
        </w:rPr>
        <w:t>F</w:t>
      </w:r>
      <w:r w:rsidR="00645E92">
        <w:rPr>
          <w:rFonts w:ascii="Garamond" w:hAnsi="Garamond"/>
        </w:rPr>
        <w:t xml:space="preserve">irst, </w:t>
      </w:r>
      <w:r w:rsidR="00FF462E">
        <w:rPr>
          <w:rFonts w:ascii="Garamond" w:hAnsi="Garamond"/>
        </w:rPr>
        <w:t>both</w:t>
      </w:r>
      <w:r w:rsidR="00645E92">
        <w:rPr>
          <w:rFonts w:ascii="Garamond" w:hAnsi="Garamond"/>
        </w:rPr>
        <w:t xml:space="preserve"> </w:t>
      </w:r>
      <w:r w:rsidR="00554271">
        <w:rPr>
          <w:rFonts w:ascii="Garamond" w:hAnsi="Garamond"/>
        </w:rPr>
        <w:t xml:space="preserve">health and education </w:t>
      </w:r>
      <w:r w:rsidR="00645E92">
        <w:rPr>
          <w:rFonts w:ascii="Garamond" w:hAnsi="Garamond"/>
        </w:rPr>
        <w:t>share common determinants including early life circumstances,</w:t>
      </w:r>
      <w:r w:rsidR="005623E1" w:rsidRPr="005623E1">
        <w:rPr>
          <w:rFonts w:ascii="Garamond" w:hAnsi="Garamond"/>
        </w:rPr>
        <w:t xml:space="preserve"> time preference</w:t>
      </w:r>
      <w:r w:rsidR="00645E92">
        <w:rPr>
          <w:rFonts w:ascii="Garamond" w:hAnsi="Garamond"/>
        </w:rPr>
        <w:t>s</w:t>
      </w:r>
      <w:r w:rsidR="005623E1" w:rsidRPr="005623E1">
        <w:rPr>
          <w:rFonts w:ascii="Garamond" w:hAnsi="Garamond"/>
        </w:rPr>
        <w:t xml:space="preserve"> and cognitive ability</w:t>
      </w:r>
      <w:r w:rsidR="0067582D">
        <w:rPr>
          <w:rFonts w:ascii="Garamond" w:hAnsi="Garamond"/>
        </w:rPr>
        <w:t xml:space="preserve"> </w:t>
      </w:r>
      <w:r w:rsidR="005623E1" w:rsidRPr="005623E1">
        <w:rPr>
          <w:rFonts w:ascii="Garamond" w:hAnsi="Garamond"/>
        </w:rPr>
        <w:fldChar w:fldCharType="begin"/>
      </w:r>
      <w:r w:rsidR="00CC2B97">
        <w:rPr>
          <w:rFonts w:ascii="Garamond" w:hAnsi="Garamond"/>
        </w:rPr>
        <w:instrText xml:space="preserve"> ADDIN EN.CITE &lt;EndNote&gt;&lt;Cite&gt;&lt;Author&gt;Cutler&lt;/Author&gt;&lt;Year&gt;2012&lt;/Year&gt;&lt;RecNum&gt;4&lt;/RecNum&gt;&lt;DisplayText&gt;(Cutler &amp;amp; Lleras-Muney, 2012)&lt;/DisplayText&gt;&lt;record&gt;&lt;rec-number&gt;4&lt;/rec-number&gt;&lt;foreign-keys&gt;&lt;key app="EN" db-id="p5pavdvzwwdesueaz0rxssxmtd2ext2dvwpd" timestamp="1542656736"&gt;4&lt;/key&gt;&lt;/foreign-keys&gt;&lt;ref-type name="Book"&gt;6&lt;/ref-type&gt;&lt;contributors&gt;&lt;authors&gt;&lt;author&gt;Cutler, D.M.&lt;/author&gt;&lt;author&gt;Lleras-Muney, A.&lt;/author&gt;&lt;/authors&gt;&lt;/contributors&gt;&lt;titles&gt;&lt;title&gt;Education and health: insights from international comparisons&lt;/title&gt;&lt;/titles&gt;&lt;dates&gt;&lt;year&gt;2012&lt;/year&gt;&lt;/dates&gt;&lt;pub-location&gt;Boston, MA&lt;/pub-location&gt;&lt;publisher&gt;National Bureau of Economic Research&lt;/publisher&gt;&lt;urls&gt;&lt;/urls&gt;&lt;/record&gt;&lt;/Cite&gt;&lt;/EndNote&gt;</w:instrText>
      </w:r>
      <w:r w:rsidR="005623E1" w:rsidRPr="005623E1">
        <w:rPr>
          <w:rFonts w:ascii="Garamond" w:hAnsi="Garamond"/>
        </w:rPr>
        <w:fldChar w:fldCharType="separate"/>
      </w:r>
      <w:r w:rsidR="00C07932">
        <w:rPr>
          <w:rFonts w:ascii="Garamond" w:hAnsi="Garamond"/>
          <w:noProof/>
        </w:rPr>
        <w:t>(</w:t>
      </w:r>
      <w:hyperlink w:anchor="_ENREF_12" w:tooltip="Cutler, 2012 #4" w:history="1">
        <w:r w:rsidR="006B1724">
          <w:rPr>
            <w:rFonts w:ascii="Garamond" w:hAnsi="Garamond"/>
            <w:noProof/>
          </w:rPr>
          <w:t>Cutler &amp; Lleras-Muney, 2012</w:t>
        </w:r>
      </w:hyperlink>
      <w:r w:rsidR="00C07932">
        <w:rPr>
          <w:rFonts w:ascii="Garamond" w:hAnsi="Garamond"/>
          <w:noProof/>
        </w:rPr>
        <w:t>)</w:t>
      </w:r>
      <w:r w:rsidR="005623E1" w:rsidRPr="005623E1">
        <w:rPr>
          <w:rFonts w:ascii="Garamond" w:hAnsi="Garamond"/>
        </w:rPr>
        <w:fldChar w:fldCharType="end"/>
      </w:r>
      <w:r w:rsidR="00645E92">
        <w:rPr>
          <w:rFonts w:ascii="Garamond" w:hAnsi="Garamond"/>
        </w:rPr>
        <w:t xml:space="preserve">, which may </w:t>
      </w:r>
      <w:r w:rsidR="00A66586">
        <w:rPr>
          <w:rFonts w:ascii="Garamond" w:hAnsi="Garamond"/>
        </w:rPr>
        <w:t>confound the association.</w:t>
      </w:r>
      <w:r w:rsidR="00645E92">
        <w:rPr>
          <w:rFonts w:ascii="Garamond" w:hAnsi="Garamond"/>
        </w:rPr>
        <w:t xml:space="preserve"> Second, </w:t>
      </w:r>
      <w:r w:rsidR="00FF462E">
        <w:rPr>
          <w:rFonts w:ascii="Garamond" w:hAnsi="Garamond"/>
        </w:rPr>
        <w:t xml:space="preserve">childhood </w:t>
      </w:r>
      <w:r w:rsidR="00645E92">
        <w:rPr>
          <w:rFonts w:ascii="Garamond" w:hAnsi="Garamond"/>
        </w:rPr>
        <w:t>health may influence education</w:t>
      </w:r>
      <w:r w:rsidR="00E61C9B">
        <w:rPr>
          <w:rFonts w:ascii="Garamond" w:hAnsi="Garamond"/>
        </w:rPr>
        <w:t xml:space="preserve">al </w:t>
      </w:r>
      <w:r w:rsidR="00D751A1">
        <w:rPr>
          <w:rFonts w:ascii="Garamond" w:hAnsi="Garamond"/>
        </w:rPr>
        <w:t>attainment and schooling duration</w:t>
      </w:r>
      <w:r w:rsidR="00645E92">
        <w:rPr>
          <w:rFonts w:ascii="Garamond" w:hAnsi="Garamond"/>
        </w:rPr>
        <w:t>, leading to reverse causality</w:t>
      </w:r>
      <w:r w:rsidR="00CC4AB6">
        <w:rPr>
          <w:rFonts w:ascii="Garamond" w:hAnsi="Garamond"/>
        </w:rPr>
        <w:t xml:space="preserve"> </w:t>
      </w:r>
      <w:r w:rsidR="00CC4AB6">
        <w:rPr>
          <w:rFonts w:ascii="Garamond" w:hAnsi="Garamond"/>
          <w:lang w:val="en-GB"/>
        </w:rPr>
        <w:fldChar w:fldCharType="begin"/>
      </w:r>
      <w:r w:rsidR="00CC2B97">
        <w:rPr>
          <w:rFonts w:ascii="Garamond" w:hAnsi="Garamond"/>
          <w:lang w:val="en-GB"/>
        </w:rPr>
        <w:instrText xml:space="preserve"> ADDIN EN.CITE &lt;EndNote&gt;&lt;Cite&gt;&lt;Author&gt;Case&lt;/Author&gt;&lt;Year&gt;2005&lt;/Year&gt;&lt;RecNum&gt;5&lt;/RecNum&gt;&lt;DisplayText&gt;(Case, Fertig, &amp;amp; Paxson, 2005; Palloni, 2006)&lt;/DisplayText&gt;&lt;record&gt;&lt;rec-number&gt;5&lt;/rec-number&gt;&lt;foreign-keys&gt;&lt;key app="EN" db-id="p5pavdvzwwdesueaz0rxssxmtd2ext2dvwpd" timestamp="1542656736"&gt;5&lt;/key&gt;&lt;/foreign-keys&gt;&lt;ref-type name="Journal Article"&gt;17&lt;/ref-type&gt;&lt;contributors&gt;&lt;authors&gt;&lt;author&gt;Case, A.&lt;/author&gt;&lt;author&gt;Fertig, A.&lt;/author&gt;&lt;author&gt;Paxson, C.&lt;/author&gt;&lt;/authors&gt;&lt;/contributors&gt;&lt;titles&gt;&lt;title&gt;The lasting impact of childhood health and circumstance&lt;/title&gt;&lt;secondary-title&gt;Journal of Health Economics&lt;/secondary-title&gt;&lt;/titles&gt;&lt;periodical&gt;&lt;full-title&gt;Journal of Health Economics&lt;/full-title&gt;&lt;/periodical&gt;&lt;pages&gt;365-389&lt;/pages&gt;&lt;volume&gt;24&lt;/volume&gt;&lt;number&gt;2005&lt;/number&gt;&lt;dates&gt;&lt;year&gt;2005&lt;/year&gt;&lt;/dates&gt;&lt;urls&gt;&lt;/urls&gt;&lt;/record&gt;&lt;/Cite&gt;&lt;Cite&gt;&lt;Author&gt;Palloni&lt;/Author&gt;&lt;Year&gt;2006&lt;/Year&gt;&lt;RecNum&gt;6&lt;/RecNum&gt;&lt;record&gt;&lt;rec-number&gt;6&lt;/rec-number&gt;&lt;foreign-keys&gt;&lt;key app="EN" db-id="p5pavdvzwwdesueaz0rxssxmtd2ext2dvwpd" timestamp="1542656736"&gt;6&lt;/key&gt;&lt;/foreign-keys&gt;&lt;ref-type name="Journal Article"&gt;17&lt;/ref-type&gt;&lt;contributors&gt;&lt;authors&gt;&lt;author&gt;Palloni, A.&lt;/author&gt;&lt;/authors&gt;&lt;/contributors&gt;&lt;titles&gt;&lt;title&gt;Reproducing inequalities: luck, wallets and the enduring effects of childhood health&lt;/title&gt;&lt;secondary-title&gt;Demography&lt;/secondary-title&gt;&lt;/titles&gt;&lt;periodical&gt;&lt;full-title&gt;Demography&lt;/full-title&gt;&lt;/periodical&gt;&lt;pages&gt;587-615&lt;/pages&gt;&lt;volume&gt;43&lt;/volume&gt;&lt;dates&gt;&lt;year&gt;2006&lt;/year&gt;&lt;/dates&gt;&lt;urls&gt;&lt;/urls&gt;&lt;/record&gt;&lt;/Cite&gt;&lt;/EndNote&gt;</w:instrText>
      </w:r>
      <w:r w:rsidR="00CC4AB6">
        <w:rPr>
          <w:rFonts w:ascii="Garamond" w:hAnsi="Garamond"/>
          <w:lang w:val="en-GB"/>
        </w:rPr>
        <w:fldChar w:fldCharType="separate"/>
      </w:r>
      <w:r w:rsidR="00A44522">
        <w:rPr>
          <w:rFonts w:ascii="Garamond" w:hAnsi="Garamond"/>
          <w:noProof/>
          <w:lang w:val="en-GB"/>
        </w:rPr>
        <w:t>(</w:t>
      </w:r>
      <w:hyperlink w:anchor="_ENREF_8" w:tooltip="Case, 2005 #5" w:history="1">
        <w:r w:rsidR="006B1724">
          <w:rPr>
            <w:rFonts w:ascii="Garamond" w:hAnsi="Garamond"/>
            <w:noProof/>
            <w:lang w:val="en-GB"/>
          </w:rPr>
          <w:t>Case, Fertig, &amp; Paxson, 2005</w:t>
        </w:r>
      </w:hyperlink>
      <w:r w:rsidR="00A44522">
        <w:rPr>
          <w:rFonts w:ascii="Garamond" w:hAnsi="Garamond"/>
          <w:noProof/>
          <w:lang w:val="en-GB"/>
        </w:rPr>
        <w:t xml:space="preserve">; </w:t>
      </w:r>
      <w:hyperlink w:anchor="_ENREF_52" w:tooltip="Palloni, 2006 #6" w:history="1">
        <w:r w:rsidR="006B1724">
          <w:rPr>
            <w:rFonts w:ascii="Garamond" w:hAnsi="Garamond"/>
            <w:noProof/>
            <w:lang w:val="en-GB"/>
          </w:rPr>
          <w:t>Palloni, 2006</w:t>
        </w:r>
      </w:hyperlink>
      <w:r w:rsidR="00A44522">
        <w:rPr>
          <w:rFonts w:ascii="Garamond" w:hAnsi="Garamond"/>
          <w:noProof/>
          <w:lang w:val="en-GB"/>
        </w:rPr>
        <w:t>)</w:t>
      </w:r>
      <w:r w:rsidR="00CC4AB6">
        <w:rPr>
          <w:rFonts w:ascii="Garamond" w:hAnsi="Garamond"/>
          <w:lang w:val="en-GB"/>
        </w:rPr>
        <w:fldChar w:fldCharType="end"/>
      </w:r>
      <w:r w:rsidR="00645E92">
        <w:rPr>
          <w:rFonts w:ascii="Garamond" w:hAnsi="Garamond"/>
        </w:rPr>
        <w:t xml:space="preserve">. </w:t>
      </w:r>
      <w:r w:rsidR="00D751A1">
        <w:rPr>
          <w:rFonts w:ascii="Garamond" w:hAnsi="Garamond"/>
        </w:rPr>
        <w:t xml:space="preserve">Third, few studies have been able to disentangle the relative contribution of the duration of schooling relative to that of educational credentials in the observed relationship between education and health. This is important because most European education reforms focused on increasing the duration of compulsory schooling. </w:t>
      </w:r>
      <w:r w:rsidR="0083313D">
        <w:rPr>
          <w:rFonts w:ascii="Garamond" w:hAnsi="Garamond"/>
        </w:rPr>
        <w:t>In addition, the biological mechanisms underlying the association between educat</w:t>
      </w:r>
      <w:r w:rsidR="006E01C5">
        <w:rPr>
          <w:rFonts w:ascii="Garamond" w:hAnsi="Garamond"/>
        </w:rPr>
        <w:t xml:space="preserve">ion and health remain elusive. </w:t>
      </w:r>
      <w:r w:rsidR="00281DB8">
        <w:rPr>
          <w:rFonts w:ascii="Garamond" w:hAnsi="Garamond"/>
        </w:rPr>
        <w:t xml:space="preserve">Although </w:t>
      </w:r>
      <w:r w:rsidR="009E2753">
        <w:rPr>
          <w:rFonts w:ascii="Garamond" w:hAnsi="Garamond"/>
        </w:rPr>
        <w:t xml:space="preserve">there is evidence that lower educational attainment is associated with poorer biomarker profiles </w:t>
      </w:r>
      <w:r w:rsidR="009E2753">
        <w:rPr>
          <w:rFonts w:ascii="Garamond" w:hAnsi="Garamond"/>
        </w:rPr>
        <w:fldChar w:fldCharType="begin"/>
      </w:r>
      <w:r w:rsidR="00CC2B97">
        <w:rPr>
          <w:rFonts w:ascii="Garamond" w:hAnsi="Garamond"/>
        </w:rPr>
        <w:instrText xml:space="preserve"> ADDIN EN.CITE &lt;EndNote&gt;&lt;Cite&gt;&lt;Author&gt;Kavanagh&lt;/Author&gt;&lt;Year&gt;2010&lt;/Year&gt;&lt;RecNum&gt;7&lt;/RecNum&gt;&lt;DisplayText&gt;(Kavanagh et al., 2010; Seeman et al., 2008)&lt;/DisplayText&gt;&lt;record&gt;&lt;rec-number&gt;7&lt;/rec-number&gt;&lt;foreign-keys&gt;&lt;key app="EN" db-id="p5pavdvzwwdesueaz0rxssxmtd2ext2dvwpd" timestamp="1542656736"&gt;7&lt;/key&gt;&lt;/foreign-keys&gt;&lt;ref-type name="Journal Article"&gt;17&lt;/ref-type&gt;&lt;contributors&gt;&lt;authors&gt;&lt;author&gt;Kavanagh, A.&lt;/author&gt;&lt;author&gt;Bentley, R.J.&lt;/author&gt;&lt;author&gt;Turrell, G.&lt;/author&gt;&lt;author&gt;Shaw, J.&lt;/author&gt;&lt;author&gt;Dunstan, D.&lt;/author&gt;&lt;author&gt;Subramanian, S.V.&lt;/author&gt;&lt;/authors&gt;&lt;/contributors&gt;&lt;titles&gt;&lt;title&gt;Socioeconomic position, gender, health behaviours and biomarkers of cardiovascular disease and diabetes&lt;/title&gt;&lt;secondary-title&gt;Social Science &amp;amp; Medicine&lt;/secondary-title&gt;&lt;/titles&gt;&lt;periodical&gt;&lt;full-title&gt;Social Science &amp;amp; Medicine&lt;/full-title&gt;&lt;/periodical&gt;&lt;pages&gt;1150-1160&lt;/pages&gt;&lt;volume&gt;71&lt;/volume&gt;&lt;number&gt;6&lt;/number&gt;&lt;dates&gt;&lt;year&gt;2010&lt;/year&gt;&lt;/dates&gt;&lt;urls&gt;&lt;/urls&gt;&lt;/record&gt;&lt;/Cite&gt;&lt;Cite&gt;&lt;Author&gt;Seeman&lt;/Author&gt;&lt;Year&gt;2008&lt;/Year&gt;&lt;RecNum&gt;8&lt;/RecNum&gt;&lt;record&gt;&lt;rec-number&gt;8&lt;/rec-number&gt;&lt;foreign-keys&gt;&lt;key app="EN" db-id="p5pavdvzwwdesueaz0rxssxmtd2ext2dvwpd" timestamp="1542656736"&gt;8&lt;/key&gt;&lt;/foreign-keys&gt;&lt;ref-type name="Journal Article"&gt;17&lt;/ref-type&gt;&lt;contributors&gt;&lt;authors&gt;&lt;author&gt;Seeman, T.&lt;/author&gt;&lt;author&gt;Merkins, S.S.&lt;/author&gt;&lt;author&gt;Crimmins, E.&lt;/author&gt;&lt;author&gt;Koretz, B.&lt;/author&gt;&lt;author&gt;Charette, S.&lt;/author&gt;&lt;author&gt;Karlamangla, A.&lt;/author&gt;&lt;/authors&gt;&lt;/contributors&gt;&lt;titles&gt;&lt;title&gt;Education, income and ethnic differences in cumulative biological risk profiles in a national sample of US adults: NHANES III (1988-1994)&lt;/title&gt;&lt;secondary-title&gt;Social Science &amp;amp; Medicine&lt;/secondary-title&gt;&lt;/titles&gt;&lt;periodical&gt;&lt;full-title&gt;Social Science &amp;amp; Medicine&lt;/full-title&gt;&lt;/periodical&gt;&lt;pages&gt;72-87&lt;/pages&gt;&lt;volume&gt;66&lt;/volume&gt;&lt;number&gt;1&lt;/number&gt;&lt;dates&gt;&lt;year&gt;2008&lt;/year&gt;&lt;/dates&gt;&lt;urls&gt;&lt;/urls&gt;&lt;/record&gt;&lt;/Cite&gt;&lt;/EndNote&gt;</w:instrText>
      </w:r>
      <w:r w:rsidR="009E2753">
        <w:rPr>
          <w:rFonts w:ascii="Garamond" w:hAnsi="Garamond"/>
        </w:rPr>
        <w:fldChar w:fldCharType="separate"/>
      </w:r>
      <w:r w:rsidR="00C07932">
        <w:rPr>
          <w:rFonts w:ascii="Garamond" w:hAnsi="Garamond"/>
          <w:noProof/>
        </w:rPr>
        <w:t>(</w:t>
      </w:r>
      <w:hyperlink w:anchor="_ENREF_38" w:tooltip="Kavanagh, 2010 #7" w:history="1">
        <w:r w:rsidR="006B1724">
          <w:rPr>
            <w:rFonts w:ascii="Garamond" w:hAnsi="Garamond"/>
            <w:noProof/>
          </w:rPr>
          <w:t>Kavanagh et al., 2010</w:t>
        </w:r>
      </w:hyperlink>
      <w:r w:rsidR="00C07932">
        <w:rPr>
          <w:rFonts w:ascii="Garamond" w:hAnsi="Garamond"/>
          <w:noProof/>
        </w:rPr>
        <w:t xml:space="preserve">; </w:t>
      </w:r>
      <w:hyperlink w:anchor="_ENREF_58" w:tooltip="Seeman, 2008 #8" w:history="1">
        <w:r w:rsidR="006B1724">
          <w:rPr>
            <w:rFonts w:ascii="Garamond" w:hAnsi="Garamond"/>
            <w:noProof/>
          </w:rPr>
          <w:t>Seeman et al., 2008</w:t>
        </w:r>
      </w:hyperlink>
      <w:r w:rsidR="00C07932">
        <w:rPr>
          <w:rFonts w:ascii="Garamond" w:hAnsi="Garamond"/>
          <w:noProof/>
        </w:rPr>
        <w:t>)</w:t>
      </w:r>
      <w:r w:rsidR="009E2753">
        <w:rPr>
          <w:rFonts w:ascii="Garamond" w:hAnsi="Garamond"/>
        </w:rPr>
        <w:fldChar w:fldCharType="end"/>
      </w:r>
      <w:r w:rsidR="009E2753">
        <w:rPr>
          <w:rFonts w:ascii="Garamond" w:hAnsi="Garamond"/>
        </w:rPr>
        <w:t>, this association var</w:t>
      </w:r>
      <w:r w:rsidR="00281DB8">
        <w:rPr>
          <w:rFonts w:ascii="Garamond" w:hAnsi="Garamond"/>
        </w:rPr>
        <w:t>ies</w:t>
      </w:r>
      <w:r w:rsidR="009E2753">
        <w:rPr>
          <w:rFonts w:ascii="Garamond" w:hAnsi="Garamond"/>
        </w:rPr>
        <w:t xml:space="preserve"> by biomarker, measure of </w:t>
      </w:r>
      <w:r w:rsidR="00FF462E">
        <w:rPr>
          <w:rFonts w:ascii="Garamond" w:hAnsi="Garamond"/>
        </w:rPr>
        <w:t xml:space="preserve">socioeconomic position </w:t>
      </w:r>
      <w:r w:rsidR="009E2753">
        <w:rPr>
          <w:rFonts w:ascii="Garamond" w:hAnsi="Garamond"/>
        </w:rPr>
        <w:t xml:space="preserve">and population subgroup </w:t>
      </w:r>
      <w:r w:rsidR="009E2753">
        <w:rPr>
          <w:rFonts w:ascii="Garamond" w:hAnsi="Garamond"/>
        </w:rPr>
        <w:fldChar w:fldCharType="begin"/>
      </w:r>
      <w:r w:rsidR="00CC2B97">
        <w:rPr>
          <w:rFonts w:ascii="Garamond" w:hAnsi="Garamond"/>
        </w:rPr>
        <w:instrText xml:space="preserve"> ADDIN EN.CITE &lt;EndNote&gt;&lt;Cite&gt;&lt;Author&gt;Seeman&lt;/Author&gt;&lt;Year&gt;2010&lt;/Year&gt;&lt;RecNum&gt;9&lt;/RecNum&gt;&lt;DisplayText&gt;(Dowd, Simanek, &amp;amp; Aiello, 2009; Seeman, Epel, Gruenewald, Karlamangla, &amp;amp; McEwen, 2010)&lt;/DisplayText&gt;&lt;record&gt;&lt;rec-number&gt;9&lt;/rec-number&gt;&lt;foreign-keys&gt;&lt;key app="EN" db-id="p5pavdvzwwdesueaz0rxssxmtd2ext2dvwpd" timestamp="1542656736"&gt;9&lt;/key&gt;&lt;/foreign-keys&gt;&lt;ref-type name="Journal Article"&gt;17&lt;/ref-type&gt;&lt;contributors&gt;&lt;authors&gt;&lt;author&gt;Seeman, T.&lt;/author&gt;&lt;author&gt;Epel, E.&lt;/author&gt;&lt;author&gt;Gruenewald, T.&lt;/author&gt;&lt;author&gt;Karlamangla, A.&lt;/author&gt;&lt;author&gt;McEwen, B.S.&lt;/author&gt;&lt;/authors&gt;&lt;/contributors&gt;&lt;titles&gt;&lt;title&gt;Socio-economic differentials in peripheral biology; cumulative allostatic load&lt;/title&gt;&lt;secondary-title&gt;Annals of the New York Academy of Sciences&lt;/secondary-title&gt;&lt;/titles&gt;&lt;periodical&gt;&lt;full-title&gt;Annals of the New York Academy of Sciences&lt;/full-title&gt;&lt;/periodical&gt;&lt;pages&gt;223-239&lt;/pages&gt;&lt;volume&gt;1186&lt;/volume&gt;&lt;number&gt;1&lt;/number&gt;&lt;dates&gt;&lt;year&gt;2010&lt;/year&gt;&lt;/dates&gt;&lt;urls&gt;&lt;/urls&gt;&lt;/record&gt;&lt;/Cite&gt;&lt;Cite&gt;&lt;Author&gt;Dowd&lt;/Author&gt;&lt;Year&gt;2009&lt;/Year&gt;&lt;RecNum&gt;10&lt;/RecNum&gt;&lt;record&gt;&lt;rec-number&gt;10&lt;/rec-number&gt;&lt;foreign-keys&gt;&lt;key app="EN" db-id="p5pavdvzwwdesueaz0rxssxmtd2ext2dvwpd" timestamp="1542656736"&gt;10&lt;/key&gt;&lt;/foreign-keys&gt;&lt;ref-type name="Journal Article"&gt;17&lt;/ref-type&gt;&lt;contributors&gt;&lt;authors&gt;&lt;author&gt;Dowd, J.B.&lt;/author&gt;&lt;author&gt;Simanek, A.M.&lt;/author&gt;&lt;author&gt;Aiello, A.E.&lt;/author&gt;&lt;/authors&gt;&lt;/contributors&gt;&lt;titles&gt;&lt;title&gt;Socio-economic status, cortisol and allostatic load: a review of the literature&lt;/title&gt;&lt;secondary-title&gt;International Journal of Epidemiology&lt;/secondary-title&gt;&lt;/titles&gt;&lt;periodical&gt;&lt;full-title&gt;International Journal of Epidemiology&lt;/full-title&gt;&lt;/periodical&gt;&lt;pages&gt;1297-1309&lt;/pages&gt;&lt;volume&gt;38&lt;/volume&gt;&lt;number&gt;5&lt;/number&gt;&lt;dates&gt;&lt;year&gt;2009&lt;/year&gt;&lt;/dates&gt;&lt;urls&gt;&lt;/urls&gt;&lt;/record&gt;&lt;/Cite&gt;&lt;/EndNote&gt;</w:instrText>
      </w:r>
      <w:r w:rsidR="009E2753">
        <w:rPr>
          <w:rFonts w:ascii="Garamond" w:hAnsi="Garamond"/>
        </w:rPr>
        <w:fldChar w:fldCharType="separate"/>
      </w:r>
      <w:r w:rsidR="00A44522">
        <w:rPr>
          <w:rFonts w:ascii="Garamond" w:hAnsi="Garamond"/>
          <w:noProof/>
        </w:rPr>
        <w:t>(</w:t>
      </w:r>
      <w:hyperlink w:anchor="_ENREF_19" w:tooltip="Dowd, 2009 #10" w:history="1">
        <w:r w:rsidR="006B1724">
          <w:rPr>
            <w:rFonts w:ascii="Garamond" w:hAnsi="Garamond"/>
            <w:noProof/>
          </w:rPr>
          <w:t>Dowd, Simanek, &amp; Aiello, 2009</w:t>
        </w:r>
      </w:hyperlink>
      <w:r w:rsidR="00A44522">
        <w:rPr>
          <w:rFonts w:ascii="Garamond" w:hAnsi="Garamond"/>
          <w:noProof/>
        </w:rPr>
        <w:t xml:space="preserve">; </w:t>
      </w:r>
      <w:hyperlink w:anchor="_ENREF_57" w:tooltip="Seeman, 2010 #9" w:history="1">
        <w:r w:rsidR="006B1724">
          <w:rPr>
            <w:rFonts w:ascii="Garamond" w:hAnsi="Garamond"/>
            <w:noProof/>
          </w:rPr>
          <w:t>Seeman, Epel, Gruenewald, Karlamangla, &amp; McEwen, 2010</w:t>
        </w:r>
      </w:hyperlink>
      <w:r w:rsidR="00A44522">
        <w:rPr>
          <w:rFonts w:ascii="Garamond" w:hAnsi="Garamond"/>
          <w:noProof/>
        </w:rPr>
        <w:t>)</w:t>
      </w:r>
      <w:r w:rsidR="009E2753">
        <w:rPr>
          <w:rFonts w:ascii="Garamond" w:hAnsi="Garamond"/>
        </w:rPr>
        <w:fldChar w:fldCharType="end"/>
      </w:r>
      <w:r w:rsidR="00BB2CE8">
        <w:rPr>
          <w:rFonts w:ascii="Garamond" w:hAnsi="Garamond"/>
        </w:rPr>
        <w:t>.</w:t>
      </w:r>
      <w:r w:rsidR="009E2753">
        <w:rPr>
          <w:rFonts w:ascii="Garamond" w:hAnsi="Garamond"/>
        </w:rPr>
        <w:t xml:space="preserve"> </w:t>
      </w:r>
      <w:r w:rsidR="0083313D">
        <w:rPr>
          <w:rFonts w:ascii="Garamond" w:hAnsi="Garamond"/>
        </w:rPr>
        <w:t xml:space="preserve">For example, lower education </w:t>
      </w:r>
      <w:r w:rsidR="00176835">
        <w:rPr>
          <w:rFonts w:ascii="Garamond" w:hAnsi="Garamond"/>
        </w:rPr>
        <w:t>was</w:t>
      </w:r>
      <w:r w:rsidR="0083313D">
        <w:rPr>
          <w:rFonts w:ascii="Garamond" w:hAnsi="Garamond"/>
        </w:rPr>
        <w:t xml:space="preserve"> associated with</w:t>
      </w:r>
      <w:r w:rsidR="00785505" w:rsidRPr="00785505">
        <w:rPr>
          <w:rFonts w:ascii="Garamond" w:hAnsi="Garamond"/>
        </w:rPr>
        <w:t xml:space="preserve"> </w:t>
      </w:r>
      <w:r w:rsidR="00785505">
        <w:rPr>
          <w:rFonts w:ascii="Garamond" w:hAnsi="Garamond"/>
        </w:rPr>
        <w:t>lower risk of several chronic stress biomarkers, but</w:t>
      </w:r>
      <w:r w:rsidR="0083313D">
        <w:rPr>
          <w:rFonts w:ascii="Garamond" w:hAnsi="Garamond"/>
        </w:rPr>
        <w:t xml:space="preserve"> higher risk of </w:t>
      </w:r>
      <w:r w:rsidR="00785505">
        <w:rPr>
          <w:rFonts w:ascii="Garamond" w:hAnsi="Garamond"/>
        </w:rPr>
        <w:t>some cardiovascular markers among women</w:t>
      </w:r>
      <w:r w:rsidR="0066736F">
        <w:rPr>
          <w:rFonts w:ascii="Garamond" w:hAnsi="Garamond"/>
        </w:rPr>
        <w:t xml:space="preserve"> </w:t>
      </w:r>
      <w:r w:rsidR="00516D98">
        <w:rPr>
          <w:rFonts w:ascii="Garamond" w:hAnsi="Garamond"/>
        </w:rPr>
        <w:t xml:space="preserve">in Taiwan </w:t>
      </w:r>
      <w:r w:rsidR="0003027B">
        <w:rPr>
          <w:rFonts w:ascii="Garamond" w:hAnsi="Garamond"/>
        </w:rPr>
        <w:fldChar w:fldCharType="begin"/>
      </w:r>
      <w:r w:rsidR="00CC2B97">
        <w:rPr>
          <w:rFonts w:ascii="Garamond" w:hAnsi="Garamond"/>
        </w:rPr>
        <w:instrText xml:space="preserve"> ADDIN EN.CITE &lt;EndNote&gt;&lt;Cite&gt;&lt;Author&gt;Dowd&lt;/Author&gt;&lt;Year&gt;2006&lt;/Year&gt;&lt;RecNum&gt;11&lt;/RecNum&gt;&lt;DisplayText&gt;(Dowd &amp;amp; Goldman, 2006)&lt;/DisplayText&gt;&lt;record&gt;&lt;rec-number&gt;11&lt;/rec-number&gt;&lt;foreign-keys&gt;&lt;key app="EN" db-id="p5pavdvzwwdesueaz0rxssxmtd2ext2dvwpd" timestamp="1542656736"&gt;11&lt;/key&gt;&lt;/foreign-keys&gt;&lt;ref-type name="Journal Article"&gt;17&lt;/ref-type&gt;&lt;contributors&gt;&lt;authors&gt;&lt;author&gt;Dowd, J.B.&lt;/author&gt;&lt;author&gt;Goldman, N.&lt;/author&gt;&lt;/authors&gt;&lt;/contributors&gt;&lt;titles&gt;&lt;title&gt;Do biomarkers of stress mediate the relation between socioeconomic status and health?&lt;/title&gt;&lt;secondary-title&gt;Journal of Epidemiology &amp;amp; Community Health&lt;/secondary-title&gt;&lt;/titles&gt;&lt;periodical&gt;&lt;full-title&gt;Journal of Epidemiology &amp;amp; Community Health&lt;/full-title&gt;&lt;/periodical&gt;&lt;pages&gt;633-639&lt;/pages&gt;&lt;volume&gt;60&lt;/volume&gt;&lt;number&gt;7&lt;/number&gt;&lt;dates&gt;&lt;year&gt;2006&lt;/year&gt;&lt;/dates&gt;&lt;urls&gt;&lt;/urls&gt;&lt;/record&gt;&lt;/Cite&gt;&lt;/EndNote&gt;</w:instrText>
      </w:r>
      <w:r w:rsidR="0003027B">
        <w:rPr>
          <w:rFonts w:ascii="Garamond" w:hAnsi="Garamond"/>
        </w:rPr>
        <w:fldChar w:fldCharType="separate"/>
      </w:r>
      <w:r w:rsidR="00A44522">
        <w:rPr>
          <w:rFonts w:ascii="Garamond" w:hAnsi="Garamond"/>
          <w:noProof/>
        </w:rPr>
        <w:t>(</w:t>
      </w:r>
      <w:hyperlink w:anchor="_ENREF_18" w:tooltip="Dowd, 2006 #11" w:history="1">
        <w:r w:rsidR="006B1724">
          <w:rPr>
            <w:rFonts w:ascii="Garamond" w:hAnsi="Garamond"/>
            <w:noProof/>
          </w:rPr>
          <w:t>Dowd &amp; Goldman, 2006</w:t>
        </w:r>
      </w:hyperlink>
      <w:r w:rsidR="00A44522">
        <w:rPr>
          <w:rFonts w:ascii="Garamond" w:hAnsi="Garamond"/>
          <w:noProof/>
        </w:rPr>
        <w:t>)</w:t>
      </w:r>
      <w:r w:rsidR="0003027B">
        <w:rPr>
          <w:rFonts w:ascii="Garamond" w:hAnsi="Garamond"/>
        </w:rPr>
        <w:fldChar w:fldCharType="end"/>
      </w:r>
      <w:r w:rsidR="0083313D">
        <w:rPr>
          <w:rFonts w:ascii="Garamond" w:hAnsi="Garamond"/>
        </w:rPr>
        <w:t>.</w:t>
      </w:r>
      <w:r w:rsidR="00454AE9">
        <w:rPr>
          <w:rFonts w:ascii="Garamond" w:hAnsi="Garamond"/>
        </w:rPr>
        <w:t xml:space="preserve"> </w:t>
      </w:r>
      <w:r w:rsidR="00E61C9B">
        <w:rPr>
          <w:rFonts w:ascii="Garamond" w:hAnsi="Garamond"/>
        </w:rPr>
        <w:t xml:space="preserve">Overall, the causal nature and biological mechanisms underlying the relationship between education and health </w:t>
      </w:r>
      <w:r w:rsidR="00FE42AB">
        <w:rPr>
          <w:rFonts w:ascii="Garamond" w:hAnsi="Garamond"/>
        </w:rPr>
        <w:t>are only partially understood</w:t>
      </w:r>
      <w:r w:rsidR="00506868">
        <w:rPr>
          <w:rFonts w:ascii="Garamond" w:hAnsi="Garamond"/>
        </w:rPr>
        <w:t>.</w:t>
      </w:r>
      <w:r w:rsidR="00FE42AB">
        <w:rPr>
          <w:rFonts w:ascii="Garamond" w:hAnsi="Garamond"/>
        </w:rPr>
        <w:t xml:space="preserve"> </w:t>
      </w:r>
    </w:p>
    <w:p w14:paraId="0E63BE5B" w14:textId="77777777" w:rsidR="00DE661F" w:rsidRDefault="00DE661F" w:rsidP="00DF749D">
      <w:pPr>
        <w:spacing w:line="480" w:lineRule="auto"/>
        <w:ind w:firstLine="720"/>
        <w:contextualSpacing/>
        <w:jc w:val="both"/>
        <w:rPr>
          <w:rFonts w:ascii="Garamond" w:hAnsi="Garamond"/>
        </w:rPr>
      </w:pPr>
    </w:p>
    <w:p w14:paraId="76D8965F" w14:textId="53B22675" w:rsidR="00F152EC" w:rsidRDefault="00645E92" w:rsidP="00F152EC">
      <w:pPr>
        <w:spacing w:line="480" w:lineRule="auto"/>
        <w:ind w:firstLine="720"/>
        <w:contextualSpacing/>
        <w:jc w:val="both"/>
        <w:rPr>
          <w:rFonts w:ascii="Garamond" w:hAnsi="Garamond"/>
        </w:rPr>
      </w:pPr>
      <w:r>
        <w:rPr>
          <w:rFonts w:ascii="Garamond" w:hAnsi="Garamond"/>
        </w:rPr>
        <w:lastRenderedPageBreak/>
        <w:t xml:space="preserve">This paper aims to </w:t>
      </w:r>
      <w:r w:rsidR="0024527A">
        <w:rPr>
          <w:rFonts w:ascii="Garamond" w:hAnsi="Garamond"/>
        </w:rPr>
        <w:t>bring new evidence</w:t>
      </w:r>
      <w:r w:rsidR="002B0A8F">
        <w:rPr>
          <w:rFonts w:ascii="Garamond" w:hAnsi="Garamond"/>
        </w:rPr>
        <w:t xml:space="preserve"> </w:t>
      </w:r>
      <w:r w:rsidR="00825A3B">
        <w:rPr>
          <w:rFonts w:ascii="Garamond" w:hAnsi="Garamond"/>
        </w:rPr>
        <w:t xml:space="preserve">to this literature </w:t>
      </w:r>
      <w:r>
        <w:rPr>
          <w:rFonts w:ascii="Garamond" w:hAnsi="Garamond"/>
        </w:rPr>
        <w:t xml:space="preserve">by examining how an exogenous change in </w:t>
      </w:r>
      <w:r w:rsidR="005C327A">
        <w:rPr>
          <w:rFonts w:ascii="Garamond" w:hAnsi="Garamond"/>
        </w:rPr>
        <w:t>schooling duration</w:t>
      </w:r>
      <w:r w:rsidR="002B0A8F">
        <w:rPr>
          <w:rFonts w:ascii="Garamond" w:hAnsi="Garamond"/>
        </w:rPr>
        <w:t xml:space="preserve"> </w:t>
      </w:r>
      <w:r>
        <w:rPr>
          <w:rFonts w:ascii="Garamond" w:hAnsi="Garamond"/>
        </w:rPr>
        <w:t xml:space="preserve">caused by </w:t>
      </w:r>
      <w:r w:rsidR="0071558D">
        <w:rPr>
          <w:rFonts w:ascii="Garamond" w:hAnsi="Garamond"/>
        </w:rPr>
        <w:t xml:space="preserve">a </w:t>
      </w:r>
      <w:r w:rsidR="005C327A">
        <w:rPr>
          <w:rFonts w:ascii="Garamond" w:hAnsi="Garamond"/>
        </w:rPr>
        <w:t>major education</w:t>
      </w:r>
      <w:r w:rsidR="0071558D">
        <w:rPr>
          <w:rFonts w:ascii="Garamond" w:hAnsi="Garamond"/>
        </w:rPr>
        <w:t xml:space="preserve"> </w:t>
      </w:r>
      <w:r w:rsidR="002B0A8F">
        <w:rPr>
          <w:rFonts w:ascii="Garamond" w:hAnsi="Garamond"/>
        </w:rPr>
        <w:t>reform</w:t>
      </w:r>
      <w:r>
        <w:rPr>
          <w:rFonts w:ascii="Garamond" w:hAnsi="Garamond"/>
        </w:rPr>
        <w:t xml:space="preserve"> influenced </w:t>
      </w:r>
      <w:r w:rsidR="00166828">
        <w:rPr>
          <w:rFonts w:ascii="Garamond" w:hAnsi="Garamond"/>
        </w:rPr>
        <w:t>biological</w:t>
      </w:r>
      <w:r w:rsidR="00985CA9">
        <w:rPr>
          <w:rFonts w:ascii="Garamond" w:hAnsi="Garamond"/>
        </w:rPr>
        <w:t xml:space="preserve"> risk</w:t>
      </w:r>
      <w:r w:rsidR="0071558D">
        <w:rPr>
          <w:rFonts w:ascii="Garamond" w:hAnsi="Garamond"/>
        </w:rPr>
        <w:t xml:space="preserve"> </w:t>
      </w:r>
      <w:r w:rsidR="004E08B9">
        <w:rPr>
          <w:rFonts w:ascii="Garamond" w:hAnsi="Garamond"/>
        </w:rPr>
        <w:t xml:space="preserve">profiles </w:t>
      </w:r>
      <w:r w:rsidR="00166828">
        <w:rPr>
          <w:rFonts w:ascii="Garamond" w:hAnsi="Garamond"/>
        </w:rPr>
        <w:t>decades later</w:t>
      </w:r>
      <w:r>
        <w:rPr>
          <w:rFonts w:ascii="Garamond" w:hAnsi="Garamond"/>
        </w:rPr>
        <w:t xml:space="preserve">. </w:t>
      </w:r>
      <w:r w:rsidR="00006326">
        <w:rPr>
          <w:rFonts w:ascii="Garamond" w:hAnsi="Garamond"/>
        </w:rPr>
        <w:t>Compulsory schooling laws were introduced in many European countries and the U</w:t>
      </w:r>
      <w:r w:rsidR="005C327A">
        <w:rPr>
          <w:rFonts w:ascii="Garamond" w:hAnsi="Garamond"/>
        </w:rPr>
        <w:t xml:space="preserve">nited </w:t>
      </w:r>
      <w:r w:rsidR="00006326">
        <w:rPr>
          <w:rFonts w:ascii="Garamond" w:hAnsi="Garamond"/>
        </w:rPr>
        <w:t>S</w:t>
      </w:r>
      <w:r w:rsidR="005C327A">
        <w:rPr>
          <w:rFonts w:ascii="Garamond" w:hAnsi="Garamond"/>
        </w:rPr>
        <w:t>tates</w:t>
      </w:r>
      <w:r w:rsidR="00006326">
        <w:rPr>
          <w:rFonts w:ascii="Garamond" w:hAnsi="Garamond"/>
        </w:rPr>
        <w:t xml:space="preserve"> during the 20</w:t>
      </w:r>
      <w:r w:rsidR="00006326" w:rsidRPr="00006326">
        <w:rPr>
          <w:rFonts w:ascii="Garamond" w:hAnsi="Garamond"/>
          <w:vertAlign w:val="superscript"/>
        </w:rPr>
        <w:t>th</w:t>
      </w:r>
      <w:r w:rsidR="00006326">
        <w:rPr>
          <w:rFonts w:ascii="Garamond" w:hAnsi="Garamond"/>
        </w:rPr>
        <w:t xml:space="preserve"> </w:t>
      </w:r>
      <w:r w:rsidR="0071558D">
        <w:rPr>
          <w:rFonts w:ascii="Garamond" w:hAnsi="Garamond"/>
        </w:rPr>
        <w:t>Century</w:t>
      </w:r>
      <w:r w:rsidR="00D40017">
        <w:rPr>
          <w:rFonts w:ascii="Garamond" w:hAnsi="Garamond"/>
        </w:rPr>
        <w:t xml:space="preserve"> </w:t>
      </w:r>
      <w:r w:rsidR="00D40017">
        <w:rPr>
          <w:rFonts w:ascii="Garamond" w:hAnsi="Garamond"/>
        </w:rPr>
        <w:fldChar w:fldCharType="begin"/>
      </w:r>
      <w:r w:rsidR="00CC2B97">
        <w:rPr>
          <w:rFonts w:ascii="Garamond" w:hAnsi="Garamond"/>
        </w:rPr>
        <w:instrText xml:space="preserve"> ADDIN EN.CITE &lt;EndNote&gt;&lt;Cite&gt;&lt;Author&gt;Brunello&lt;/Author&gt;&lt;Year&gt;2009&lt;/Year&gt;&lt;RecNum&gt;12&lt;/RecNum&gt;&lt;DisplayText&gt;(Brunello, Fort, &amp;amp; Weber, 2009)&lt;/DisplayText&gt;&lt;record&gt;&lt;rec-number&gt;12&lt;/rec-number&gt;&lt;foreign-keys&gt;&lt;key app="EN" db-id="p5pavdvzwwdesueaz0rxssxmtd2ext2dvwpd" timestamp="1542656736"&gt;12&lt;/key&gt;&lt;/foreign-keys&gt;&lt;ref-type name="Journal Article"&gt;17&lt;/ref-type&gt;&lt;contributors&gt;&lt;authors&gt;&lt;author&gt;Brunello, G.&lt;/author&gt;&lt;author&gt;Fort, M.&lt;/author&gt;&lt;author&gt;Weber, G.&lt;/author&gt;&lt;/authors&gt;&lt;/contributors&gt;&lt;titles&gt;&lt;title&gt;Changes in compulsory schooling, education and the distribution of wages in Europe&lt;/title&gt;&lt;secondary-title&gt;The Economic Journal&lt;/secondary-title&gt;&lt;/titles&gt;&lt;periodical&gt;&lt;full-title&gt;The Economic Journal&lt;/full-title&gt;&lt;/periodical&gt;&lt;pages&gt;516-539&lt;/pages&gt;&lt;volume&gt;119&lt;/volume&gt;&lt;number&gt;536&lt;/number&gt;&lt;dates&gt;&lt;year&gt;2009&lt;/year&gt;&lt;/dates&gt;&lt;urls&gt;&lt;/urls&gt;&lt;/record&gt;&lt;/Cite&gt;&lt;/EndNote&gt;</w:instrText>
      </w:r>
      <w:r w:rsidR="00D40017">
        <w:rPr>
          <w:rFonts w:ascii="Garamond" w:hAnsi="Garamond"/>
        </w:rPr>
        <w:fldChar w:fldCharType="separate"/>
      </w:r>
      <w:r w:rsidR="004E239A">
        <w:rPr>
          <w:rFonts w:ascii="Garamond" w:hAnsi="Garamond"/>
          <w:noProof/>
        </w:rPr>
        <w:t>(</w:t>
      </w:r>
      <w:hyperlink w:anchor="_ENREF_7" w:tooltip="Brunello, 2009 #12" w:history="1">
        <w:r w:rsidR="006B1724">
          <w:rPr>
            <w:rFonts w:ascii="Garamond" w:hAnsi="Garamond"/>
            <w:noProof/>
          </w:rPr>
          <w:t>Brunello, Fort, &amp; Weber, 2009</w:t>
        </w:r>
      </w:hyperlink>
      <w:r w:rsidR="004E239A">
        <w:rPr>
          <w:rFonts w:ascii="Garamond" w:hAnsi="Garamond"/>
          <w:noProof/>
        </w:rPr>
        <w:t>)</w:t>
      </w:r>
      <w:r w:rsidR="00D40017">
        <w:rPr>
          <w:rFonts w:ascii="Garamond" w:hAnsi="Garamond"/>
        </w:rPr>
        <w:fldChar w:fldCharType="end"/>
      </w:r>
      <w:r w:rsidR="0071558D">
        <w:rPr>
          <w:rFonts w:ascii="Garamond" w:hAnsi="Garamond"/>
        </w:rPr>
        <w:t xml:space="preserve">. </w:t>
      </w:r>
      <w:r w:rsidR="002B0A8F">
        <w:rPr>
          <w:rFonts w:ascii="Garamond" w:hAnsi="Garamond"/>
        </w:rPr>
        <w:t>A</w:t>
      </w:r>
      <w:r w:rsidR="0071558D">
        <w:rPr>
          <w:rFonts w:ascii="Garamond" w:hAnsi="Garamond"/>
        </w:rPr>
        <w:t xml:space="preserve">n extensive literature </w:t>
      </w:r>
      <w:r w:rsidR="00985CA9">
        <w:rPr>
          <w:rFonts w:ascii="Garamond" w:hAnsi="Garamond"/>
        </w:rPr>
        <w:t>in</w:t>
      </w:r>
      <w:r w:rsidR="002B0A8F">
        <w:rPr>
          <w:rFonts w:ascii="Garamond" w:hAnsi="Garamond"/>
        </w:rPr>
        <w:t xml:space="preserve"> economics</w:t>
      </w:r>
      <w:r w:rsidR="00997658">
        <w:rPr>
          <w:rFonts w:ascii="Garamond" w:hAnsi="Garamond"/>
        </w:rPr>
        <w:t xml:space="preserve"> and public health</w:t>
      </w:r>
      <w:r w:rsidR="002B0A8F">
        <w:rPr>
          <w:rFonts w:ascii="Garamond" w:hAnsi="Garamond"/>
        </w:rPr>
        <w:t xml:space="preserve"> </w:t>
      </w:r>
      <w:r w:rsidR="0071558D">
        <w:rPr>
          <w:rFonts w:ascii="Garamond" w:hAnsi="Garamond"/>
        </w:rPr>
        <w:t xml:space="preserve">has used </w:t>
      </w:r>
      <w:r w:rsidR="00D751A1">
        <w:rPr>
          <w:rFonts w:ascii="Garamond" w:hAnsi="Garamond"/>
        </w:rPr>
        <w:t>these</w:t>
      </w:r>
      <w:r w:rsidR="0071558D">
        <w:rPr>
          <w:rFonts w:ascii="Garamond" w:hAnsi="Garamond"/>
        </w:rPr>
        <w:t xml:space="preserve"> </w:t>
      </w:r>
      <w:r w:rsidR="00D751A1">
        <w:rPr>
          <w:rFonts w:ascii="Garamond" w:hAnsi="Garamond"/>
        </w:rPr>
        <w:t xml:space="preserve">reforms </w:t>
      </w:r>
      <w:r w:rsidR="0071558D">
        <w:rPr>
          <w:rFonts w:ascii="Garamond" w:hAnsi="Garamond"/>
        </w:rPr>
        <w:t xml:space="preserve">to examine the </w:t>
      </w:r>
      <w:r w:rsidR="003A0A4B">
        <w:rPr>
          <w:rFonts w:ascii="Garamond" w:hAnsi="Garamond"/>
        </w:rPr>
        <w:t>c</w:t>
      </w:r>
      <w:r w:rsidR="0071558D">
        <w:rPr>
          <w:rFonts w:ascii="Garamond" w:hAnsi="Garamond"/>
        </w:rPr>
        <w:t xml:space="preserve">ausal effect of </w:t>
      </w:r>
      <w:r w:rsidR="00444D1E">
        <w:rPr>
          <w:rFonts w:ascii="Garamond" w:hAnsi="Garamond"/>
        </w:rPr>
        <w:t>schooling</w:t>
      </w:r>
      <w:r w:rsidR="00D751A1">
        <w:rPr>
          <w:rFonts w:ascii="Garamond" w:hAnsi="Garamond"/>
        </w:rPr>
        <w:t xml:space="preserve"> duration </w:t>
      </w:r>
      <w:r w:rsidR="00444D1E" w:rsidRPr="00515E78">
        <w:rPr>
          <w:rFonts w:ascii="Garamond" w:hAnsi="Garamond"/>
        </w:rPr>
        <w:t xml:space="preserve">on </w:t>
      </w:r>
      <w:r w:rsidR="00317B67">
        <w:rPr>
          <w:rFonts w:ascii="Garamond" w:hAnsi="Garamond"/>
        </w:rPr>
        <w:t xml:space="preserve">a range of </w:t>
      </w:r>
      <w:r w:rsidR="00444D1E">
        <w:rPr>
          <w:rFonts w:ascii="Garamond" w:hAnsi="Garamond"/>
        </w:rPr>
        <w:t xml:space="preserve">adult </w:t>
      </w:r>
      <w:r w:rsidR="0071558D">
        <w:rPr>
          <w:rFonts w:ascii="Garamond" w:hAnsi="Garamond"/>
        </w:rPr>
        <w:t>specific diseases</w:t>
      </w:r>
      <w:r w:rsidR="00997658">
        <w:rPr>
          <w:rFonts w:ascii="Garamond" w:hAnsi="Garamond"/>
        </w:rPr>
        <w:t xml:space="preserve"> and risk factors</w:t>
      </w:r>
      <w:r w:rsidR="0071558D">
        <w:rPr>
          <w:rFonts w:ascii="Garamond" w:hAnsi="Garamond"/>
        </w:rPr>
        <w:t xml:space="preserve"> </w:t>
      </w:r>
      <w:r w:rsidR="00997658">
        <w:rPr>
          <w:rFonts w:ascii="Garamond" w:hAnsi="Garamond"/>
        </w:rPr>
        <w:fldChar w:fldCharType="begin">
          <w:fldData xml:space="preserve">PEVuZE5vdGU+PENpdGU+PEF1dGhvcj5CYW5rczwvQXV0aG9yPjxZZWFyPjIwMTI8L1llYXI+PFJl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</w:fldData>
        </w:fldChar>
      </w:r>
      <w:r w:rsidR="007F5201">
        <w:rPr>
          <w:rFonts w:ascii="Garamond" w:hAnsi="Garamond"/>
        </w:rPr>
        <w:instrText xml:space="preserve"> ADDIN EN.CITE </w:instrText>
      </w:r>
      <w:r w:rsidR="007F5201">
        <w:rPr>
          <w:rFonts w:ascii="Garamond" w:hAnsi="Garamond"/>
        </w:rPr>
        <w:fldChar w:fldCharType="begin">
          <w:fldData xml:space="preserve">PEVuZE5vdGU+PENpdGU+PEF1dGhvcj5CYW5rczwvQXV0aG9yPjxZZWFyPjIwMTI8L1llYXI+PFJl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</w:fldData>
        </w:fldChar>
      </w:r>
      <w:r w:rsidR="007F5201">
        <w:rPr>
          <w:rFonts w:ascii="Garamond" w:hAnsi="Garamond"/>
        </w:rPr>
        <w:instrText xml:space="preserve"> ADDIN EN.CITE.DATA </w:instrText>
      </w:r>
      <w:r w:rsidR="007F5201">
        <w:rPr>
          <w:rFonts w:ascii="Garamond" w:hAnsi="Garamond"/>
        </w:rPr>
      </w:r>
      <w:r w:rsidR="007F5201">
        <w:rPr>
          <w:rFonts w:ascii="Garamond" w:hAnsi="Garamond"/>
        </w:rPr>
        <w:fldChar w:fldCharType="end"/>
      </w:r>
      <w:r w:rsidR="00997658">
        <w:rPr>
          <w:rFonts w:ascii="Garamond" w:hAnsi="Garamond"/>
        </w:rPr>
      </w:r>
      <w:r w:rsidR="00997658">
        <w:rPr>
          <w:rFonts w:ascii="Garamond" w:hAnsi="Garamond"/>
        </w:rPr>
        <w:fldChar w:fldCharType="separate"/>
      </w:r>
      <w:r w:rsidR="007F5201">
        <w:rPr>
          <w:rFonts w:ascii="Garamond" w:hAnsi="Garamond"/>
          <w:noProof/>
        </w:rPr>
        <w:t>(</w:t>
      </w:r>
      <w:hyperlink w:anchor="_ENREF_3" w:tooltip="Banks, 2012 #13" w:history="1">
        <w:r w:rsidR="006B1724">
          <w:rPr>
            <w:rFonts w:ascii="Garamond" w:hAnsi="Garamond"/>
            <w:noProof/>
          </w:rPr>
          <w:t>Banks &amp; Mazzona, 2012</w:t>
        </w:r>
      </w:hyperlink>
      <w:r w:rsidR="007F5201">
        <w:rPr>
          <w:rFonts w:ascii="Garamond" w:hAnsi="Garamond"/>
          <w:noProof/>
        </w:rPr>
        <w:t xml:space="preserve">; </w:t>
      </w:r>
      <w:hyperlink w:anchor="_ENREF_13" w:tooltip="Davies, 2018 #14" w:history="1">
        <w:r w:rsidR="006B1724">
          <w:rPr>
            <w:rFonts w:ascii="Garamond" w:hAnsi="Garamond"/>
            <w:noProof/>
          </w:rPr>
          <w:t>Davies, Dickson, Davey Smith, van den Berg, &amp; Windmeijer, 2018</w:t>
        </w:r>
      </w:hyperlink>
      <w:r w:rsidR="007F5201">
        <w:rPr>
          <w:rFonts w:ascii="Garamond" w:hAnsi="Garamond"/>
          <w:noProof/>
        </w:rPr>
        <w:t xml:space="preserve">; </w:t>
      </w:r>
      <w:hyperlink w:anchor="_ENREF_21" w:tooltip="Dursun, 2016 #18" w:history="1">
        <w:r w:rsidR="006B1724">
          <w:rPr>
            <w:rFonts w:ascii="Garamond" w:hAnsi="Garamond"/>
            <w:noProof/>
          </w:rPr>
          <w:t>Dursun &amp; Cesur, 2016</w:t>
        </w:r>
      </w:hyperlink>
      <w:r w:rsidR="007F5201">
        <w:rPr>
          <w:rFonts w:ascii="Garamond" w:hAnsi="Garamond"/>
          <w:noProof/>
        </w:rPr>
        <w:t xml:space="preserve">; </w:t>
      </w:r>
      <w:hyperlink w:anchor="_ENREF_26" w:tooltip="Glymour, 2008 #15" w:history="1">
        <w:r w:rsidR="006B1724">
          <w:rPr>
            <w:rFonts w:ascii="Garamond" w:hAnsi="Garamond"/>
            <w:noProof/>
          </w:rPr>
          <w:t>Glymour, Kawachi, Jencks, &amp; Berkman, 2008</w:t>
        </w:r>
      </w:hyperlink>
      <w:r w:rsidR="007F5201">
        <w:rPr>
          <w:rFonts w:ascii="Garamond" w:hAnsi="Garamond"/>
          <w:noProof/>
        </w:rPr>
        <w:t xml:space="preserve">; </w:t>
      </w:r>
      <w:hyperlink w:anchor="_ENREF_31" w:tooltip="Huang, 2015 #19" w:history="1">
        <w:r w:rsidR="006B1724">
          <w:rPr>
            <w:rFonts w:ascii="Garamond" w:hAnsi="Garamond"/>
            <w:noProof/>
          </w:rPr>
          <w:t>Huang, 2015</w:t>
        </w:r>
      </w:hyperlink>
      <w:r w:rsidR="007F5201">
        <w:rPr>
          <w:rFonts w:ascii="Garamond" w:hAnsi="Garamond"/>
          <w:noProof/>
        </w:rPr>
        <w:t xml:space="preserve">; </w:t>
      </w:r>
      <w:hyperlink w:anchor="_ENREF_50" w:tooltip="Nafilyan, 2017 #20" w:history="1">
        <w:r w:rsidR="006B1724">
          <w:rPr>
            <w:rFonts w:ascii="Garamond" w:hAnsi="Garamond"/>
            <w:noProof/>
          </w:rPr>
          <w:t>Nafilyan, Avendano, &amp; De Coulon, 2017</w:t>
        </w:r>
      </w:hyperlink>
      <w:r w:rsidR="007F5201">
        <w:rPr>
          <w:rFonts w:ascii="Garamond" w:hAnsi="Garamond"/>
          <w:noProof/>
        </w:rPr>
        <w:t xml:space="preserve">; </w:t>
      </w:r>
      <w:hyperlink w:anchor="_ENREF_51" w:tooltip="Nguyen, 2016 #16" w:history="1">
        <w:r w:rsidR="006B1724">
          <w:rPr>
            <w:rFonts w:ascii="Garamond" w:hAnsi="Garamond"/>
            <w:noProof/>
          </w:rPr>
          <w:t>Nguyen et al., 2016</w:t>
        </w:r>
      </w:hyperlink>
      <w:r w:rsidR="007F5201">
        <w:rPr>
          <w:rFonts w:ascii="Garamond" w:hAnsi="Garamond"/>
          <w:noProof/>
        </w:rPr>
        <w:t xml:space="preserve">; </w:t>
      </w:r>
      <w:hyperlink w:anchor="_ENREF_56" w:tooltip="Schneeweis, 2014 #17" w:history="1">
        <w:r w:rsidR="006B1724">
          <w:rPr>
            <w:rFonts w:ascii="Garamond" w:hAnsi="Garamond"/>
            <w:noProof/>
          </w:rPr>
          <w:t>Schneeweis, Skirbekk, &amp; Winter-Ebmer, 2014</w:t>
        </w:r>
      </w:hyperlink>
      <w:r w:rsidR="007F5201">
        <w:rPr>
          <w:rFonts w:ascii="Garamond" w:hAnsi="Garamond"/>
          <w:noProof/>
        </w:rPr>
        <w:t>)</w:t>
      </w:r>
      <w:r w:rsidR="00997658">
        <w:rPr>
          <w:rFonts w:ascii="Garamond" w:hAnsi="Garamond"/>
        </w:rPr>
        <w:fldChar w:fldCharType="end"/>
      </w:r>
      <w:r w:rsidR="0071558D">
        <w:rPr>
          <w:rFonts w:ascii="Garamond" w:hAnsi="Garamond"/>
        </w:rPr>
        <w:t xml:space="preserve">, </w:t>
      </w:r>
      <w:r w:rsidR="00997658">
        <w:rPr>
          <w:rFonts w:ascii="Garamond" w:hAnsi="Garamond"/>
        </w:rPr>
        <w:t>health</w:t>
      </w:r>
      <w:r w:rsidR="002B0A8F">
        <w:rPr>
          <w:rFonts w:ascii="Garamond" w:hAnsi="Garamond"/>
        </w:rPr>
        <w:t xml:space="preserve"> </w:t>
      </w:r>
      <w:r w:rsidR="00997658">
        <w:rPr>
          <w:rFonts w:ascii="Garamond" w:hAnsi="Garamond"/>
        </w:rPr>
        <w:t>behaviors</w:t>
      </w:r>
      <w:r w:rsidR="0071558D">
        <w:rPr>
          <w:rFonts w:ascii="Garamond" w:hAnsi="Garamond"/>
        </w:rPr>
        <w:t xml:space="preserve"> </w:t>
      </w:r>
      <w:r w:rsidR="00997658">
        <w:rPr>
          <w:rFonts w:ascii="Garamond" w:hAnsi="Garamond"/>
        </w:rPr>
        <w:fldChar w:fldCharType="begin"/>
      </w:r>
      <w:r w:rsidR="00CC2B97">
        <w:rPr>
          <w:rFonts w:ascii="Garamond" w:hAnsi="Garamond"/>
        </w:rPr>
        <w:instrText xml:space="preserve"> ADDIN EN.CITE &lt;EndNote&gt;&lt;Cite&gt;&lt;Author&gt;Ju</w:instrText>
      </w:r>
      <w:r w:rsidR="00CC2B97">
        <w:instrText>̈</w:instrText>
      </w:r>
      <w:r w:rsidR="00CC2B97">
        <w:rPr>
          <w:rFonts w:ascii="Garamond" w:hAnsi="Garamond"/>
        </w:rPr>
        <w:instrText>rges&lt;/Author&gt;&lt;Year&gt;2011&lt;/Year&gt;&lt;RecNum&gt;21&lt;/RecNum&gt;&lt;DisplayText&gt;(Ju</w:instrText>
      </w:r>
      <w:r w:rsidR="00CC2B97">
        <w:instrText>̈</w:instrText>
      </w:r>
      <w:r w:rsidR="00CC2B97">
        <w:rPr>
          <w:rFonts w:ascii="Garamond" w:hAnsi="Garamond"/>
        </w:rPr>
        <w:instrText>rges, Reinhold, &amp;amp; Salm, 2011; Silles, 2015)&lt;/DisplayText&gt;&lt;record&gt;&lt;rec-number&gt;21&lt;/rec-number&gt;&lt;foreign-keys&gt;&lt;key app="EN" db-id="p5pavdvzwwdesueaz0rxssxmtd2ext2dvwpd" timestamp="1542656736"&gt;21&lt;/key&gt;&lt;/foreign-keys&gt;&lt;ref-type name="Journal Article"&gt;17&lt;/ref-type&gt;&lt;contributors&gt;&lt;authors&gt;&lt;author&gt;Ju</w:instrText>
      </w:r>
      <w:r w:rsidR="00CC2B97">
        <w:instrText>̈</w:instrText>
      </w:r>
      <w:r w:rsidR="00CC2B97">
        <w:rPr>
          <w:rFonts w:ascii="Garamond" w:hAnsi="Garamond"/>
        </w:rPr>
        <w:instrText>rges, H.&lt;/author&gt;&lt;author&gt;Reinhold, S.&lt;/author&gt;&lt;author&gt;Salm, M.&lt;/author&gt;&lt;/authors&gt;&lt;/contributors&gt;&lt;titles&gt;&lt;title&gt;Does schooling affect health behavior? Evidence from educational expansion in Western Germany&lt;/title&gt;&lt;secondary-title&gt;Economics of Education Review&lt;/secondary-title&gt;&lt;/titles&gt;&lt;periodical&gt;&lt;full-title&gt;Economics of Education Review&lt;/full-title&gt;&lt;/periodical&gt;&lt;pages&gt;862-872&lt;/pages&gt;&lt;volume&gt;30&lt;/volume&gt;&lt;dates&gt;&lt;year&gt;2011&lt;/year&gt;&lt;/dates&gt;&lt;urls&gt;&lt;/urls&gt;&lt;/record&gt;&lt;/Cite&gt;&lt;Cite&gt;&lt;Author&gt;Silles&lt;/Author&gt;&lt;Year&gt;2015&lt;/Year&gt;&lt;RecNum&gt;22&lt;/RecNum&gt;&lt;record&gt;&lt;rec-number&gt;22&lt;/rec-number&gt;&lt;foreign-keys&gt;&lt;key app="EN" db-id="p5pavdvzwwdesueaz0rxssxmtd2ext2dvwpd" timestamp="1542656736"&gt;22&lt;/key&gt;&lt;/foreign-keys&gt;&lt;ref-type name="Journal Article"&gt;17&lt;/ref-type&gt;&lt;contributors&gt;&lt;authors&gt;&lt;author&gt;Silles, M.&lt;/author&gt;&lt;/authors&gt;&lt;/contributors&gt;&lt;titles&gt;&lt;title&gt;The causal effect of schooling on smoking behavior&lt;/title&gt;&lt;secondary-title&gt;Economics of Education Review&lt;/secondary-title&gt;&lt;/titles&gt;&lt;periodical&gt;&lt;full-title&gt;Economics of Education Review&lt;/full-title&gt;&lt;/periodical&gt;&lt;pages&gt;102-116&lt;/pages&gt;&lt;volume&gt;48&lt;/volume&gt;&lt;number&gt;2&lt;/number&gt;&lt;dates&gt;&lt;year&gt;2015&lt;/year&gt;&lt;/dates&gt;&lt;urls&gt;&lt;/urls&gt;&lt;/record&gt;&lt;/Cite&gt;&lt;/EndNote&gt;</w:instrText>
      </w:r>
      <w:r w:rsidR="00997658">
        <w:rPr>
          <w:rFonts w:ascii="Garamond" w:hAnsi="Garamond"/>
        </w:rPr>
        <w:fldChar w:fldCharType="separate"/>
      </w:r>
      <w:r w:rsidR="00CC2B97">
        <w:rPr>
          <w:rFonts w:ascii="Garamond" w:hAnsi="Garamond"/>
          <w:noProof/>
        </w:rPr>
        <w:t>(</w:t>
      </w:r>
      <w:hyperlink w:history="1">
        <w:r w:rsidR="006B1724">
          <w:rPr>
            <w:rFonts w:ascii="Garamond" w:hAnsi="Garamond"/>
            <w:noProof/>
          </w:rPr>
          <w:t>Ju</w:t>
        </w:r>
        <w:r w:rsidR="006B1724">
          <w:rPr>
            <w:noProof/>
          </w:rPr>
          <w:t>̈</w:t>
        </w:r>
        <w:r w:rsidR="006B1724">
          <w:rPr>
            <w:rFonts w:ascii="Garamond" w:hAnsi="Garamond"/>
            <w:noProof/>
          </w:rPr>
          <w:t>rges, Reinhold, &amp; Salm, 2011</w:t>
        </w:r>
      </w:hyperlink>
      <w:r w:rsidR="00CC2B97">
        <w:rPr>
          <w:rFonts w:ascii="Garamond" w:hAnsi="Garamond"/>
          <w:noProof/>
        </w:rPr>
        <w:t xml:space="preserve">; </w:t>
      </w:r>
      <w:hyperlink w:anchor="_ENREF_59" w:tooltip="Silles, 2015 #22" w:history="1">
        <w:r w:rsidR="006B1724">
          <w:rPr>
            <w:rFonts w:ascii="Garamond" w:hAnsi="Garamond"/>
            <w:noProof/>
          </w:rPr>
          <w:t>Silles, 2015</w:t>
        </w:r>
      </w:hyperlink>
      <w:r w:rsidR="00CC2B97">
        <w:rPr>
          <w:rFonts w:ascii="Garamond" w:hAnsi="Garamond"/>
          <w:noProof/>
        </w:rPr>
        <w:t>)</w:t>
      </w:r>
      <w:r w:rsidR="00997658">
        <w:rPr>
          <w:rFonts w:ascii="Garamond" w:hAnsi="Garamond"/>
        </w:rPr>
        <w:fldChar w:fldCharType="end"/>
      </w:r>
      <w:r w:rsidR="0071558D">
        <w:rPr>
          <w:rFonts w:ascii="Garamond" w:hAnsi="Garamond"/>
        </w:rPr>
        <w:t>, h</w:t>
      </w:r>
      <w:r w:rsidR="002B0A8F">
        <w:rPr>
          <w:rFonts w:ascii="Garamond" w:hAnsi="Garamond"/>
        </w:rPr>
        <w:t xml:space="preserve">ealth-related knowledge </w:t>
      </w:r>
      <w:r w:rsidR="00731ED0">
        <w:rPr>
          <w:rFonts w:ascii="Garamond" w:hAnsi="Garamond"/>
        </w:rPr>
        <w:fldChar w:fldCharType="begin"/>
      </w:r>
      <w:r w:rsidR="00CC2B97">
        <w:rPr>
          <w:rFonts w:ascii="Garamond" w:hAnsi="Garamond"/>
        </w:rPr>
        <w:instrText xml:space="preserve"> ADDIN EN.CITE &lt;EndNote&gt;&lt;Cite&gt;&lt;Author&gt;Johnston&lt;/Author&gt;&lt;Year&gt;2015&lt;/Year&gt;&lt;RecNum&gt;23&lt;/RecNum&gt;&lt;DisplayText&gt;(Johnston, Lordan, Shields, &amp;amp; Suziedelyte, 2015)&lt;/DisplayText&gt;&lt;record&gt;&lt;rec-number&gt;23&lt;/rec-number&gt;&lt;foreign-keys&gt;&lt;key app="EN" db-id="p5pavdvzwwdesueaz0rxssxmtd2ext2dvwpd" timestamp="1542656736"&gt;23&lt;/key&gt;&lt;/foreign-keys&gt;&lt;ref-type name="Journal Article"&gt;17&lt;/ref-type&gt;&lt;contributors&gt;&lt;authors&gt;&lt;author&gt;Johnston, D.W.&lt;/author&gt;&lt;author&gt;Lordan, G.&lt;/author&gt;&lt;author&gt;Shields, M.A.&lt;/author&gt;&lt;author&gt;Suziedelyte, A.&lt;/author&gt;&lt;/authors&gt;&lt;/contributors&gt;&lt;titles&gt;&lt;title&gt;Education and health knowledge: Evidence from UK compulsory schooling reform&lt;/title&gt;&lt;secondary-title&gt;Social Science &amp;amp; Medicine&lt;/secondary-title&gt;&lt;/titles&gt;&lt;periodical&gt;&lt;full-title&gt;Social Science &amp;amp; Medicine&lt;/full-title&gt;&lt;/periodical&gt;&lt;pages&gt;92-100&lt;/pages&gt;&lt;volume&gt;127&lt;/volume&gt;&lt;dates&gt;&lt;year&gt;2015&lt;/year&gt;&lt;/dates&gt;&lt;urls&gt;&lt;/urls&gt;&lt;/record&gt;&lt;/Cite&gt;&lt;/EndNote&gt;</w:instrText>
      </w:r>
      <w:r w:rsidR="00731ED0">
        <w:rPr>
          <w:rFonts w:ascii="Garamond" w:hAnsi="Garamond"/>
        </w:rPr>
        <w:fldChar w:fldCharType="separate"/>
      </w:r>
      <w:r w:rsidR="00C07932">
        <w:rPr>
          <w:rFonts w:ascii="Garamond" w:hAnsi="Garamond"/>
          <w:noProof/>
        </w:rPr>
        <w:t>(</w:t>
      </w:r>
      <w:hyperlink w:anchor="_ENREF_33" w:tooltip="Johnston, 2015 #23" w:history="1">
        <w:r w:rsidR="006B1724">
          <w:rPr>
            <w:rFonts w:ascii="Garamond" w:hAnsi="Garamond"/>
            <w:noProof/>
          </w:rPr>
          <w:t>Johnston, Lordan, Shields, &amp; Suziedelyte, 2015</w:t>
        </w:r>
      </w:hyperlink>
      <w:r w:rsidR="00C07932">
        <w:rPr>
          <w:rFonts w:ascii="Garamond" w:hAnsi="Garamond"/>
          <w:noProof/>
        </w:rPr>
        <w:t>)</w:t>
      </w:r>
      <w:r w:rsidR="00731ED0">
        <w:rPr>
          <w:rFonts w:ascii="Garamond" w:hAnsi="Garamond"/>
        </w:rPr>
        <w:fldChar w:fldCharType="end"/>
      </w:r>
      <w:r w:rsidR="002B0A8F">
        <w:rPr>
          <w:rFonts w:ascii="Garamond" w:hAnsi="Garamond"/>
        </w:rPr>
        <w:t xml:space="preserve">, </w:t>
      </w:r>
      <w:r w:rsidR="0071558D">
        <w:rPr>
          <w:rFonts w:ascii="Garamond" w:hAnsi="Garamond"/>
        </w:rPr>
        <w:t xml:space="preserve">and mortality </w:t>
      </w:r>
      <w:r w:rsidR="00997658">
        <w:rPr>
          <w:rFonts w:ascii="Garamond" w:hAnsi="Garamond"/>
        </w:rPr>
        <w:fldChar w:fldCharType="begin">
          <w:fldData xml:space="preserve">PEVuZE5vdGU+PENpdGU+PEF1dGhvcj5DbGFyazwvQXV0aG9yPjxZZWFyPjIwMTM8L1llYXI+PFJl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</w:fldData>
        </w:fldChar>
      </w:r>
      <w:r w:rsidR="00CC2B97">
        <w:rPr>
          <w:rFonts w:ascii="Garamond" w:hAnsi="Garamond"/>
        </w:rPr>
        <w:instrText xml:space="preserve"> ADDIN EN.CITE </w:instrText>
      </w:r>
      <w:r w:rsidR="00CC2B97">
        <w:rPr>
          <w:rFonts w:ascii="Garamond" w:hAnsi="Garamond"/>
        </w:rPr>
        <w:fldChar w:fldCharType="begin">
          <w:fldData xml:space="preserve">PEVuZE5vdGU+PENpdGU+PEF1dGhvcj5DbGFyazwvQXV0aG9yPjxZZWFyPjIwMTM8L1llYXI+PFJl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</w:fldData>
        </w:fldChar>
      </w:r>
      <w:r w:rsidR="00CC2B97">
        <w:rPr>
          <w:rFonts w:ascii="Garamond" w:hAnsi="Garamond"/>
        </w:rPr>
        <w:instrText xml:space="preserve"> ADDIN EN.CITE.DATA </w:instrText>
      </w:r>
      <w:r w:rsidR="00CC2B97">
        <w:rPr>
          <w:rFonts w:ascii="Garamond" w:hAnsi="Garamond"/>
        </w:rPr>
      </w:r>
      <w:r w:rsidR="00CC2B97">
        <w:rPr>
          <w:rFonts w:ascii="Garamond" w:hAnsi="Garamond"/>
        </w:rPr>
        <w:fldChar w:fldCharType="end"/>
      </w:r>
      <w:r w:rsidR="00997658">
        <w:rPr>
          <w:rFonts w:ascii="Garamond" w:hAnsi="Garamond"/>
        </w:rPr>
      </w:r>
      <w:r w:rsidR="00997658">
        <w:rPr>
          <w:rFonts w:ascii="Garamond" w:hAnsi="Garamond"/>
        </w:rPr>
        <w:fldChar w:fldCharType="separate"/>
      </w:r>
      <w:r w:rsidR="00A44522">
        <w:rPr>
          <w:rFonts w:ascii="Garamond" w:hAnsi="Garamond"/>
          <w:noProof/>
        </w:rPr>
        <w:t>(</w:t>
      </w:r>
      <w:hyperlink w:anchor="_ENREF_1" w:tooltip="Albouy, 2009 #27" w:history="1">
        <w:r w:rsidR="006B1724">
          <w:rPr>
            <w:rFonts w:ascii="Garamond" w:hAnsi="Garamond"/>
            <w:noProof/>
          </w:rPr>
          <w:t>Albouy &amp; Lequien, 2009</w:t>
        </w:r>
      </w:hyperlink>
      <w:r w:rsidR="00A44522">
        <w:rPr>
          <w:rFonts w:ascii="Garamond" w:hAnsi="Garamond"/>
          <w:noProof/>
        </w:rPr>
        <w:t xml:space="preserve">; </w:t>
      </w:r>
      <w:hyperlink w:anchor="_ENREF_10" w:tooltip="Clark, 2013 #24" w:history="1">
        <w:r w:rsidR="006B1724">
          <w:rPr>
            <w:rFonts w:ascii="Garamond" w:hAnsi="Garamond"/>
            <w:noProof/>
          </w:rPr>
          <w:t>Clark &amp; Royer, 2013</w:t>
        </w:r>
      </w:hyperlink>
      <w:r w:rsidR="00A44522">
        <w:rPr>
          <w:rFonts w:ascii="Garamond" w:hAnsi="Garamond"/>
          <w:noProof/>
        </w:rPr>
        <w:t xml:space="preserve">; </w:t>
      </w:r>
      <w:hyperlink w:anchor="_ENREF_24" w:tooltip="Gathmann, 2015 #28" w:history="1">
        <w:r w:rsidR="006B1724">
          <w:rPr>
            <w:rFonts w:ascii="Garamond" w:hAnsi="Garamond"/>
            <w:noProof/>
          </w:rPr>
          <w:t>Gathmann, Ju</w:t>
        </w:r>
        <w:r w:rsidR="006B1724">
          <w:rPr>
            <w:rFonts w:ascii="Calibri" w:eastAsia="Calibri" w:hAnsi="Calibri" w:cs="Calibri"/>
            <w:noProof/>
          </w:rPr>
          <w:t>̈</w:t>
        </w:r>
        <w:r w:rsidR="006B1724">
          <w:rPr>
            <w:rFonts w:ascii="Garamond" w:hAnsi="Garamond"/>
            <w:noProof/>
          </w:rPr>
          <w:t>rges, &amp; Reinhold, 2015</w:t>
        </w:r>
      </w:hyperlink>
      <w:r w:rsidR="00A44522">
        <w:rPr>
          <w:rFonts w:ascii="Garamond" w:hAnsi="Garamond"/>
          <w:noProof/>
        </w:rPr>
        <w:t xml:space="preserve">; </w:t>
      </w:r>
      <w:hyperlink w:anchor="_ENREF_41" w:tooltip="Lager, 2012 #25" w:history="1">
        <w:r w:rsidR="006B1724">
          <w:rPr>
            <w:rFonts w:ascii="Garamond" w:hAnsi="Garamond"/>
            <w:noProof/>
          </w:rPr>
          <w:t>Lager &amp; Torssander, 2012</w:t>
        </w:r>
      </w:hyperlink>
      <w:r w:rsidR="00A44522">
        <w:rPr>
          <w:rFonts w:ascii="Garamond" w:hAnsi="Garamond"/>
          <w:noProof/>
        </w:rPr>
        <w:t xml:space="preserve">; </w:t>
      </w:r>
      <w:hyperlink w:anchor="_ENREF_45" w:tooltip="Lleras-Muney, 2005 #26" w:history="1">
        <w:r w:rsidR="006B1724">
          <w:rPr>
            <w:rFonts w:ascii="Garamond" w:hAnsi="Garamond"/>
            <w:noProof/>
          </w:rPr>
          <w:t>Lleras-Muney, 2005</w:t>
        </w:r>
      </w:hyperlink>
      <w:r w:rsidR="00A44522">
        <w:rPr>
          <w:rFonts w:ascii="Garamond" w:hAnsi="Garamond"/>
          <w:noProof/>
        </w:rPr>
        <w:t>)</w:t>
      </w:r>
      <w:r w:rsidR="00997658">
        <w:rPr>
          <w:rFonts w:ascii="Garamond" w:hAnsi="Garamond"/>
        </w:rPr>
        <w:fldChar w:fldCharType="end"/>
      </w:r>
      <w:r w:rsidR="0071558D">
        <w:rPr>
          <w:rFonts w:ascii="Garamond" w:hAnsi="Garamond"/>
        </w:rPr>
        <w:t xml:space="preserve">. </w:t>
      </w:r>
      <w:r w:rsidR="00DE661F">
        <w:rPr>
          <w:rFonts w:ascii="Garamond" w:hAnsi="Garamond"/>
        </w:rPr>
        <w:t xml:space="preserve">However, </w:t>
      </w:r>
      <w:r w:rsidR="0018566A">
        <w:rPr>
          <w:rFonts w:ascii="Garamond" w:hAnsi="Garamond"/>
        </w:rPr>
        <w:t xml:space="preserve">a recent review and meta-analysis of the health effects of compulsory schooling laws identified a paucity of research on biomarkers of health </w:t>
      </w:r>
      <w:r w:rsidR="0018566A">
        <w:rPr>
          <w:rFonts w:ascii="Garamond" w:hAnsi="Garamond"/>
        </w:rPr>
        <w:fldChar w:fldCharType="begin"/>
      </w:r>
      <w:r w:rsidR="00CC2B97">
        <w:rPr>
          <w:rFonts w:ascii="Garamond" w:hAnsi="Garamond"/>
        </w:rPr>
        <w:instrText xml:space="preserve"> ADDIN EN.CITE &lt;EndNote&gt;&lt;Cite&gt;&lt;Author&gt;Hamad&lt;/Author&gt;&lt;Year&gt;2018&lt;/Year&gt;&lt;RecNum&gt;29&lt;/RecNum&gt;&lt;DisplayText&gt;(Hamad, Elser, Tran, Rehkopf, &amp;amp; Goodman, 2018)&lt;/DisplayText&gt;&lt;record&gt;&lt;rec-number&gt;29&lt;/rec-number&gt;&lt;foreign-keys&gt;&lt;key app="EN" db-id="p5pavdvzwwdesueaz0rxssxmtd2ext2dvwpd" timestamp="1542656736"&gt;29&lt;/key&gt;&lt;/foreign-keys&gt;&lt;ref-type name="Journal Article"&gt;17&lt;/ref-type&gt;&lt;contributors&gt;&lt;authors&gt;&lt;author&gt;Hamad, R.&lt;/author&gt;&lt;author&gt;Elser, H.&lt;/author&gt;&lt;author&gt;Tran, D.C.&lt;/author&gt;&lt;author&gt;Rehkopf, D.H.&lt;/author&gt;&lt;author&gt;Goodman, S.N.&lt;/author&gt;&lt;/authors&gt;&lt;/contributors&gt;&lt;titles&gt;&lt;title&gt;How and why studies disagree about the effects of education on health: a systematic review and meta-analysis of studies of compulsory schooling laws&lt;/title&gt;&lt;secondary-title&gt;Social Science &amp;amp; Medicine&lt;/secondary-title&gt;&lt;/titles&gt;&lt;periodical&gt;&lt;full-title&gt;Social Science &amp;amp; Medicine&lt;/full-title&gt;&lt;/periodical&gt;&lt;pages&gt;168-178&lt;/pages&gt;&lt;volume&gt;212&lt;/volume&gt;&lt;dates&gt;&lt;year&gt;2018&lt;/year&gt;&lt;/dates&gt;&lt;urls&gt;&lt;/urls&gt;&lt;/record&gt;&lt;/Cite&gt;&lt;/EndNote&gt;</w:instrText>
      </w:r>
      <w:r w:rsidR="0018566A">
        <w:rPr>
          <w:rFonts w:ascii="Garamond" w:hAnsi="Garamond"/>
        </w:rPr>
        <w:fldChar w:fldCharType="separate"/>
      </w:r>
      <w:r w:rsidR="00C07932">
        <w:rPr>
          <w:rFonts w:ascii="Garamond" w:hAnsi="Garamond"/>
          <w:noProof/>
        </w:rPr>
        <w:t>(</w:t>
      </w:r>
      <w:hyperlink w:anchor="_ENREF_29" w:tooltip="Hamad, 2018 #29" w:history="1">
        <w:r w:rsidR="006B1724">
          <w:rPr>
            <w:rFonts w:ascii="Garamond" w:hAnsi="Garamond"/>
            <w:noProof/>
          </w:rPr>
          <w:t>Hamad, Elser, Tran, Rehkopf, &amp; Goodman, 2018</w:t>
        </w:r>
      </w:hyperlink>
      <w:r w:rsidR="00C07932">
        <w:rPr>
          <w:rFonts w:ascii="Garamond" w:hAnsi="Garamond"/>
          <w:noProof/>
        </w:rPr>
        <w:t>)</w:t>
      </w:r>
      <w:r w:rsidR="0018566A">
        <w:rPr>
          <w:rFonts w:ascii="Garamond" w:hAnsi="Garamond"/>
        </w:rPr>
        <w:fldChar w:fldCharType="end"/>
      </w:r>
      <w:r w:rsidR="0018566A">
        <w:rPr>
          <w:rFonts w:ascii="Garamond" w:hAnsi="Garamond"/>
        </w:rPr>
        <w:t xml:space="preserve">. Indeed, </w:t>
      </w:r>
      <w:r w:rsidR="00DE661F">
        <w:rPr>
          <w:rFonts w:ascii="Garamond" w:hAnsi="Garamond"/>
        </w:rPr>
        <w:t>o</w:t>
      </w:r>
      <w:r w:rsidR="0071558D">
        <w:rPr>
          <w:rFonts w:ascii="Garamond" w:hAnsi="Garamond"/>
        </w:rPr>
        <w:t xml:space="preserve">nly </w:t>
      </w:r>
      <w:r w:rsidR="00A23195">
        <w:rPr>
          <w:rFonts w:ascii="Garamond" w:hAnsi="Garamond"/>
        </w:rPr>
        <w:t>three</w:t>
      </w:r>
      <w:r w:rsidR="0071558D">
        <w:rPr>
          <w:rFonts w:ascii="Garamond" w:hAnsi="Garamond"/>
        </w:rPr>
        <w:t xml:space="preserve"> studies </w:t>
      </w:r>
      <w:r w:rsidR="00516D98">
        <w:rPr>
          <w:rFonts w:ascii="Garamond" w:hAnsi="Garamond"/>
        </w:rPr>
        <w:t xml:space="preserve">to date </w:t>
      </w:r>
      <w:r w:rsidR="0071558D">
        <w:rPr>
          <w:rFonts w:ascii="Garamond" w:hAnsi="Garamond"/>
        </w:rPr>
        <w:t>ha</w:t>
      </w:r>
      <w:r w:rsidR="00A23195">
        <w:rPr>
          <w:rFonts w:ascii="Garamond" w:hAnsi="Garamond"/>
        </w:rPr>
        <w:t>ve</w:t>
      </w:r>
      <w:r w:rsidR="0071558D">
        <w:rPr>
          <w:rFonts w:ascii="Garamond" w:hAnsi="Garamond"/>
        </w:rPr>
        <w:t xml:space="preserve"> </w:t>
      </w:r>
      <w:r w:rsidR="00A23195">
        <w:rPr>
          <w:rFonts w:ascii="Garamond" w:hAnsi="Garamond"/>
        </w:rPr>
        <w:t>focused</w:t>
      </w:r>
      <w:r w:rsidR="0000161B">
        <w:rPr>
          <w:rFonts w:ascii="Garamond" w:hAnsi="Garamond"/>
        </w:rPr>
        <w:t xml:space="preserve"> on </w:t>
      </w:r>
      <w:r w:rsidR="00D77C71">
        <w:rPr>
          <w:rFonts w:ascii="Garamond" w:hAnsi="Garamond"/>
        </w:rPr>
        <w:t>biomarkers</w:t>
      </w:r>
      <w:r w:rsidR="00A23195">
        <w:rPr>
          <w:rFonts w:ascii="Garamond" w:hAnsi="Garamond"/>
        </w:rPr>
        <w:t>;</w:t>
      </w:r>
      <w:r w:rsidR="003A0A4B">
        <w:rPr>
          <w:rFonts w:ascii="Garamond" w:hAnsi="Garamond"/>
        </w:rPr>
        <w:t xml:space="preserve"> and their </w:t>
      </w:r>
      <w:r w:rsidR="00D77C71">
        <w:rPr>
          <w:rFonts w:ascii="Garamond" w:hAnsi="Garamond"/>
        </w:rPr>
        <w:t xml:space="preserve">findings offer </w:t>
      </w:r>
      <w:r w:rsidR="003A0A4B">
        <w:rPr>
          <w:rFonts w:ascii="Garamond" w:hAnsi="Garamond"/>
        </w:rPr>
        <w:t xml:space="preserve">contradictory </w:t>
      </w:r>
      <w:r w:rsidR="00D77C71">
        <w:rPr>
          <w:rFonts w:ascii="Garamond" w:hAnsi="Garamond"/>
        </w:rPr>
        <w:t xml:space="preserve">evidence of a causal relationship. </w:t>
      </w:r>
      <w:proofErr w:type="spellStart"/>
      <w:r w:rsidR="00D40017">
        <w:rPr>
          <w:rFonts w:ascii="Garamond" w:hAnsi="Garamond"/>
        </w:rPr>
        <w:t>Jürges</w:t>
      </w:r>
      <w:proofErr w:type="spellEnd"/>
      <w:r w:rsidR="00D40017">
        <w:rPr>
          <w:rFonts w:ascii="Garamond" w:hAnsi="Garamond"/>
        </w:rPr>
        <w:t xml:space="preserve"> and colleagues </w:t>
      </w:r>
      <w:r w:rsidR="00D40017">
        <w:rPr>
          <w:rFonts w:ascii="Garamond" w:hAnsi="Garamond"/>
        </w:rPr>
        <w:fldChar w:fldCharType="begin"/>
      </w:r>
      <w:r w:rsidR="00CC2B97">
        <w:rPr>
          <w:rFonts w:ascii="Garamond" w:hAnsi="Garamond"/>
        </w:rPr>
        <w:instrText xml:space="preserve"> ADDIN EN.CITE &lt;EndNote&gt;&lt;Cite ExcludeAuth="1"&gt;&lt;Author&gt;Jürges&lt;/Author&gt;&lt;Year&gt;2013&lt;/Year&gt;&lt;RecNum&gt;30&lt;/RecNum&gt;&lt;DisplayText&gt;(2013)&lt;/DisplayText&gt;&lt;record&gt;&lt;rec-number&gt;30&lt;/rec-number&gt;&lt;foreign-keys&gt;&lt;key app="EN" db-id="p5pavdvzwwdesueaz0rxssxmtd2ext2dvwpd" timestamp="1542656736"&gt;30&lt;/key&gt;&lt;/foreign-keys&gt;&lt;ref-type name="Journal Article"&gt;17&lt;/ref-type&gt;&lt;contributors&gt;&lt;authors&gt;&lt;author&gt;Jürges, Hendrik&lt;/author&gt;&lt;author&gt;Kruk, Eberhard&lt;/author&gt;&lt;author&gt;Reinhold, Steffen&lt;/author&gt;&lt;/authors&gt;&lt;/contributors&gt;&lt;titles&gt;&lt;title&gt;The effect of compulsory schooling on health—evidence from biomarkers&lt;/title&gt;&lt;secondary-title&gt;Journal of population economics&lt;/secondary-title&gt;&lt;/titles&gt;&lt;periodical&gt;&lt;full-title&gt;Journal of Population Economics&lt;/full-title&gt;&lt;/periodical&gt;&lt;pages&gt;645-672&lt;/pages&gt;&lt;volume&gt;26&lt;/volume&gt;&lt;number&gt;2&lt;/number&gt;&lt;dates&gt;&lt;year&gt;2013&lt;/year&gt;&lt;/dates&gt;&lt;isbn&gt;0933-1433&lt;/isbn&gt;&lt;urls&gt;&lt;/urls&gt;&lt;/record&gt;&lt;/Cite&gt;&lt;/EndNote&gt;</w:instrText>
      </w:r>
      <w:r w:rsidR="00D40017">
        <w:rPr>
          <w:rFonts w:ascii="Garamond" w:hAnsi="Garamond"/>
        </w:rPr>
        <w:fldChar w:fldCharType="separate"/>
      </w:r>
      <w:r w:rsidR="00A44522">
        <w:rPr>
          <w:rFonts w:ascii="Garamond" w:hAnsi="Garamond"/>
          <w:noProof/>
        </w:rPr>
        <w:t>(</w:t>
      </w:r>
      <w:hyperlink w:anchor="_ENREF_35" w:tooltip="Jürges, 2013 #30" w:history="1">
        <w:r w:rsidR="006B1724">
          <w:rPr>
            <w:rFonts w:ascii="Garamond" w:hAnsi="Garamond"/>
            <w:noProof/>
          </w:rPr>
          <w:t>2013</w:t>
        </w:r>
      </w:hyperlink>
      <w:r w:rsidR="00A44522">
        <w:rPr>
          <w:rFonts w:ascii="Garamond" w:hAnsi="Garamond"/>
          <w:noProof/>
        </w:rPr>
        <w:t>)</w:t>
      </w:r>
      <w:r w:rsidR="00D40017">
        <w:rPr>
          <w:rFonts w:ascii="Garamond" w:hAnsi="Garamond"/>
        </w:rPr>
        <w:fldChar w:fldCharType="end"/>
      </w:r>
      <w:r w:rsidR="00027A2B">
        <w:rPr>
          <w:rFonts w:ascii="Garamond" w:hAnsi="Garamond"/>
        </w:rPr>
        <w:t xml:space="preserve"> </w:t>
      </w:r>
      <w:r w:rsidR="00B362C4">
        <w:rPr>
          <w:rFonts w:ascii="Garamond" w:hAnsi="Garamond"/>
        </w:rPr>
        <w:t>reported</w:t>
      </w:r>
      <w:r w:rsidR="00D77C71">
        <w:rPr>
          <w:rFonts w:ascii="Garamond" w:hAnsi="Garamond"/>
        </w:rPr>
        <w:t xml:space="preserve"> </w:t>
      </w:r>
      <w:r w:rsidR="008F26D8">
        <w:rPr>
          <w:rFonts w:ascii="Garamond" w:hAnsi="Garamond"/>
        </w:rPr>
        <w:t xml:space="preserve">no significant effect of two </w:t>
      </w:r>
      <w:r w:rsidR="00B362C4">
        <w:rPr>
          <w:rFonts w:ascii="Garamond" w:hAnsi="Garamond"/>
        </w:rPr>
        <w:t>English</w:t>
      </w:r>
      <w:r w:rsidR="008F26D8">
        <w:rPr>
          <w:rFonts w:ascii="Garamond" w:hAnsi="Garamond"/>
        </w:rPr>
        <w:t xml:space="preserve"> compulsory schooling reforms on biomarkers of </w:t>
      </w:r>
      <w:r w:rsidR="008F26D8" w:rsidRPr="00B362C4">
        <w:rPr>
          <w:rFonts w:ascii="Garamond" w:hAnsi="Garamond"/>
        </w:rPr>
        <w:t xml:space="preserve">inflammation </w:t>
      </w:r>
      <w:r w:rsidR="00ED3D0F" w:rsidRPr="00B362C4">
        <w:rPr>
          <w:rFonts w:ascii="Garamond" w:hAnsi="Garamond"/>
        </w:rPr>
        <w:t xml:space="preserve">and </w:t>
      </w:r>
      <w:r w:rsidR="008F26D8" w:rsidRPr="00B362C4">
        <w:rPr>
          <w:rFonts w:ascii="Garamond" w:hAnsi="Garamond"/>
        </w:rPr>
        <w:t>chro</w:t>
      </w:r>
      <w:r w:rsidR="004E13DB" w:rsidRPr="00B362C4">
        <w:rPr>
          <w:rFonts w:ascii="Garamond" w:hAnsi="Garamond"/>
        </w:rPr>
        <w:t>nic stress</w:t>
      </w:r>
      <w:r w:rsidR="00ED3D0F" w:rsidRPr="00B362C4">
        <w:rPr>
          <w:rFonts w:ascii="Garamond" w:hAnsi="Garamond"/>
        </w:rPr>
        <w:t xml:space="preserve">. </w:t>
      </w:r>
      <w:r w:rsidR="0010189B" w:rsidRPr="00B362C4">
        <w:rPr>
          <w:rFonts w:ascii="Garamond" w:hAnsi="Garamond"/>
        </w:rPr>
        <w:t>Examining</w:t>
      </w:r>
      <w:r w:rsidR="00ED3D0F" w:rsidRPr="00B362C4">
        <w:rPr>
          <w:rFonts w:ascii="Garamond" w:hAnsi="Garamond"/>
        </w:rPr>
        <w:t xml:space="preserve"> the same reforms </w:t>
      </w:r>
      <w:r w:rsidR="0010189B" w:rsidRPr="00B362C4">
        <w:rPr>
          <w:rFonts w:ascii="Garamond" w:hAnsi="Garamond"/>
        </w:rPr>
        <w:t xml:space="preserve">in </w:t>
      </w:r>
      <w:r w:rsidR="00ED3D0F" w:rsidRPr="00B362C4">
        <w:rPr>
          <w:rFonts w:ascii="Garamond" w:hAnsi="Garamond"/>
        </w:rPr>
        <w:t>the UK,</w:t>
      </w:r>
      <w:r w:rsidR="004E13DB" w:rsidRPr="00B362C4">
        <w:rPr>
          <w:rFonts w:ascii="Garamond" w:hAnsi="Garamond"/>
        </w:rPr>
        <w:t xml:space="preserve"> </w:t>
      </w:r>
      <w:hyperlink w:anchor="_ENREF_53" w:tooltip="Powdthavee, 2010 #31" w:history="1">
        <w:r w:rsidR="006B1724" w:rsidRPr="00B362C4">
          <w:rPr>
            <w:rFonts w:ascii="Garamond" w:hAnsi="Garamond"/>
          </w:rPr>
          <w:fldChar w:fldCharType="begin"/>
        </w:r>
        <w:r w:rsidR="006B1724">
          <w:rPr>
            <w:rFonts w:ascii="Garamond" w:hAnsi="Garamond"/>
          </w:rPr>
          <w:instrText xml:space="preserve"> ADDIN EN.CITE &lt;EndNote&gt;&lt;Cite AuthorYear="1"&gt;&lt;Author&gt;Powdthavee&lt;/Author&gt;&lt;Year&gt;2010&lt;/Year&gt;&lt;RecNum&gt;31&lt;/RecNum&gt;&lt;DisplayText&gt;Powdthavee (2010)&lt;/DisplayText&gt;&lt;record&gt;&lt;rec-number&gt;31&lt;/rec-number&gt;&lt;foreign-keys&gt;&lt;key app="EN" db-id="p5pavdvzwwdesueaz0rxssxmtd2ext2dvwpd" timestamp="1542656736"&gt;31&lt;/key&gt;&lt;/foreign-keys&gt;&lt;ref-type name="Journal Article"&gt;17&lt;/ref-type&gt;&lt;contributors&gt;&lt;authors&gt;&lt;author&gt;Powdthavee, N.&lt;/author&gt;&lt;/authors&gt;&lt;/contributors&gt;&lt;titles&gt;&lt;title&gt;Does education reduce the risk of hypertension? Estimating the biomarker effect of compulsory schooling in England&lt;/title&gt;&lt;secondary-title&gt;Journal of Human Capital&lt;/secondary-title&gt;&lt;/titles&gt;&lt;periodical&gt;&lt;full-title&gt;Journal of Human Capital&lt;/full-title&gt;&lt;/periodical&gt;&lt;pages&gt;173-202&lt;/pages&gt;&lt;volume&gt;4&lt;/volume&gt;&lt;number&gt;2&lt;/number&gt;&lt;dates&gt;&lt;year&gt;2010&lt;/year&gt;&lt;/dates&gt;&lt;urls&gt;&lt;/urls&gt;&lt;/record&gt;&lt;/Cite&gt;&lt;/EndNote&gt;</w:instrText>
        </w:r>
        <w:r w:rsidR="006B1724" w:rsidRPr="00B362C4">
          <w:rPr>
            <w:rFonts w:ascii="Garamond" w:hAnsi="Garamond"/>
          </w:rPr>
          <w:fldChar w:fldCharType="separate"/>
        </w:r>
        <w:r w:rsidR="006B1724">
          <w:rPr>
            <w:rFonts w:ascii="Garamond" w:hAnsi="Garamond"/>
            <w:noProof/>
          </w:rPr>
          <w:t>Powdthavee (2010)</w:t>
        </w:r>
        <w:r w:rsidR="006B1724" w:rsidRPr="00B362C4">
          <w:rPr>
            <w:rFonts w:ascii="Garamond" w:hAnsi="Garamond"/>
          </w:rPr>
          <w:fldChar w:fldCharType="end"/>
        </w:r>
      </w:hyperlink>
      <w:r w:rsidR="00B362C4" w:rsidRPr="00B362C4">
        <w:rPr>
          <w:rFonts w:ascii="Garamond" w:hAnsi="Garamond"/>
        </w:rPr>
        <w:t xml:space="preserve"> </w:t>
      </w:r>
      <w:r w:rsidR="003A0A4B" w:rsidRPr="00B362C4">
        <w:rPr>
          <w:rFonts w:ascii="Garamond" w:hAnsi="Garamond"/>
        </w:rPr>
        <w:t>f</w:t>
      </w:r>
      <w:r w:rsidR="00731ED0">
        <w:rPr>
          <w:rFonts w:ascii="Garamond" w:hAnsi="Garamond"/>
        </w:rPr>
        <w:t>ound</w:t>
      </w:r>
      <w:r w:rsidR="003A0A4B">
        <w:rPr>
          <w:rFonts w:ascii="Garamond" w:hAnsi="Garamond"/>
        </w:rPr>
        <w:t xml:space="preserve"> </w:t>
      </w:r>
      <w:r w:rsidR="00ED3D0F">
        <w:rPr>
          <w:rFonts w:ascii="Garamond" w:hAnsi="Garamond"/>
        </w:rPr>
        <w:t xml:space="preserve">that the 1947 compulsory schooling reform reduced </w:t>
      </w:r>
      <w:r w:rsidR="003A0A4B">
        <w:rPr>
          <w:rFonts w:ascii="Garamond" w:hAnsi="Garamond"/>
        </w:rPr>
        <w:t xml:space="preserve">hypertension, </w:t>
      </w:r>
      <w:r w:rsidR="00DE661F">
        <w:rPr>
          <w:rFonts w:ascii="Garamond" w:hAnsi="Garamond"/>
        </w:rPr>
        <w:t xml:space="preserve">while </w:t>
      </w:r>
      <w:r w:rsidR="00B362C4">
        <w:rPr>
          <w:rFonts w:ascii="Garamond" w:hAnsi="Garamond"/>
        </w:rPr>
        <w:t>the second law change in 197</w:t>
      </w:r>
      <w:r w:rsidR="00F152EC">
        <w:rPr>
          <w:rFonts w:ascii="Garamond" w:hAnsi="Garamond"/>
        </w:rPr>
        <w:t>2</w:t>
      </w:r>
      <w:r w:rsidR="00B362C4">
        <w:rPr>
          <w:rFonts w:ascii="Garamond" w:hAnsi="Garamond"/>
        </w:rPr>
        <w:t xml:space="preserve"> did not </w:t>
      </w:r>
      <w:r w:rsidR="00CB4095">
        <w:rPr>
          <w:rFonts w:ascii="Garamond" w:hAnsi="Garamond"/>
        </w:rPr>
        <w:t>induce</w:t>
      </w:r>
      <w:r w:rsidR="00F41216">
        <w:rPr>
          <w:rFonts w:ascii="Garamond" w:hAnsi="Garamond"/>
        </w:rPr>
        <w:t xml:space="preserve"> </w:t>
      </w:r>
      <w:r w:rsidR="00B362C4">
        <w:rPr>
          <w:rFonts w:ascii="Garamond" w:hAnsi="Garamond"/>
        </w:rPr>
        <w:t>significant effects on blood pressure</w:t>
      </w:r>
      <w:r w:rsidR="00ED3D0F">
        <w:rPr>
          <w:rFonts w:ascii="Garamond" w:hAnsi="Garamond"/>
        </w:rPr>
        <w:t xml:space="preserve">. </w:t>
      </w:r>
      <w:r w:rsidR="000E4ABE">
        <w:rPr>
          <w:rFonts w:ascii="Garamond" w:hAnsi="Garamond"/>
        </w:rPr>
        <w:t>More r</w:t>
      </w:r>
      <w:r w:rsidR="00B362C4">
        <w:rPr>
          <w:rFonts w:ascii="Garamond" w:hAnsi="Garamond"/>
        </w:rPr>
        <w:t xml:space="preserve">ecently, </w:t>
      </w:r>
      <w:proofErr w:type="spellStart"/>
      <w:r w:rsidR="009F76F4">
        <w:rPr>
          <w:rFonts w:ascii="Garamond" w:hAnsi="Garamond"/>
        </w:rPr>
        <w:t>Barcellos</w:t>
      </w:r>
      <w:proofErr w:type="spellEnd"/>
      <w:r w:rsidR="009F76F4">
        <w:rPr>
          <w:rFonts w:ascii="Garamond" w:hAnsi="Garamond"/>
        </w:rPr>
        <w:t xml:space="preserve"> and colleagues</w:t>
      </w:r>
      <w:r w:rsidR="00F152EC">
        <w:rPr>
          <w:rFonts w:ascii="Garamond" w:hAnsi="Garamond"/>
        </w:rPr>
        <w:t xml:space="preserve"> found that the 1972 schooling reform was associated with reduced body size and improved lung function, but increased </w:t>
      </w:r>
      <w:r w:rsidR="0056492B">
        <w:rPr>
          <w:rFonts w:ascii="Garamond" w:hAnsi="Garamond"/>
        </w:rPr>
        <w:t>blood pressure in mid-adulthood</w:t>
      </w:r>
      <w:r w:rsidR="009F76F4">
        <w:rPr>
          <w:rFonts w:ascii="Garamond" w:hAnsi="Garamond"/>
        </w:rPr>
        <w:t xml:space="preserve"> </w:t>
      </w:r>
      <w:r w:rsidR="009F76F4">
        <w:rPr>
          <w:rFonts w:ascii="Garamond" w:hAnsi="Garamond"/>
        </w:rPr>
        <w:fldChar w:fldCharType="begin"/>
      </w:r>
      <w:r w:rsidR="00CC2B97">
        <w:rPr>
          <w:rFonts w:ascii="Garamond" w:hAnsi="Garamond"/>
        </w:rPr>
        <w:instrText xml:space="preserve"> ADDIN EN.CITE &lt;EndNote&gt;&lt;Cite ExcludeAuth="1"&gt;&lt;Author&gt;Barcellos&lt;/Author&gt;&lt;Year&gt;2018&lt;/Year&gt;&lt;RecNum&gt;32&lt;/RecNum&gt;&lt;DisplayText&gt;(2018)&lt;/DisplayText&gt;&lt;record&gt;&lt;rec-number&gt;32&lt;/rec-number&gt;&lt;foreign-keys&gt;&lt;key app="EN" db-id="p5pavdvzwwdesueaz0rxssxmtd2ext2dvwpd" timestamp="1542656736"&gt;32&lt;/key&gt;&lt;/foreign-keys&gt;&lt;ref-type name="Journal Article"&gt;17&lt;/ref-type&gt;&lt;contributors&gt;&lt;authors&gt;&lt;author&gt;Barcellos, S.H.&lt;/author&gt;&lt;author&gt;Carvalho, L.S.&lt;/author&gt;&lt;author&gt;Turley, P.&lt;/author&gt;&lt;/authors&gt;&lt;/contributors&gt;&lt;titles&gt;&lt;title&gt;Distributional effects of education on health&lt;/title&gt;&lt;secondary-title&gt;Mimeo&lt;/secondary-title&gt;&lt;/titles&gt;&lt;periodical&gt;&lt;full-title&gt;Mimeo&lt;/full-title&gt;&lt;/periodical&gt;&lt;dates&gt;&lt;year&gt;2018&lt;/year&gt;&lt;/dates&gt;&lt;urls&gt;&lt;/urls&gt;&lt;/record&gt;&lt;/Cite&gt;&lt;/EndNote&gt;</w:instrText>
      </w:r>
      <w:r w:rsidR="009F76F4">
        <w:rPr>
          <w:rFonts w:ascii="Garamond" w:hAnsi="Garamond"/>
        </w:rPr>
        <w:fldChar w:fldCharType="separate"/>
      </w:r>
      <w:r w:rsidR="00C07932">
        <w:rPr>
          <w:rFonts w:ascii="Garamond" w:hAnsi="Garamond"/>
          <w:noProof/>
        </w:rPr>
        <w:t>(</w:t>
      </w:r>
      <w:hyperlink w:anchor="_ENREF_4" w:tooltip="Barcellos, 2018 #32" w:history="1">
        <w:r w:rsidR="006B1724">
          <w:rPr>
            <w:rFonts w:ascii="Garamond" w:hAnsi="Garamond"/>
            <w:noProof/>
          </w:rPr>
          <w:t>2018</w:t>
        </w:r>
      </w:hyperlink>
      <w:r w:rsidR="00C07932">
        <w:rPr>
          <w:rFonts w:ascii="Garamond" w:hAnsi="Garamond"/>
          <w:noProof/>
        </w:rPr>
        <w:t>)</w:t>
      </w:r>
      <w:r w:rsidR="009F76F4">
        <w:rPr>
          <w:rFonts w:ascii="Garamond" w:hAnsi="Garamond"/>
        </w:rPr>
        <w:fldChar w:fldCharType="end"/>
      </w:r>
      <w:r w:rsidR="006935F4">
        <w:rPr>
          <w:rFonts w:ascii="Garamond" w:hAnsi="Garamond"/>
        </w:rPr>
        <w:t xml:space="preserve">. </w:t>
      </w:r>
      <w:r w:rsidR="00ED3D0F">
        <w:rPr>
          <w:rFonts w:ascii="Garamond" w:hAnsi="Garamond"/>
        </w:rPr>
        <w:t xml:space="preserve">Overall, the </w:t>
      </w:r>
      <w:r w:rsidR="00505F44">
        <w:rPr>
          <w:rFonts w:ascii="Garamond" w:hAnsi="Garamond"/>
        </w:rPr>
        <w:t>available evidence</w:t>
      </w:r>
      <w:r w:rsidR="00ED3D0F">
        <w:rPr>
          <w:rFonts w:ascii="Garamond" w:hAnsi="Garamond"/>
        </w:rPr>
        <w:t xml:space="preserve"> is largely focused on UK reforms and offers no </w:t>
      </w:r>
      <w:r w:rsidR="009742E6">
        <w:rPr>
          <w:rFonts w:ascii="Garamond" w:hAnsi="Garamond"/>
        </w:rPr>
        <w:t>conclusive</w:t>
      </w:r>
      <w:r w:rsidR="00ED3D0F">
        <w:rPr>
          <w:rFonts w:ascii="Garamond" w:hAnsi="Garamond"/>
        </w:rPr>
        <w:t xml:space="preserve"> </w:t>
      </w:r>
      <w:r w:rsidR="00505F44">
        <w:rPr>
          <w:rFonts w:ascii="Garamond" w:hAnsi="Garamond"/>
        </w:rPr>
        <w:t>answer</w:t>
      </w:r>
      <w:r w:rsidR="00ED3D0F">
        <w:rPr>
          <w:rFonts w:ascii="Garamond" w:hAnsi="Garamond"/>
        </w:rPr>
        <w:t xml:space="preserve"> </w:t>
      </w:r>
      <w:r w:rsidR="009742E6">
        <w:rPr>
          <w:rFonts w:ascii="Garamond" w:hAnsi="Garamond"/>
        </w:rPr>
        <w:t xml:space="preserve">on </w:t>
      </w:r>
      <w:r w:rsidR="00ED3D0F">
        <w:rPr>
          <w:rFonts w:ascii="Garamond" w:hAnsi="Garamond"/>
        </w:rPr>
        <w:t xml:space="preserve">the </w:t>
      </w:r>
      <w:r w:rsidR="00505F44">
        <w:rPr>
          <w:rFonts w:ascii="Garamond" w:hAnsi="Garamond"/>
        </w:rPr>
        <w:t xml:space="preserve">potential </w:t>
      </w:r>
      <w:r w:rsidR="00ED3D0F">
        <w:rPr>
          <w:rFonts w:ascii="Garamond" w:hAnsi="Garamond"/>
        </w:rPr>
        <w:t>impact of schooling on</w:t>
      </w:r>
      <w:r w:rsidR="0047007C">
        <w:rPr>
          <w:rFonts w:ascii="Garamond" w:hAnsi="Garamond"/>
        </w:rPr>
        <w:t xml:space="preserve"> </w:t>
      </w:r>
      <w:r w:rsidR="00ED3D0F">
        <w:rPr>
          <w:rFonts w:ascii="Garamond" w:hAnsi="Garamond"/>
        </w:rPr>
        <w:t xml:space="preserve">biological markers.  </w:t>
      </w:r>
    </w:p>
    <w:p w14:paraId="197EE8BB" w14:textId="77777777" w:rsidR="00A44522" w:rsidRDefault="00A44522" w:rsidP="00F152EC">
      <w:pPr>
        <w:spacing w:line="480" w:lineRule="auto"/>
        <w:ind w:firstLine="720"/>
        <w:contextualSpacing/>
        <w:jc w:val="both"/>
        <w:rPr>
          <w:rFonts w:ascii="Garamond" w:hAnsi="Garamond"/>
        </w:rPr>
      </w:pPr>
    </w:p>
    <w:p w14:paraId="64C2CDEB" w14:textId="47ABEAD9" w:rsidR="003F4A3E" w:rsidRDefault="005C327A" w:rsidP="00904BEB">
      <w:pPr>
        <w:spacing w:line="480" w:lineRule="auto"/>
        <w:ind w:firstLine="720"/>
        <w:contextualSpacing/>
        <w:jc w:val="both"/>
        <w:rPr>
          <w:rFonts w:ascii="Garamond" w:hAnsi="Garamond"/>
        </w:rPr>
      </w:pPr>
      <w:r>
        <w:rPr>
          <w:rFonts w:ascii="Garamond" w:hAnsi="Garamond"/>
        </w:rPr>
        <w:t xml:space="preserve">In this study, we </w:t>
      </w:r>
      <w:r w:rsidR="00543975">
        <w:rPr>
          <w:rFonts w:ascii="Garamond" w:hAnsi="Garamond"/>
        </w:rPr>
        <w:t>focus</w:t>
      </w:r>
      <w:r w:rsidR="009742E6">
        <w:rPr>
          <w:rFonts w:ascii="Garamond" w:hAnsi="Garamond"/>
        </w:rPr>
        <w:t xml:space="preserve"> on the 1959 </w:t>
      </w:r>
      <w:proofErr w:type="spellStart"/>
      <w:r w:rsidR="009742E6" w:rsidRPr="00515E78">
        <w:rPr>
          <w:rFonts w:ascii="Garamond" w:hAnsi="Garamond"/>
        </w:rPr>
        <w:t>Berthoin</w:t>
      </w:r>
      <w:proofErr w:type="spellEnd"/>
      <w:r w:rsidR="009742E6" w:rsidRPr="00515E78">
        <w:rPr>
          <w:rFonts w:ascii="Garamond" w:hAnsi="Garamond"/>
        </w:rPr>
        <w:t xml:space="preserve"> reform, which raised the minimum school leaving age from 14 to 16 </w:t>
      </w:r>
      <w:r w:rsidR="009742E6">
        <w:rPr>
          <w:rFonts w:ascii="Garamond" w:hAnsi="Garamond"/>
        </w:rPr>
        <w:t xml:space="preserve">years for all French </w:t>
      </w:r>
      <w:r w:rsidR="00F41216">
        <w:rPr>
          <w:rFonts w:ascii="Garamond" w:hAnsi="Garamond"/>
        </w:rPr>
        <w:t xml:space="preserve">residents </w:t>
      </w:r>
      <w:r w:rsidR="009742E6" w:rsidRPr="00515E78">
        <w:rPr>
          <w:rFonts w:ascii="Garamond" w:hAnsi="Garamond"/>
        </w:rPr>
        <w:t>born after 1st January 1953</w:t>
      </w:r>
      <w:r w:rsidR="009742E6">
        <w:rPr>
          <w:rFonts w:ascii="Garamond" w:hAnsi="Garamond"/>
        </w:rPr>
        <w:t xml:space="preserve">. Previous </w:t>
      </w:r>
      <w:r w:rsidR="00505F44">
        <w:rPr>
          <w:rFonts w:ascii="Garamond" w:hAnsi="Garamond"/>
        </w:rPr>
        <w:t>work</w:t>
      </w:r>
      <w:r w:rsidR="009742E6">
        <w:rPr>
          <w:rFonts w:ascii="Garamond" w:hAnsi="Garamond"/>
        </w:rPr>
        <w:t xml:space="preserve"> </w:t>
      </w:r>
      <w:r w:rsidR="009742E6">
        <w:rPr>
          <w:rFonts w:ascii="Garamond" w:hAnsi="Garamond"/>
        </w:rPr>
        <w:lastRenderedPageBreak/>
        <w:t>ha</w:t>
      </w:r>
      <w:r w:rsidR="00505F44">
        <w:rPr>
          <w:rFonts w:ascii="Garamond" w:hAnsi="Garamond"/>
        </w:rPr>
        <w:t>s</w:t>
      </w:r>
      <w:r w:rsidR="009742E6">
        <w:rPr>
          <w:rFonts w:ascii="Garamond" w:hAnsi="Garamond"/>
        </w:rPr>
        <w:t xml:space="preserve"> examined the effect of this reform on employment and earnings</w:t>
      </w:r>
      <w:r w:rsidR="00166828">
        <w:rPr>
          <w:rFonts w:ascii="Garamond" w:hAnsi="Garamond"/>
        </w:rPr>
        <w:t xml:space="preserve"> </w:t>
      </w:r>
      <w:r w:rsidR="00505F44">
        <w:rPr>
          <w:rFonts w:ascii="Garamond" w:hAnsi="Garamond"/>
        </w:rPr>
        <w:fldChar w:fldCharType="begin"/>
      </w:r>
      <w:r w:rsidR="00CC2B97">
        <w:rPr>
          <w:rFonts w:ascii="Garamond" w:hAnsi="Garamond"/>
        </w:rPr>
        <w:instrText xml:space="preserve"> ADDIN EN.CITE &lt;EndNote&gt;&lt;Cite&gt;&lt;Author&gt;Grenet&lt;/Author&gt;&lt;Year&gt;2013&lt;/Year&gt;&lt;RecNum&gt;33&lt;/RecNum&gt;&lt;DisplayText&gt;(Grenet, 2013)&lt;/DisplayText&gt;&lt;record&gt;&lt;rec-number&gt;33&lt;/rec-number&gt;&lt;foreign-keys&gt;&lt;key app="EN" db-id="p5pavdvzwwdesueaz0rxssxmtd2ext2dvwpd" timestamp="1542656736"&gt;33&lt;/key&gt;&lt;/foreign-keys&gt;&lt;ref-type name="Journal Article"&gt;17&lt;/ref-type&gt;&lt;contributors&gt;&lt;authors&gt;&lt;author&gt;Grenet, J.&lt;/author&gt;&lt;/authors&gt;&lt;/contributors&gt;&lt;titles&gt;&lt;title&gt;Is extending compulsory schooling alone enough to raise earnings? Evidence from French and British compulsory schooling laws&lt;/title&gt;&lt;secondary-title&gt;Scandinavian Journal of Economics&lt;/secondary-title&gt;&lt;/titles&gt;&lt;periodical&gt;&lt;full-title&gt;Scandinavian Journal of Economics&lt;/full-title&gt;&lt;/periodical&gt;&lt;pages&gt;176-210&lt;/pages&gt;&lt;volume&gt;115&lt;/volume&gt;&lt;number&gt;1&lt;/number&gt;&lt;dates&gt;&lt;year&gt;2013&lt;/year&gt;&lt;/dates&gt;&lt;urls&gt;&lt;/urls&gt;&lt;/record&gt;&lt;/Cite&gt;&lt;/EndNote&gt;</w:instrText>
      </w:r>
      <w:r w:rsidR="00505F44">
        <w:rPr>
          <w:rFonts w:ascii="Garamond" w:hAnsi="Garamond"/>
        </w:rPr>
        <w:fldChar w:fldCharType="separate"/>
      </w:r>
      <w:r w:rsidR="00C34B30">
        <w:rPr>
          <w:rFonts w:ascii="Garamond" w:hAnsi="Garamond"/>
          <w:noProof/>
        </w:rPr>
        <w:t>(</w:t>
      </w:r>
      <w:hyperlink w:anchor="_ENREF_28" w:tooltip="Grenet, 2013 #33" w:history="1">
        <w:r w:rsidR="006B1724">
          <w:rPr>
            <w:rFonts w:ascii="Garamond" w:hAnsi="Garamond"/>
            <w:noProof/>
          </w:rPr>
          <w:t>Grenet, 2013</w:t>
        </w:r>
      </w:hyperlink>
      <w:r w:rsidR="00C34B30">
        <w:rPr>
          <w:rFonts w:ascii="Garamond" w:hAnsi="Garamond"/>
          <w:noProof/>
        </w:rPr>
        <w:t>)</w:t>
      </w:r>
      <w:r w:rsidR="00505F44">
        <w:rPr>
          <w:rFonts w:ascii="Garamond" w:hAnsi="Garamond"/>
        </w:rPr>
        <w:fldChar w:fldCharType="end"/>
      </w:r>
      <w:r w:rsidR="009742E6" w:rsidRPr="00515E78">
        <w:rPr>
          <w:rFonts w:ascii="Garamond" w:hAnsi="Garamond"/>
        </w:rPr>
        <w:t>,</w:t>
      </w:r>
      <w:r w:rsidR="009742E6">
        <w:rPr>
          <w:rFonts w:ascii="Garamond" w:hAnsi="Garamond"/>
        </w:rPr>
        <w:t xml:space="preserve"> but no studies </w:t>
      </w:r>
      <w:r w:rsidR="00505F44">
        <w:rPr>
          <w:rFonts w:ascii="Garamond" w:hAnsi="Garamond"/>
        </w:rPr>
        <w:t xml:space="preserve">to date </w:t>
      </w:r>
      <w:r w:rsidR="009742E6">
        <w:rPr>
          <w:rFonts w:ascii="Garamond" w:hAnsi="Garamond"/>
        </w:rPr>
        <w:t xml:space="preserve">have examined </w:t>
      </w:r>
      <w:r w:rsidR="00505F44">
        <w:rPr>
          <w:rFonts w:ascii="Garamond" w:hAnsi="Garamond"/>
        </w:rPr>
        <w:t>its impact</w:t>
      </w:r>
      <w:r w:rsidR="009742E6">
        <w:rPr>
          <w:rFonts w:ascii="Garamond" w:hAnsi="Garamond"/>
        </w:rPr>
        <w:t xml:space="preserve"> on biological markers of disease. </w:t>
      </w:r>
      <w:r w:rsidR="00505F44">
        <w:rPr>
          <w:rFonts w:ascii="Garamond" w:hAnsi="Garamond"/>
        </w:rPr>
        <w:t>While no effect of the reform on mortality was found</w:t>
      </w:r>
      <w:r w:rsidR="00027A2B">
        <w:rPr>
          <w:rFonts w:ascii="Garamond" w:hAnsi="Garamond"/>
        </w:rPr>
        <w:t xml:space="preserve"> </w:t>
      </w:r>
      <w:r w:rsidR="00027A2B" w:rsidRPr="00515E78">
        <w:rPr>
          <w:rFonts w:ascii="Garamond" w:hAnsi="Garamond"/>
        </w:rPr>
        <w:fldChar w:fldCharType="begin"/>
      </w:r>
      <w:r w:rsidR="00CC2B97">
        <w:rPr>
          <w:rFonts w:ascii="Garamond" w:hAnsi="Garamond"/>
        </w:rPr>
        <w:instrText xml:space="preserve"> ADDIN EN.CITE &lt;EndNote&gt;&lt;Cite&gt;&lt;Author&gt;Albouy&lt;/Author&gt;&lt;Year&gt;2009&lt;/Year&gt;&lt;RecNum&gt;27&lt;/RecNum&gt;&lt;DisplayText&gt;(Albouy &amp;amp; Lequien, 2009)&lt;/DisplayText&gt;&lt;record&gt;&lt;rec-number&gt;27&lt;/rec-number&gt;&lt;foreign-keys&gt;&lt;key app="EN" db-id="p5pavdvzwwdesueaz0rxssxmtd2ext2dvwpd" timestamp="1542656736"&gt;27&lt;/key&gt;&lt;/foreign-keys&gt;&lt;ref-type name="Journal Article"&gt;17&lt;/ref-type&gt;&lt;contributors&gt;&lt;authors&gt;&lt;author&gt;Albouy,V.&lt;/author&gt;&lt;author&gt;Lequien, L.&lt;/author&gt;&lt;/authors&gt;&lt;/contributors&gt;&lt;titles&gt;&lt;title&gt;Does compulsory education lower mortality?&lt;/title&gt;&lt;secondary-title&gt;Journal of Health Economics&lt;/secondary-title&gt;&lt;/titles&gt;&lt;periodical&gt;&lt;full-title&gt;Journal of Health Economics&lt;/full-title&gt;&lt;/periodical&gt;&lt;pages&gt;155-168&lt;/pages&gt;&lt;volume&gt;28&lt;/volume&gt;&lt;dates&gt;&lt;year&gt;2009&lt;/year&gt;&lt;/dates&gt;&lt;urls&gt;&lt;/urls&gt;&lt;/record&gt;&lt;/Cite&gt;&lt;/EndNote&gt;</w:instrText>
      </w:r>
      <w:r w:rsidR="00027A2B" w:rsidRPr="00515E78">
        <w:rPr>
          <w:rFonts w:ascii="Garamond" w:hAnsi="Garamond"/>
        </w:rPr>
        <w:fldChar w:fldCharType="separate"/>
      </w:r>
      <w:r w:rsidR="00C07932">
        <w:rPr>
          <w:rFonts w:ascii="Garamond" w:hAnsi="Garamond"/>
          <w:noProof/>
        </w:rPr>
        <w:t>(</w:t>
      </w:r>
      <w:hyperlink w:anchor="_ENREF_1" w:tooltip="Albouy, 2009 #27" w:history="1">
        <w:r w:rsidR="006B1724">
          <w:rPr>
            <w:rFonts w:ascii="Garamond" w:hAnsi="Garamond"/>
            <w:noProof/>
          </w:rPr>
          <w:t>Albouy &amp; Lequien, 2009</w:t>
        </w:r>
      </w:hyperlink>
      <w:r w:rsidR="00C07932">
        <w:rPr>
          <w:rFonts w:ascii="Garamond" w:hAnsi="Garamond"/>
          <w:noProof/>
        </w:rPr>
        <w:t>)</w:t>
      </w:r>
      <w:r w:rsidR="00027A2B" w:rsidRPr="00515E78">
        <w:rPr>
          <w:rFonts w:ascii="Garamond" w:hAnsi="Garamond"/>
        </w:rPr>
        <w:fldChar w:fldCharType="end"/>
      </w:r>
      <w:r w:rsidR="00027A2B">
        <w:rPr>
          <w:rFonts w:ascii="Garamond" w:hAnsi="Garamond"/>
        </w:rPr>
        <w:t xml:space="preserve">, </w:t>
      </w:r>
      <w:r w:rsidR="00D41C22">
        <w:rPr>
          <w:rFonts w:ascii="Garamond" w:hAnsi="Garamond"/>
        </w:rPr>
        <w:t xml:space="preserve">the affected </w:t>
      </w:r>
      <w:r w:rsidR="00027A2B">
        <w:rPr>
          <w:rFonts w:ascii="Garamond" w:hAnsi="Garamond"/>
        </w:rPr>
        <w:t xml:space="preserve">cohorts </w:t>
      </w:r>
      <w:r w:rsidR="00505F44">
        <w:rPr>
          <w:rFonts w:ascii="Garamond" w:hAnsi="Garamond"/>
        </w:rPr>
        <w:t>might</w:t>
      </w:r>
      <w:r w:rsidR="00C52951">
        <w:rPr>
          <w:rFonts w:ascii="Garamond" w:hAnsi="Garamond"/>
        </w:rPr>
        <w:t xml:space="preserve"> still </w:t>
      </w:r>
      <w:r w:rsidR="00505F44">
        <w:rPr>
          <w:rFonts w:ascii="Garamond" w:hAnsi="Garamond"/>
        </w:rPr>
        <w:t xml:space="preserve">be </w:t>
      </w:r>
      <w:r w:rsidR="00C52951">
        <w:rPr>
          <w:rFonts w:ascii="Garamond" w:hAnsi="Garamond"/>
        </w:rPr>
        <w:t>too young</w:t>
      </w:r>
      <w:r w:rsidR="00554271">
        <w:rPr>
          <w:rFonts w:ascii="Garamond" w:hAnsi="Garamond"/>
        </w:rPr>
        <w:t xml:space="preserve">, and </w:t>
      </w:r>
      <w:r w:rsidR="00121F6B">
        <w:rPr>
          <w:rFonts w:ascii="Garamond" w:hAnsi="Garamond"/>
        </w:rPr>
        <w:t>mortality may not fully reflect potential impact</w:t>
      </w:r>
      <w:r w:rsidR="00C52951">
        <w:rPr>
          <w:rFonts w:ascii="Garamond" w:hAnsi="Garamond"/>
        </w:rPr>
        <w:t>s</w:t>
      </w:r>
      <w:r w:rsidR="00121F6B">
        <w:rPr>
          <w:rFonts w:ascii="Garamond" w:hAnsi="Garamond"/>
        </w:rPr>
        <w:t xml:space="preserve"> on health </w:t>
      </w:r>
      <w:r w:rsidR="00C52951">
        <w:rPr>
          <w:rFonts w:ascii="Garamond" w:hAnsi="Garamond"/>
        </w:rPr>
        <w:t xml:space="preserve">or </w:t>
      </w:r>
      <w:r w:rsidR="00121F6B">
        <w:rPr>
          <w:rFonts w:ascii="Garamond" w:hAnsi="Garamond"/>
        </w:rPr>
        <w:t xml:space="preserve">sub-clinical disease. </w:t>
      </w:r>
      <w:r w:rsidR="00391C38">
        <w:rPr>
          <w:rFonts w:ascii="Garamond" w:hAnsi="Garamond"/>
        </w:rPr>
        <w:t>Biomarkers</w:t>
      </w:r>
      <w:r w:rsidR="00543975">
        <w:rPr>
          <w:rFonts w:ascii="Garamond" w:hAnsi="Garamond"/>
        </w:rPr>
        <w:t xml:space="preserve"> consequently </w:t>
      </w:r>
      <w:r w:rsidR="00391C38">
        <w:rPr>
          <w:rFonts w:ascii="Garamond" w:hAnsi="Garamond"/>
        </w:rPr>
        <w:t>offer several advantages</w:t>
      </w:r>
      <w:r w:rsidR="00505F44">
        <w:rPr>
          <w:rFonts w:ascii="Garamond" w:hAnsi="Garamond"/>
        </w:rPr>
        <w:t xml:space="preserve"> to investigate further the </w:t>
      </w:r>
      <w:r w:rsidR="00543975">
        <w:rPr>
          <w:rFonts w:ascii="Garamond" w:hAnsi="Garamond"/>
        </w:rPr>
        <w:t>health effects of the reform</w:t>
      </w:r>
      <w:r w:rsidR="00391C38">
        <w:rPr>
          <w:rFonts w:ascii="Garamond" w:hAnsi="Garamond"/>
        </w:rPr>
        <w:t xml:space="preserve">. First, </w:t>
      </w:r>
      <w:r w:rsidR="00543975">
        <w:rPr>
          <w:rFonts w:ascii="Garamond" w:hAnsi="Garamond"/>
        </w:rPr>
        <w:t>they</w:t>
      </w:r>
      <w:r w:rsidR="00391C38">
        <w:rPr>
          <w:rFonts w:ascii="Garamond" w:hAnsi="Garamond"/>
        </w:rPr>
        <w:t xml:space="preserve"> reflect</w:t>
      </w:r>
      <w:r w:rsidR="00391C38" w:rsidRPr="00515E78">
        <w:rPr>
          <w:rFonts w:ascii="Garamond" w:hAnsi="Garamond"/>
        </w:rPr>
        <w:t xml:space="preserve"> subclinical disease that has not yet manifested in </w:t>
      </w:r>
      <w:r w:rsidR="00080AAA">
        <w:rPr>
          <w:rFonts w:ascii="Garamond" w:hAnsi="Garamond"/>
        </w:rPr>
        <w:t xml:space="preserve">observable </w:t>
      </w:r>
      <w:r w:rsidR="00516D98">
        <w:rPr>
          <w:rFonts w:ascii="Garamond" w:hAnsi="Garamond"/>
        </w:rPr>
        <w:t>clinical</w:t>
      </w:r>
      <w:r w:rsidR="00080AAA">
        <w:rPr>
          <w:rFonts w:ascii="Garamond" w:hAnsi="Garamond"/>
        </w:rPr>
        <w:t xml:space="preserve"> outcomes.</w:t>
      </w:r>
      <w:r w:rsidR="00391C38">
        <w:rPr>
          <w:rFonts w:ascii="Garamond" w:hAnsi="Garamond"/>
        </w:rPr>
        <w:t xml:space="preserve"> </w:t>
      </w:r>
      <w:r w:rsidR="00904BEB">
        <w:rPr>
          <w:rFonts w:ascii="Garamond" w:hAnsi="Garamond"/>
        </w:rPr>
        <w:t>This is especially important if we want to understand early pre-disease pathways in middle adulthood. Biomarkers</w:t>
      </w:r>
      <w:r w:rsidR="00391C38">
        <w:rPr>
          <w:rFonts w:ascii="Garamond" w:hAnsi="Garamond"/>
        </w:rPr>
        <w:t xml:space="preserve"> can also shed light on the mechanisms through which </w:t>
      </w:r>
      <w:r w:rsidR="00080AAA">
        <w:rPr>
          <w:rFonts w:ascii="Garamond" w:hAnsi="Garamond"/>
        </w:rPr>
        <w:t xml:space="preserve">education may </w:t>
      </w:r>
      <w:r w:rsidR="00391C38">
        <w:rPr>
          <w:rFonts w:ascii="Garamond" w:hAnsi="Garamond"/>
        </w:rPr>
        <w:t>impact health, for example</w:t>
      </w:r>
      <w:r w:rsidR="00505F44">
        <w:rPr>
          <w:rFonts w:ascii="Garamond" w:hAnsi="Garamond"/>
        </w:rPr>
        <w:t xml:space="preserve"> </w:t>
      </w:r>
      <w:r w:rsidR="00080AAA">
        <w:rPr>
          <w:rFonts w:ascii="Garamond" w:hAnsi="Garamond"/>
        </w:rPr>
        <w:t xml:space="preserve">by identifying </w:t>
      </w:r>
      <w:r w:rsidR="00391C38">
        <w:rPr>
          <w:rFonts w:ascii="Garamond" w:hAnsi="Garamond"/>
        </w:rPr>
        <w:t xml:space="preserve">cardiovascular or immune pathways </w:t>
      </w:r>
      <w:r w:rsidR="00080AAA">
        <w:rPr>
          <w:rFonts w:ascii="Garamond" w:hAnsi="Garamond"/>
        </w:rPr>
        <w:t>associated with increased schooling</w:t>
      </w:r>
      <w:r w:rsidR="00543975">
        <w:rPr>
          <w:rFonts w:ascii="Garamond" w:hAnsi="Garamond"/>
        </w:rPr>
        <w:t xml:space="preserve"> duration</w:t>
      </w:r>
      <w:r w:rsidR="00080AAA">
        <w:rPr>
          <w:rFonts w:ascii="Garamond" w:hAnsi="Garamond"/>
        </w:rPr>
        <w:t xml:space="preserve"> </w:t>
      </w:r>
      <w:r w:rsidR="00391C38">
        <w:rPr>
          <w:rFonts w:ascii="Garamond" w:hAnsi="Garamond"/>
        </w:rPr>
        <w:fldChar w:fldCharType="begin"/>
      </w:r>
      <w:r w:rsidR="00CC2B97">
        <w:rPr>
          <w:rFonts w:ascii="Garamond" w:hAnsi="Garamond"/>
        </w:rPr>
        <w:instrText xml:space="preserve"> ADDIN EN.CITE &lt;EndNote&gt;&lt;Cite&gt;&lt;Author&gt;Crimmins&lt;/Author&gt;&lt;Year&gt;2004&lt;/Year&gt;&lt;RecNum&gt;34&lt;/RecNum&gt;&lt;DisplayText&gt;(Crimmins &amp;amp; Seeman, 2004)&lt;/DisplayText&gt;&lt;record&gt;&lt;rec-number&gt;34&lt;/rec-number&gt;&lt;foreign-keys&gt;&lt;key app="EN" db-id="p5pavdvzwwdesueaz0rxssxmtd2ext2dvwpd" timestamp="1542656736"&gt;34&lt;/key&gt;&lt;/foreign-keys&gt;&lt;ref-type name="Journal Article"&gt;17&lt;/ref-type&gt;&lt;contributors&gt;&lt;authors&gt;&lt;author&gt;Crimmins, Eileen M.&lt;/author&gt;&lt;author&gt;Seeman, Teresa E.&lt;/author&gt;&lt;/authors&gt;&lt;/contributors&gt;&lt;titles&gt;&lt;title&gt;Integrating Biology into the Study of Health Disparities&lt;/title&gt;&lt;secondary-title&gt;Population Council&lt;/secondary-title&gt;&lt;/titles&gt;&lt;periodical&gt;&lt;full-title&gt;Population Council&lt;/full-title&gt;&lt;/periodical&gt;&lt;pages&gt;89-107&lt;/pages&gt;&lt;volume&gt;30&lt;/volume&gt;&lt;dates&gt;&lt;year&gt;2004&lt;/year&gt;&lt;/dates&gt;&lt;urls&gt;&lt;/urls&gt;&lt;/record&gt;&lt;/Cite&gt;&lt;/EndNote&gt;</w:instrText>
      </w:r>
      <w:r w:rsidR="00391C38">
        <w:rPr>
          <w:rFonts w:ascii="Garamond" w:hAnsi="Garamond"/>
        </w:rPr>
        <w:fldChar w:fldCharType="separate"/>
      </w:r>
      <w:r w:rsidR="00C34B30">
        <w:rPr>
          <w:rFonts w:ascii="Garamond" w:hAnsi="Garamond"/>
          <w:noProof/>
        </w:rPr>
        <w:t>(</w:t>
      </w:r>
      <w:hyperlink w:anchor="_ENREF_11" w:tooltip="Crimmins, 2004 #34" w:history="1">
        <w:r w:rsidR="006B1724">
          <w:rPr>
            <w:rFonts w:ascii="Garamond" w:hAnsi="Garamond"/>
            <w:noProof/>
          </w:rPr>
          <w:t>Crimmins &amp; Seeman, 2004</w:t>
        </w:r>
      </w:hyperlink>
      <w:r w:rsidR="00C34B30">
        <w:rPr>
          <w:rFonts w:ascii="Garamond" w:hAnsi="Garamond"/>
          <w:noProof/>
        </w:rPr>
        <w:t>)</w:t>
      </w:r>
      <w:r w:rsidR="00391C38">
        <w:rPr>
          <w:rFonts w:ascii="Garamond" w:hAnsi="Garamond"/>
        </w:rPr>
        <w:fldChar w:fldCharType="end"/>
      </w:r>
      <w:r w:rsidR="00505F44">
        <w:rPr>
          <w:rFonts w:ascii="Garamond" w:hAnsi="Garamond"/>
        </w:rPr>
        <w:t>. Third, b</w:t>
      </w:r>
      <w:r w:rsidR="00391C38">
        <w:rPr>
          <w:rFonts w:ascii="Garamond" w:hAnsi="Garamond"/>
        </w:rPr>
        <w:t>iomarkers can</w:t>
      </w:r>
      <w:r w:rsidR="00505F44">
        <w:rPr>
          <w:rFonts w:ascii="Garamond" w:hAnsi="Garamond"/>
        </w:rPr>
        <w:t xml:space="preserve"> </w:t>
      </w:r>
      <w:r w:rsidR="00391C38">
        <w:rPr>
          <w:rFonts w:ascii="Garamond" w:hAnsi="Garamond"/>
        </w:rPr>
        <w:t xml:space="preserve">provide a more </w:t>
      </w:r>
      <w:r w:rsidR="00080AAA">
        <w:rPr>
          <w:rFonts w:ascii="Garamond" w:hAnsi="Garamond"/>
        </w:rPr>
        <w:t>‘</w:t>
      </w:r>
      <w:r w:rsidR="00391C38">
        <w:rPr>
          <w:rFonts w:ascii="Garamond" w:hAnsi="Garamond"/>
        </w:rPr>
        <w:t>objective</w:t>
      </w:r>
      <w:r w:rsidR="00080AAA">
        <w:rPr>
          <w:rFonts w:ascii="Garamond" w:hAnsi="Garamond"/>
        </w:rPr>
        <w:t>’</w:t>
      </w:r>
      <w:r w:rsidR="00391C38">
        <w:rPr>
          <w:rFonts w:ascii="Garamond" w:hAnsi="Garamond"/>
        </w:rPr>
        <w:t xml:space="preserve"> </w:t>
      </w:r>
      <w:r w:rsidR="0047007C">
        <w:rPr>
          <w:rFonts w:ascii="Garamond" w:hAnsi="Garamond"/>
        </w:rPr>
        <w:t>assessment</w:t>
      </w:r>
      <w:r w:rsidR="00391C38">
        <w:rPr>
          <w:rFonts w:ascii="Garamond" w:hAnsi="Garamond"/>
        </w:rPr>
        <w:t xml:space="preserve"> </w:t>
      </w:r>
      <w:r w:rsidR="00543975">
        <w:rPr>
          <w:rFonts w:ascii="Garamond" w:hAnsi="Garamond"/>
        </w:rPr>
        <w:t>compared to</w:t>
      </w:r>
      <w:r w:rsidR="00391C38">
        <w:rPr>
          <w:rFonts w:ascii="Garamond" w:hAnsi="Garamond"/>
        </w:rPr>
        <w:t xml:space="preserve"> self-reported health measures </w:t>
      </w:r>
      <w:r w:rsidR="00080AAA">
        <w:rPr>
          <w:rFonts w:ascii="Garamond" w:hAnsi="Garamond"/>
        </w:rPr>
        <w:t>susceptible to reporting or other measurement b</w:t>
      </w:r>
      <w:r w:rsidR="00EF60F0">
        <w:rPr>
          <w:rFonts w:ascii="Garamond" w:hAnsi="Garamond"/>
        </w:rPr>
        <w:t>ias</w:t>
      </w:r>
      <w:r w:rsidR="00D41C22">
        <w:rPr>
          <w:rFonts w:ascii="Garamond" w:hAnsi="Garamond"/>
        </w:rPr>
        <w:t>es</w:t>
      </w:r>
      <w:r w:rsidR="00391C38">
        <w:rPr>
          <w:rFonts w:ascii="Garamond" w:hAnsi="Garamond"/>
        </w:rPr>
        <w:t xml:space="preserve"> </w:t>
      </w:r>
      <w:r w:rsidR="00391C38">
        <w:rPr>
          <w:rFonts w:ascii="Garamond" w:hAnsi="Garamond"/>
        </w:rPr>
        <w:fldChar w:fldCharType="begin"/>
      </w:r>
      <w:r w:rsidR="00CC2B97">
        <w:rPr>
          <w:rFonts w:ascii="Garamond" w:hAnsi="Garamond"/>
        </w:rPr>
        <w:instrText xml:space="preserve"> ADDIN EN.CITE &lt;EndNote&gt;&lt;Cite&gt;&lt;Author&gt;Dowd&lt;/Author&gt;&lt;Year&gt;2011&lt;/Year&gt;&lt;RecNum&gt;35&lt;/RecNum&gt;&lt;DisplayText&gt;(Dowd &amp;amp; Todd, 2011)&lt;/DisplayText&gt;&lt;record&gt;&lt;rec-number&gt;35&lt;/rec-number&gt;&lt;foreign-keys&gt;&lt;key app="EN" db-id="p5pavdvzwwdesueaz0rxssxmtd2ext2dvwpd" timestamp="1542656736"&gt;35&lt;/key&gt;&lt;/foreign-keys&gt;&lt;ref-type name="Journal Article"&gt;17&lt;/ref-type&gt;&lt;contributors&gt;&lt;authors&gt;&lt;author&gt;Dowd, J.B.&lt;/author&gt;&lt;author&gt;Todd, M.&lt;/author&gt;&lt;/authors&gt;&lt;/contributors&gt;&lt;titles&gt;&lt;title&gt;Does Self-reported Health Bias the Measurement of Health Inequalities in U.S. Adults? Evidence Using Anchoring Vignettes from the Health and Retirement Study&lt;/title&gt;&lt;secondary-title&gt;The Journals of Gerontology Series B: Psychological Sciences and Social Sciences&lt;/secondary-title&gt;&lt;/titles&gt;&lt;periodical&gt;&lt;full-title&gt;The Journals of Gerontology Series B: Psychological Sciences and Social Sciences&lt;/full-title&gt;&lt;/periodical&gt;&lt;pages&gt;478-489&lt;/pages&gt;&lt;volume&gt;66&lt;/volume&gt;&lt;number&gt;4&lt;/number&gt;&lt;dates&gt;&lt;year&gt;2011&lt;/year&gt;&lt;/dates&gt;&lt;urls&gt;&lt;/urls&gt;&lt;/record&gt;&lt;/Cite&gt;&lt;/EndNote&gt;</w:instrText>
      </w:r>
      <w:r w:rsidR="00391C38">
        <w:rPr>
          <w:rFonts w:ascii="Garamond" w:hAnsi="Garamond"/>
        </w:rPr>
        <w:fldChar w:fldCharType="separate"/>
      </w:r>
      <w:r w:rsidR="00A44522">
        <w:rPr>
          <w:rFonts w:ascii="Garamond" w:hAnsi="Garamond"/>
          <w:noProof/>
        </w:rPr>
        <w:t>(</w:t>
      </w:r>
      <w:hyperlink w:anchor="_ENREF_20" w:tooltip="Dowd, 2011 #35" w:history="1">
        <w:r w:rsidR="006B1724">
          <w:rPr>
            <w:rFonts w:ascii="Garamond" w:hAnsi="Garamond"/>
            <w:noProof/>
          </w:rPr>
          <w:t>Dowd &amp; Todd, 2011</w:t>
        </w:r>
      </w:hyperlink>
      <w:r w:rsidR="00A44522">
        <w:rPr>
          <w:rFonts w:ascii="Garamond" w:hAnsi="Garamond"/>
          <w:noProof/>
        </w:rPr>
        <w:t>)</w:t>
      </w:r>
      <w:r w:rsidR="00391C38">
        <w:rPr>
          <w:rFonts w:ascii="Garamond" w:hAnsi="Garamond"/>
        </w:rPr>
        <w:fldChar w:fldCharType="end"/>
      </w:r>
      <w:r w:rsidR="00391C38">
        <w:rPr>
          <w:rFonts w:ascii="Garamond" w:hAnsi="Garamond"/>
        </w:rPr>
        <w:t xml:space="preserve">. </w:t>
      </w:r>
      <w:r w:rsidR="00080AAA">
        <w:rPr>
          <w:rFonts w:ascii="Garamond" w:hAnsi="Garamond"/>
        </w:rPr>
        <w:t xml:space="preserve">Our study, therefore, addresses a gap </w:t>
      </w:r>
      <w:r w:rsidR="00E335D0">
        <w:rPr>
          <w:rFonts w:ascii="Garamond" w:hAnsi="Garamond"/>
        </w:rPr>
        <w:t xml:space="preserve">by assessing the </w:t>
      </w:r>
      <w:r w:rsidR="00080AAA">
        <w:rPr>
          <w:rFonts w:ascii="Garamond" w:hAnsi="Garamond"/>
        </w:rPr>
        <w:t xml:space="preserve">effects of a major education reform on the biological </w:t>
      </w:r>
      <w:r w:rsidR="00904BEB">
        <w:rPr>
          <w:rFonts w:ascii="Garamond" w:hAnsi="Garamond"/>
        </w:rPr>
        <w:t>profiles of a</w:t>
      </w:r>
      <w:r w:rsidR="00080AAA">
        <w:rPr>
          <w:rFonts w:ascii="Garamond" w:hAnsi="Garamond"/>
        </w:rPr>
        <w:t xml:space="preserve"> relatively young sample of adults. </w:t>
      </w:r>
    </w:p>
    <w:p w14:paraId="34B31FD5" w14:textId="77777777" w:rsidR="00A44522" w:rsidRDefault="00A44522" w:rsidP="00904BEB">
      <w:pPr>
        <w:spacing w:line="480" w:lineRule="auto"/>
        <w:ind w:firstLine="720"/>
        <w:contextualSpacing/>
        <w:jc w:val="both"/>
        <w:rPr>
          <w:rFonts w:ascii="Garamond" w:hAnsi="Garamond"/>
        </w:rPr>
      </w:pPr>
    </w:p>
    <w:p w14:paraId="769EE2FE" w14:textId="2C9E3296" w:rsidR="00C80BCF" w:rsidRDefault="000775EF" w:rsidP="00550E84">
      <w:pPr>
        <w:spacing w:line="480" w:lineRule="auto"/>
        <w:ind w:firstLine="720"/>
        <w:contextualSpacing/>
        <w:jc w:val="both"/>
        <w:rPr>
          <w:rFonts w:ascii="Garamond" w:hAnsi="Garamond"/>
        </w:rPr>
      </w:pPr>
      <w:r>
        <w:rPr>
          <w:rFonts w:ascii="Garamond" w:hAnsi="Garamond"/>
        </w:rPr>
        <w:t xml:space="preserve">Our study makes three key contributions to the existing quasi-experimental literature on the effects of schooling </w:t>
      </w:r>
      <w:r w:rsidR="00336023">
        <w:rPr>
          <w:rFonts w:ascii="Garamond" w:hAnsi="Garamond"/>
        </w:rPr>
        <w:t xml:space="preserve">duration </w:t>
      </w:r>
      <w:r>
        <w:rPr>
          <w:rFonts w:ascii="Garamond" w:hAnsi="Garamond"/>
        </w:rPr>
        <w:t>on health.</w:t>
      </w:r>
      <w:r w:rsidR="00336023">
        <w:rPr>
          <w:rFonts w:ascii="Garamond" w:hAnsi="Garamond"/>
        </w:rPr>
        <w:t xml:space="preserve"> </w:t>
      </w:r>
      <w:r>
        <w:rPr>
          <w:rFonts w:ascii="Garamond" w:hAnsi="Garamond"/>
        </w:rPr>
        <w:t xml:space="preserve">First, we </w:t>
      </w:r>
      <w:r w:rsidR="003F4A3E" w:rsidRPr="00515E78">
        <w:rPr>
          <w:rFonts w:ascii="Garamond" w:hAnsi="Garamond"/>
        </w:rPr>
        <w:t xml:space="preserve">examine the effect of the </w:t>
      </w:r>
      <w:proofErr w:type="spellStart"/>
      <w:r w:rsidR="003F4A3E">
        <w:rPr>
          <w:rFonts w:ascii="Garamond" w:hAnsi="Garamond"/>
        </w:rPr>
        <w:t>Berthoin</w:t>
      </w:r>
      <w:proofErr w:type="spellEnd"/>
      <w:r w:rsidR="003F4A3E">
        <w:rPr>
          <w:rFonts w:ascii="Garamond" w:hAnsi="Garamond"/>
        </w:rPr>
        <w:t xml:space="preserve"> </w:t>
      </w:r>
      <w:r w:rsidR="003F4A3E" w:rsidRPr="00515E78">
        <w:rPr>
          <w:rFonts w:ascii="Garamond" w:hAnsi="Garamond"/>
        </w:rPr>
        <w:t xml:space="preserve">reform on </w:t>
      </w:r>
      <w:r w:rsidR="00523DF5">
        <w:rPr>
          <w:rFonts w:ascii="Garamond" w:hAnsi="Garamond"/>
        </w:rPr>
        <w:t xml:space="preserve">16 </w:t>
      </w:r>
      <w:r w:rsidR="003F4A3E">
        <w:rPr>
          <w:rFonts w:ascii="Garamond" w:hAnsi="Garamond"/>
        </w:rPr>
        <w:t xml:space="preserve">biological indicators </w:t>
      </w:r>
      <w:r w:rsidR="00BE22FC">
        <w:rPr>
          <w:rFonts w:ascii="Garamond" w:hAnsi="Garamond"/>
        </w:rPr>
        <w:t xml:space="preserve">of sub-clinical disease </w:t>
      </w:r>
      <w:r w:rsidR="003F4A3E">
        <w:rPr>
          <w:rFonts w:ascii="Garamond" w:hAnsi="Garamond"/>
        </w:rPr>
        <w:t>including</w:t>
      </w:r>
      <w:r w:rsidR="00BE22FC">
        <w:rPr>
          <w:rFonts w:ascii="Garamond" w:hAnsi="Garamond"/>
        </w:rPr>
        <w:t xml:space="preserve"> anthropometrics, blood glucose, </w:t>
      </w:r>
      <w:r w:rsidR="003F4A3E">
        <w:rPr>
          <w:rFonts w:ascii="Garamond" w:hAnsi="Garamond"/>
        </w:rPr>
        <w:t>lipids, blood pressure, as well as liver and kidney function</w:t>
      </w:r>
      <w:r w:rsidR="003F4A3E" w:rsidRPr="00515E78">
        <w:rPr>
          <w:rFonts w:ascii="Garamond" w:hAnsi="Garamond"/>
        </w:rPr>
        <w:t>.</w:t>
      </w:r>
      <w:r w:rsidR="003F4A3E">
        <w:rPr>
          <w:rFonts w:ascii="Garamond" w:hAnsi="Garamond"/>
        </w:rPr>
        <w:t xml:space="preserve"> </w:t>
      </w:r>
      <w:r w:rsidR="00523DF5">
        <w:rPr>
          <w:rFonts w:ascii="Garamond" w:hAnsi="Garamond"/>
        </w:rPr>
        <w:t xml:space="preserve">This large array of biomarkers enables us to </w:t>
      </w:r>
      <w:r w:rsidR="00AD7DB2">
        <w:rPr>
          <w:rFonts w:ascii="Garamond" w:hAnsi="Garamond"/>
        </w:rPr>
        <w:t xml:space="preserve">consider different health dimensions, as previous research has showed that compulsory schooling laws can improve some outcomes while negatively affecting others </w:t>
      </w:r>
      <w:r w:rsidR="00AD7DB2">
        <w:rPr>
          <w:rFonts w:ascii="Garamond" w:hAnsi="Garamond"/>
        </w:rPr>
        <w:fldChar w:fldCharType="begin"/>
      </w:r>
      <w:r w:rsidR="00CC2B97">
        <w:rPr>
          <w:rFonts w:ascii="Garamond" w:hAnsi="Garamond"/>
        </w:rPr>
        <w:instrText xml:space="preserve"> ADDIN EN.CITE &lt;EndNote&gt;&lt;Cite&gt;&lt;Author&gt;Hamad&lt;/Author&gt;&lt;Year&gt;2018&lt;/Year&gt;&lt;RecNum&gt;29&lt;/RecNum&gt;&lt;DisplayText&gt;(Hamad et al., 2018)&lt;/DisplayText&gt;&lt;record&gt;&lt;rec-number&gt;29&lt;/rec-number&gt;&lt;foreign-keys&gt;&lt;key app="EN" db-id="p5pavdvzwwdesueaz0rxssxmtd2ext2dvwpd" timestamp="1542656736"&gt;29&lt;/key&gt;&lt;/foreign-keys&gt;&lt;ref-type name="Journal Article"&gt;17&lt;/ref-type&gt;&lt;contributors&gt;&lt;authors&gt;&lt;author&gt;Hamad, R.&lt;/author&gt;&lt;author&gt;Elser, H.&lt;/author&gt;&lt;author&gt;Tran, D.C.&lt;/author&gt;&lt;author&gt;Rehkopf, D.H.&lt;/author&gt;&lt;author&gt;Goodman, S.N.&lt;/author&gt;&lt;/authors&gt;&lt;/contributors&gt;&lt;titles&gt;&lt;title&gt;How and why studies disagree about the effects of education on health: a systematic review and meta-analysis of studies of compulsory schooling laws&lt;/title&gt;&lt;secondary-title&gt;Social Science &amp;amp; Medicine&lt;/secondary-title&gt;&lt;/titles&gt;&lt;periodical&gt;&lt;full-title&gt;Social Science &amp;amp; Medicine&lt;/full-title&gt;&lt;/periodical&gt;&lt;pages&gt;168-178&lt;/pages&gt;&lt;volume&gt;212&lt;/volume&gt;&lt;dates&gt;&lt;year&gt;2018&lt;/year&gt;&lt;/dates&gt;&lt;urls&gt;&lt;/urls&gt;&lt;/record&gt;&lt;/Cite&gt;&lt;/EndNote&gt;</w:instrText>
      </w:r>
      <w:r w:rsidR="00AD7DB2">
        <w:rPr>
          <w:rFonts w:ascii="Garamond" w:hAnsi="Garamond"/>
        </w:rPr>
        <w:fldChar w:fldCharType="separate"/>
      </w:r>
      <w:r w:rsidR="001538BA">
        <w:rPr>
          <w:rFonts w:ascii="Garamond" w:hAnsi="Garamond"/>
          <w:noProof/>
        </w:rPr>
        <w:t>(</w:t>
      </w:r>
      <w:hyperlink w:anchor="_ENREF_29" w:tooltip="Hamad, 2018 #29" w:history="1">
        <w:r w:rsidR="006B1724">
          <w:rPr>
            <w:rFonts w:ascii="Garamond" w:hAnsi="Garamond"/>
            <w:noProof/>
          </w:rPr>
          <w:t>Hamad et al., 2018</w:t>
        </w:r>
      </w:hyperlink>
      <w:r w:rsidR="001538BA">
        <w:rPr>
          <w:rFonts w:ascii="Garamond" w:hAnsi="Garamond"/>
          <w:noProof/>
        </w:rPr>
        <w:t>)</w:t>
      </w:r>
      <w:r w:rsidR="00AD7DB2">
        <w:rPr>
          <w:rFonts w:ascii="Garamond" w:hAnsi="Garamond"/>
        </w:rPr>
        <w:fldChar w:fldCharType="end"/>
      </w:r>
      <w:r w:rsidR="00AD7DB2">
        <w:rPr>
          <w:rFonts w:ascii="Garamond" w:hAnsi="Garamond"/>
        </w:rPr>
        <w:t xml:space="preserve">. </w:t>
      </w:r>
      <w:r w:rsidR="00ED6F7C">
        <w:rPr>
          <w:rFonts w:ascii="Garamond" w:hAnsi="Garamond"/>
        </w:rPr>
        <w:t>W</w:t>
      </w:r>
      <w:r w:rsidR="0077093A">
        <w:rPr>
          <w:rFonts w:ascii="Garamond" w:hAnsi="Garamond"/>
        </w:rPr>
        <w:t xml:space="preserve">e use data from a unique </w:t>
      </w:r>
      <w:r w:rsidR="00505F44">
        <w:rPr>
          <w:rFonts w:ascii="Garamond" w:hAnsi="Garamond"/>
        </w:rPr>
        <w:t xml:space="preserve">population-based </w:t>
      </w:r>
      <w:r w:rsidR="0077093A">
        <w:rPr>
          <w:rFonts w:ascii="Garamond" w:hAnsi="Garamond"/>
        </w:rPr>
        <w:t xml:space="preserve">survey </w:t>
      </w:r>
      <w:r w:rsidR="00ED6F7C">
        <w:rPr>
          <w:rFonts w:ascii="Garamond" w:hAnsi="Garamond"/>
        </w:rPr>
        <w:t xml:space="preserve">that </w:t>
      </w:r>
      <w:r w:rsidR="00505F44">
        <w:rPr>
          <w:rFonts w:ascii="Garamond" w:hAnsi="Garamond"/>
        </w:rPr>
        <w:t>collected</w:t>
      </w:r>
      <w:r w:rsidR="00ED6F7C">
        <w:rPr>
          <w:rFonts w:ascii="Garamond" w:hAnsi="Garamond"/>
        </w:rPr>
        <w:t xml:space="preserve"> both educational attainment </w:t>
      </w:r>
      <w:r w:rsidR="00505F44">
        <w:rPr>
          <w:rFonts w:ascii="Garamond" w:hAnsi="Garamond"/>
        </w:rPr>
        <w:t xml:space="preserve">data </w:t>
      </w:r>
      <w:r w:rsidR="00ED6F7C">
        <w:rPr>
          <w:rFonts w:ascii="Garamond" w:hAnsi="Garamond"/>
        </w:rPr>
        <w:t xml:space="preserve">and </w:t>
      </w:r>
      <w:r w:rsidR="0077093A">
        <w:rPr>
          <w:rFonts w:ascii="Garamond" w:hAnsi="Garamond"/>
        </w:rPr>
        <w:t xml:space="preserve">extensive health and biological </w:t>
      </w:r>
      <w:r w:rsidR="00505F44">
        <w:rPr>
          <w:rFonts w:ascii="Garamond" w:hAnsi="Garamond"/>
        </w:rPr>
        <w:t>measures</w:t>
      </w:r>
      <w:r w:rsidR="0077093A">
        <w:rPr>
          <w:rFonts w:ascii="Garamond" w:hAnsi="Garamond"/>
        </w:rPr>
        <w:t xml:space="preserve"> in </w:t>
      </w:r>
      <w:r w:rsidR="00A014AC">
        <w:rPr>
          <w:rFonts w:ascii="Garamond" w:hAnsi="Garamond"/>
        </w:rPr>
        <w:t>nearly 60,000</w:t>
      </w:r>
      <w:r w:rsidR="0077093A">
        <w:rPr>
          <w:rFonts w:ascii="Garamond" w:hAnsi="Garamond"/>
        </w:rPr>
        <w:t xml:space="preserve"> </w:t>
      </w:r>
      <w:r w:rsidR="0024527A">
        <w:rPr>
          <w:rFonts w:ascii="Garamond" w:hAnsi="Garamond"/>
        </w:rPr>
        <w:t>adults</w:t>
      </w:r>
      <w:r w:rsidR="0077093A">
        <w:rPr>
          <w:rFonts w:ascii="Garamond" w:hAnsi="Garamond"/>
        </w:rPr>
        <w:t xml:space="preserve"> living in France</w:t>
      </w:r>
      <w:r w:rsidR="00523DF5">
        <w:rPr>
          <w:rFonts w:ascii="Garamond" w:hAnsi="Garamond"/>
        </w:rPr>
        <w:t xml:space="preserve"> at the time of the study</w:t>
      </w:r>
      <w:r w:rsidR="0077093A">
        <w:rPr>
          <w:rFonts w:ascii="Garamond" w:hAnsi="Garamond"/>
        </w:rPr>
        <w:t xml:space="preserve">. </w:t>
      </w:r>
      <w:r>
        <w:rPr>
          <w:rFonts w:ascii="Garamond" w:hAnsi="Garamond"/>
        </w:rPr>
        <w:t xml:space="preserve">Second, previous </w:t>
      </w:r>
      <w:r w:rsidR="00290A0F">
        <w:rPr>
          <w:rFonts w:ascii="Garamond" w:hAnsi="Garamond"/>
        </w:rPr>
        <w:t>research</w:t>
      </w:r>
      <w:r w:rsidR="00ED7CE4">
        <w:rPr>
          <w:rFonts w:ascii="Garamond" w:hAnsi="Garamond"/>
        </w:rPr>
        <w:t xml:space="preserve"> ha</w:t>
      </w:r>
      <w:r w:rsidR="00290A0F">
        <w:rPr>
          <w:rFonts w:ascii="Garamond" w:hAnsi="Garamond"/>
        </w:rPr>
        <w:t>s</w:t>
      </w:r>
      <w:r w:rsidR="00ED7CE4">
        <w:rPr>
          <w:rFonts w:ascii="Garamond" w:hAnsi="Garamond"/>
        </w:rPr>
        <w:t xml:space="preserve"> been hampered by the lack of information about parental socioeconomic background, an important variable given that compulsory schooling laws primarily affect </w:t>
      </w:r>
      <w:r w:rsidR="00AD7DB2">
        <w:rPr>
          <w:rFonts w:ascii="Garamond" w:hAnsi="Garamond"/>
        </w:rPr>
        <w:t>the socioeconomic</w:t>
      </w:r>
      <w:r w:rsidR="00ED7CE4">
        <w:rPr>
          <w:rFonts w:ascii="Garamond" w:hAnsi="Garamond"/>
        </w:rPr>
        <w:t xml:space="preserve"> outcomes </w:t>
      </w:r>
      <w:r w:rsidR="00AD7DB2">
        <w:rPr>
          <w:rFonts w:ascii="Garamond" w:hAnsi="Garamond"/>
        </w:rPr>
        <w:t>of</w:t>
      </w:r>
      <w:r w:rsidR="00ED7CE4">
        <w:rPr>
          <w:rFonts w:ascii="Garamond" w:hAnsi="Garamond"/>
        </w:rPr>
        <w:t xml:space="preserve"> individuals from </w:t>
      </w:r>
      <w:r w:rsidR="00AD7DB2">
        <w:rPr>
          <w:rFonts w:ascii="Garamond" w:hAnsi="Garamond"/>
        </w:rPr>
        <w:t xml:space="preserve">disadvantaged families </w:t>
      </w:r>
      <w:r w:rsidR="00AD7DB2">
        <w:rPr>
          <w:rFonts w:ascii="Garamond" w:hAnsi="Garamond"/>
        </w:rPr>
        <w:fldChar w:fldCharType="begin"/>
      </w:r>
      <w:r w:rsidR="00CC2B97">
        <w:rPr>
          <w:rFonts w:ascii="Garamond" w:hAnsi="Garamond"/>
        </w:rPr>
        <w:instrText xml:space="preserve"> ADDIN EN.CITE &lt;EndNote&gt;&lt;Cite&gt;&lt;Author&gt;Brunello&lt;/Author&gt;&lt;Year&gt;2009&lt;/Year&gt;&lt;RecNum&gt;12&lt;/RecNum&gt;&lt;DisplayText&gt;(Brunello et al., 2009)&lt;/DisplayText&gt;&lt;record&gt;&lt;rec-number&gt;12&lt;/rec-number&gt;&lt;foreign-keys&gt;&lt;key app="EN" db-id="p5pavdvzwwdesueaz0rxssxmtd2ext2dvwpd" timestamp="1542656736"&gt;12&lt;/key&gt;&lt;/foreign-keys&gt;&lt;ref-type name="Journal Article"&gt;17&lt;/ref-type&gt;&lt;contributors&gt;&lt;authors&gt;&lt;author&gt;Brunello, G.&lt;/author&gt;&lt;author&gt;Fort, M.&lt;/author&gt;&lt;author&gt;Weber, G.&lt;/author&gt;&lt;/authors&gt;&lt;/contributors&gt;&lt;titles&gt;&lt;title&gt;Changes in compulsory schooling, education and the distribution of wages in Europe&lt;/title&gt;&lt;secondary-title&gt;The Economic Journal&lt;/secondary-title&gt;&lt;/titles&gt;&lt;periodical&gt;&lt;full-title&gt;The Economic Journal&lt;/full-title&gt;&lt;/periodical&gt;&lt;pages&gt;516-539&lt;/pages&gt;&lt;volume&gt;119&lt;/volume&gt;&lt;number&gt;536&lt;/number&gt;&lt;dates&gt;&lt;year&gt;2009&lt;/year&gt;&lt;/dates&gt;&lt;urls&gt;&lt;/urls&gt;&lt;/record&gt;&lt;/Cite&gt;&lt;/EndNote&gt;</w:instrText>
      </w:r>
      <w:r w:rsidR="00AD7DB2">
        <w:rPr>
          <w:rFonts w:ascii="Garamond" w:hAnsi="Garamond"/>
        </w:rPr>
        <w:fldChar w:fldCharType="separate"/>
      </w:r>
      <w:r w:rsidR="004E239A">
        <w:rPr>
          <w:rFonts w:ascii="Garamond" w:hAnsi="Garamond"/>
          <w:noProof/>
        </w:rPr>
        <w:t>(</w:t>
      </w:r>
      <w:hyperlink w:anchor="_ENREF_7" w:tooltip="Brunello, 2009 #12" w:history="1">
        <w:r w:rsidR="006B1724">
          <w:rPr>
            <w:rFonts w:ascii="Garamond" w:hAnsi="Garamond"/>
            <w:noProof/>
          </w:rPr>
          <w:t>Brunello et al., 2009</w:t>
        </w:r>
      </w:hyperlink>
      <w:r w:rsidR="004E239A">
        <w:rPr>
          <w:rFonts w:ascii="Garamond" w:hAnsi="Garamond"/>
          <w:noProof/>
        </w:rPr>
        <w:t>)</w:t>
      </w:r>
      <w:r w:rsidR="00AD7DB2">
        <w:rPr>
          <w:rFonts w:ascii="Garamond" w:hAnsi="Garamond"/>
        </w:rPr>
        <w:fldChar w:fldCharType="end"/>
      </w:r>
      <w:r w:rsidR="00BE22FC">
        <w:rPr>
          <w:rFonts w:ascii="Garamond" w:hAnsi="Garamond"/>
        </w:rPr>
        <w:t xml:space="preserve">. </w:t>
      </w:r>
      <w:r w:rsidR="00ED7CE4">
        <w:rPr>
          <w:rFonts w:ascii="Garamond" w:hAnsi="Garamond"/>
        </w:rPr>
        <w:t>Our study include</w:t>
      </w:r>
      <w:r w:rsidR="00AD7DB2">
        <w:rPr>
          <w:rFonts w:ascii="Garamond" w:hAnsi="Garamond"/>
        </w:rPr>
        <w:t>s</w:t>
      </w:r>
      <w:r w:rsidR="00ED7CE4">
        <w:rPr>
          <w:rFonts w:ascii="Garamond" w:hAnsi="Garamond"/>
        </w:rPr>
        <w:t xml:space="preserve"> information on parental </w:t>
      </w:r>
      <w:r w:rsidR="0018566A">
        <w:rPr>
          <w:rFonts w:ascii="Garamond" w:hAnsi="Garamond"/>
        </w:rPr>
        <w:t>social class</w:t>
      </w:r>
      <w:r w:rsidR="00AD7DB2">
        <w:rPr>
          <w:rFonts w:ascii="Garamond" w:hAnsi="Garamond"/>
        </w:rPr>
        <w:t xml:space="preserve"> during the respondent’s </w:t>
      </w:r>
      <w:r w:rsidR="00AD7DB2">
        <w:rPr>
          <w:rFonts w:ascii="Garamond" w:hAnsi="Garamond"/>
        </w:rPr>
        <w:lastRenderedPageBreak/>
        <w:t>adolescence</w:t>
      </w:r>
      <w:r w:rsidR="00ED7CE4">
        <w:rPr>
          <w:rFonts w:ascii="Garamond" w:hAnsi="Garamond"/>
        </w:rPr>
        <w:t xml:space="preserve">, </w:t>
      </w:r>
      <w:r w:rsidR="00BE22FC">
        <w:rPr>
          <w:rFonts w:ascii="Garamond" w:hAnsi="Garamond"/>
        </w:rPr>
        <w:t xml:space="preserve">enabling us </w:t>
      </w:r>
      <w:r w:rsidR="00ED7CE4">
        <w:rPr>
          <w:rFonts w:ascii="Garamond" w:hAnsi="Garamond"/>
        </w:rPr>
        <w:t xml:space="preserve">to explore heterogeneous effects of the reform across </w:t>
      </w:r>
      <w:r w:rsidR="00BE22FC">
        <w:rPr>
          <w:rFonts w:ascii="Garamond" w:hAnsi="Garamond"/>
        </w:rPr>
        <w:t xml:space="preserve">individuals </w:t>
      </w:r>
      <w:r w:rsidR="00E335D0">
        <w:rPr>
          <w:rFonts w:ascii="Garamond" w:hAnsi="Garamond"/>
        </w:rPr>
        <w:t>from different socioeconomic origin</w:t>
      </w:r>
      <w:r w:rsidR="00BE22FC">
        <w:rPr>
          <w:rFonts w:ascii="Garamond" w:hAnsi="Garamond"/>
        </w:rPr>
        <w:t xml:space="preserve">. </w:t>
      </w:r>
      <w:r w:rsidR="00C80BCF">
        <w:rPr>
          <w:rFonts w:ascii="Garamond" w:hAnsi="Garamond"/>
        </w:rPr>
        <w:t xml:space="preserve">Understanding whether and why compulsory schooling laws affect population subgroups differently is crucial in the pursuit of health equity </w:t>
      </w:r>
      <w:r w:rsidR="00C80BCF">
        <w:rPr>
          <w:rFonts w:ascii="Garamond" w:hAnsi="Garamond"/>
        </w:rPr>
        <w:fldChar w:fldCharType="begin"/>
      </w:r>
      <w:r w:rsidR="00CC2B97">
        <w:rPr>
          <w:rFonts w:ascii="Garamond" w:hAnsi="Garamond"/>
        </w:rPr>
        <w:instrText xml:space="preserve"> ADDIN EN.CITE &lt;EndNote&gt;&lt;Cite&gt;&lt;Author&gt;Glymour&lt;/Author&gt;&lt;Year&gt;2018&lt;/Year&gt;&lt;RecNum&gt;36&lt;/RecNum&gt;&lt;DisplayText&gt;(Glymour &amp;amp; Manly, 2018)&lt;/DisplayText&gt;&lt;record&gt;&lt;rec-number&gt;36&lt;/rec-number&gt;&lt;foreign-keys&gt;&lt;key app="EN" db-id="p5pavdvzwwdesueaz0rxssxmtd2ext2dvwpd" timestamp="1542656736"&gt;36&lt;/key&gt;&lt;/foreign-keys&gt;&lt;ref-type name="Journal Article"&gt;17&lt;/ref-type&gt;&lt;contributors&gt;&lt;authors&gt;&lt;author&gt;Glymour, M.M.&lt;/author&gt;&lt;author&gt;Manly, J.J.&lt;/author&gt;&lt;/authors&gt;&lt;/contributors&gt;&lt;titles&gt;&lt;title&gt;Compulsory schooling laws as quasi-experiments for the health effects of education: Reconsidering mechanisms to understand inconsistent results&lt;/title&gt;&lt;secondary-title&gt;Social Science &amp;amp; Medicine&lt;/secondary-title&gt;&lt;/titles&gt;&lt;periodical&gt;&lt;full-title&gt;Social Science &amp;amp; Medicine&lt;/full-title&gt;&lt;/periodical&gt;&lt;pages&gt;67-69&lt;/pages&gt;&lt;volume&gt;214&lt;/volume&gt;&lt;dates&gt;&lt;year&gt;2018&lt;/year&gt;&lt;/dates&gt;&lt;urls&gt;&lt;/urls&gt;&lt;/record&gt;&lt;/Cite&gt;&lt;/EndNote&gt;</w:instrText>
      </w:r>
      <w:r w:rsidR="00C80BCF">
        <w:rPr>
          <w:rFonts w:ascii="Garamond" w:hAnsi="Garamond"/>
        </w:rPr>
        <w:fldChar w:fldCharType="separate"/>
      </w:r>
      <w:r w:rsidR="00A44522">
        <w:rPr>
          <w:rFonts w:ascii="Garamond" w:hAnsi="Garamond"/>
          <w:noProof/>
        </w:rPr>
        <w:t>(</w:t>
      </w:r>
      <w:hyperlink w:anchor="_ENREF_27" w:tooltip="Glymour, 2018 #36" w:history="1">
        <w:r w:rsidR="006B1724">
          <w:rPr>
            <w:rFonts w:ascii="Garamond" w:hAnsi="Garamond"/>
            <w:noProof/>
          </w:rPr>
          <w:t>Glymour &amp; Manly, 2018</w:t>
        </w:r>
      </w:hyperlink>
      <w:r w:rsidR="00A44522">
        <w:rPr>
          <w:rFonts w:ascii="Garamond" w:hAnsi="Garamond"/>
          <w:noProof/>
        </w:rPr>
        <w:t>)</w:t>
      </w:r>
      <w:r w:rsidR="00C80BCF">
        <w:rPr>
          <w:rFonts w:ascii="Garamond" w:hAnsi="Garamond"/>
        </w:rPr>
        <w:fldChar w:fldCharType="end"/>
      </w:r>
      <w:r w:rsidR="00C80BCF">
        <w:rPr>
          <w:rFonts w:ascii="Garamond" w:hAnsi="Garamond"/>
        </w:rPr>
        <w:t xml:space="preserve">. </w:t>
      </w:r>
      <w:r>
        <w:rPr>
          <w:rFonts w:ascii="Garamond" w:hAnsi="Garamond"/>
        </w:rPr>
        <w:t xml:space="preserve">Finally, </w:t>
      </w:r>
      <w:r w:rsidR="00D751A1">
        <w:rPr>
          <w:rFonts w:ascii="Garamond" w:hAnsi="Garamond"/>
        </w:rPr>
        <w:t>exploiting the nature of the reform, we isolate</w:t>
      </w:r>
      <w:r w:rsidR="00550E84">
        <w:rPr>
          <w:rFonts w:ascii="Garamond" w:hAnsi="Garamond"/>
        </w:rPr>
        <w:t xml:space="preserve"> </w:t>
      </w:r>
      <w:r w:rsidR="00336023">
        <w:rPr>
          <w:rFonts w:ascii="Garamond" w:hAnsi="Garamond"/>
        </w:rPr>
        <w:t>the impact of an increase in schooling duration</w:t>
      </w:r>
      <w:r w:rsidR="001538BA">
        <w:rPr>
          <w:rFonts w:ascii="Garamond" w:hAnsi="Garamond"/>
        </w:rPr>
        <w:t xml:space="preserve"> on health</w:t>
      </w:r>
      <w:r w:rsidR="00D751A1">
        <w:rPr>
          <w:rFonts w:ascii="Garamond" w:hAnsi="Garamond"/>
        </w:rPr>
        <w:t>,</w:t>
      </w:r>
      <w:r w:rsidR="00336023">
        <w:rPr>
          <w:rFonts w:ascii="Garamond" w:hAnsi="Garamond"/>
        </w:rPr>
        <w:t xml:space="preserve"> net of the effect of educational qualification</w:t>
      </w:r>
      <w:r w:rsidR="00D751A1">
        <w:rPr>
          <w:rFonts w:ascii="Garamond" w:hAnsi="Garamond"/>
        </w:rPr>
        <w:t>s.</w:t>
      </w:r>
      <w:r w:rsidR="00550E84">
        <w:rPr>
          <w:rFonts w:ascii="Garamond" w:hAnsi="Garamond"/>
        </w:rPr>
        <w:t xml:space="preserve"> </w:t>
      </w:r>
      <w:r w:rsidR="00D751A1">
        <w:rPr>
          <w:rFonts w:ascii="Garamond" w:hAnsi="Garamond"/>
        </w:rPr>
        <w:t>This is possible because the reform successfully increased schooling duration but had no impact on the share of the population owning educational credentials</w:t>
      </w:r>
      <w:r w:rsidR="00550E84" w:rsidRPr="00550E84">
        <w:rPr>
          <w:rFonts w:ascii="Garamond" w:hAnsi="Garamond"/>
        </w:rPr>
        <w:t xml:space="preserve"> </w:t>
      </w:r>
      <w:r w:rsidR="00550E84" w:rsidRPr="00550E84">
        <w:rPr>
          <w:rFonts w:ascii="Garamond" w:hAnsi="Garamond"/>
        </w:rPr>
        <w:fldChar w:fldCharType="begin"/>
      </w:r>
      <w:r w:rsidR="00CC2B97">
        <w:rPr>
          <w:rFonts w:ascii="Garamond" w:hAnsi="Garamond"/>
        </w:rPr>
        <w:instrText xml:space="preserve"> ADDIN EN.CITE &lt;EndNote&gt;&lt;Cite&gt;&lt;Author&gt;Donegani&lt;/Author&gt;&lt;Year&gt;1976&lt;/Year&gt;&lt;RecNum&gt;37&lt;/RecNum&gt;&lt;DisplayText&gt;(Donegani &amp;amp; Sadoun, 1976)&lt;/DisplayText&gt;&lt;record&gt;&lt;rec-number&gt;37&lt;/rec-number&gt;&lt;foreign-keys&gt;&lt;key app="EN" db-id="p5pavdvzwwdesueaz0rxssxmtd2ext2dvwpd" timestamp="1542656736"&gt;37&lt;/key&gt;&lt;/foreign-keys&gt;&lt;ref-type name="Journal Article"&gt;17&lt;/ref-type&gt;&lt;contributors&gt;&lt;authors&gt;&lt;author&gt;Donegani, J.M.&lt;/author&gt;&lt;author&gt;Sadoun, M.&lt;/author&gt;&lt;/authors&gt;&lt;/contributors&gt;&lt;titles&gt;&lt;title&gt;La reforme de l&amp;apos;enseignement secondaire en France depuis 1945: Analyse d&amp;apos;une non-decision&lt;/title&gt;&lt;secondary-title&gt;Revue Francaise de Science Politique&lt;/secondary-title&gt;&lt;/titles&gt;&lt;periodical&gt;&lt;full-title&gt;Revue Francaise de Science Politique&lt;/full-title&gt;&lt;/periodical&gt;&lt;pages&gt;1125-1146&lt;/pages&gt;&lt;volume&gt;26&lt;/volume&gt;&lt;number&gt;6&lt;/number&gt;&lt;dates&gt;&lt;year&gt;1976&lt;/year&gt;&lt;/dates&gt;&lt;urls&gt;&lt;/urls&gt;&lt;/record&gt;&lt;/Cite&gt;&lt;/EndNote&gt;</w:instrText>
      </w:r>
      <w:r w:rsidR="00550E84" w:rsidRPr="00550E84">
        <w:rPr>
          <w:rFonts w:ascii="Garamond" w:hAnsi="Garamond"/>
        </w:rPr>
        <w:fldChar w:fldCharType="separate"/>
      </w:r>
      <w:r w:rsidR="00D751A1">
        <w:rPr>
          <w:rFonts w:ascii="Garamond" w:hAnsi="Garamond"/>
          <w:noProof/>
        </w:rPr>
        <w:t>(</w:t>
      </w:r>
      <w:hyperlink w:anchor="_ENREF_17" w:tooltip="Donegani, 1976 #37" w:history="1">
        <w:r w:rsidR="006B1724">
          <w:rPr>
            <w:rFonts w:ascii="Garamond" w:hAnsi="Garamond"/>
            <w:noProof/>
          </w:rPr>
          <w:t>Donegani &amp; Sadoun, 1976</w:t>
        </w:r>
      </w:hyperlink>
      <w:r w:rsidR="00D751A1">
        <w:rPr>
          <w:rFonts w:ascii="Garamond" w:hAnsi="Garamond"/>
          <w:noProof/>
        </w:rPr>
        <w:t>)</w:t>
      </w:r>
      <w:r w:rsidR="00550E84" w:rsidRPr="00550E84">
        <w:rPr>
          <w:rFonts w:ascii="Garamond" w:hAnsi="Garamond"/>
        </w:rPr>
        <w:fldChar w:fldCharType="end"/>
      </w:r>
      <w:r w:rsidR="00D751A1">
        <w:rPr>
          <w:rFonts w:ascii="Garamond" w:hAnsi="Garamond"/>
        </w:rPr>
        <w:t xml:space="preserve">. Our study therefore estimates the health effects of a policy that increased the quantity of schooling, without altering other dimensions of the educational system. </w:t>
      </w:r>
    </w:p>
    <w:p w14:paraId="7AB1EEED" w14:textId="77777777" w:rsidR="0065318E" w:rsidRDefault="0065318E" w:rsidP="00286DD7">
      <w:pPr>
        <w:spacing w:line="480" w:lineRule="auto"/>
        <w:contextualSpacing/>
        <w:jc w:val="both"/>
        <w:rPr>
          <w:rFonts w:ascii="Garamond" w:hAnsi="Garamond"/>
        </w:rPr>
      </w:pPr>
    </w:p>
    <w:p w14:paraId="4985A13F" w14:textId="6CCD6478" w:rsidR="00D86A93" w:rsidRDefault="00AE2399" w:rsidP="00C02739">
      <w:pPr>
        <w:spacing w:line="480" w:lineRule="auto"/>
        <w:contextualSpacing/>
        <w:outlineLvl w:val="0"/>
        <w:rPr>
          <w:rFonts w:ascii="Garamond" w:hAnsi="Garamond"/>
          <w:b/>
        </w:rPr>
      </w:pPr>
      <w:r w:rsidRPr="00515E78">
        <w:rPr>
          <w:rFonts w:ascii="Garamond" w:hAnsi="Garamond"/>
          <w:b/>
        </w:rPr>
        <w:t>Data and Methods</w:t>
      </w:r>
    </w:p>
    <w:p w14:paraId="199D669E" w14:textId="77777777" w:rsidR="00401B9B" w:rsidRDefault="00401B9B" w:rsidP="00C02739">
      <w:pPr>
        <w:spacing w:line="480" w:lineRule="auto"/>
        <w:contextualSpacing/>
        <w:outlineLvl w:val="0"/>
        <w:rPr>
          <w:rFonts w:ascii="Garamond" w:hAnsi="Garamond"/>
          <w:b/>
        </w:rPr>
      </w:pPr>
    </w:p>
    <w:p w14:paraId="2687CE65" w14:textId="3A33B5AC" w:rsidR="00D86A93" w:rsidRDefault="00D86A93" w:rsidP="00C02739">
      <w:pPr>
        <w:spacing w:line="480" w:lineRule="auto"/>
        <w:contextualSpacing/>
        <w:outlineLvl w:val="0"/>
        <w:rPr>
          <w:rFonts w:ascii="Garamond" w:hAnsi="Garamond"/>
          <w:i/>
        </w:rPr>
      </w:pPr>
      <w:r w:rsidRPr="00D86A93">
        <w:rPr>
          <w:rFonts w:ascii="Garamond" w:hAnsi="Garamond"/>
          <w:i/>
        </w:rPr>
        <w:t xml:space="preserve">The 1959 </w:t>
      </w:r>
      <w:proofErr w:type="spellStart"/>
      <w:r w:rsidRPr="00D86A93">
        <w:rPr>
          <w:rFonts w:ascii="Garamond" w:hAnsi="Garamond"/>
          <w:i/>
        </w:rPr>
        <w:t>Berthoin</w:t>
      </w:r>
      <w:proofErr w:type="spellEnd"/>
      <w:r w:rsidRPr="00D86A93">
        <w:rPr>
          <w:rFonts w:ascii="Garamond" w:hAnsi="Garamond"/>
          <w:i/>
        </w:rPr>
        <w:t xml:space="preserve"> compulsory schooling law</w:t>
      </w:r>
    </w:p>
    <w:p w14:paraId="2F3F99AB" w14:textId="073C966C" w:rsidR="009F1325" w:rsidRDefault="009F1325" w:rsidP="0025091B">
      <w:pPr>
        <w:spacing w:line="480" w:lineRule="auto"/>
        <w:ind w:firstLine="720"/>
        <w:contextualSpacing/>
        <w:jc w:val="both"/>
        <w:outlineLvl w:val="0"/>
        <w:rPr>
          <w:rFonts w:ascii="Garamond" w:hAnsi="Garamond"/>
        </w:rPr>
      </w:pPr>
      <w:r>
        <w:rPr>
          <w:rFonts w:ascii="Garamond" w:hAnsi="Garamond"/>
        </w:rPr>
        <w:t>The 1959 edict raised the minimum school leaving age by two years – from 14 to 16 -  for all children born after the 1</w:t>
      </w:r>
      <w:r w:rsidRPr="009F1325">
        <w:rPr>
          <w:rFonts w:ascii="Garamond" w:hAnsi="Garamond"/>
          <w:vertAlign w:val="superscript"/>
        </w:rPr>
        <w:t>st</w:t>
      </w:r>
      <w:r>
        <w:rPr>
          <w:rFonts w:ascii="Garamond" w:hAnsi="Garamond"/>
        </w:rPr>
        <w:t xml:space="preserve"> of January 1953. </w:t>
      </w:r>
      <w:r w:rsidR="00F33E72">
        <w:rPr>
          <w:rFonts w:ascii="Garamond" w:hAnsi="Garamond"/>
        </w:rPr>
        <w:t>T</w:t>
      </w:r>
      <w:r>
        <w:rPr>
          <w:rFonts w:ascii="Garamond" w:hAnsi="Garamond"/>
        </w:rPr>
        <w:t xml:space="preserve">he </w:t>
      </w:r>
      <w:r w:rsidR="00060FB0">
        <w:rPr>
          <w:rFonts w:ascii="Garamond" w:hAnsi="Garamond"/>
        </w:rPr>
        <w:t xml:space="preserve">reform was </w:t>
      </w:r>
      <w:r w:rsidR="00F73E4C">
        <w:rPr>
          <w:rFonts w:ascii="Garamond" w:hAnsi="Garamond"/>
        </w:rPr>
        <w:t>appli</w:t>
      </w:r>
      <w:r w:rsidR="009D03D4">
        <w:rPr>
          <w:rFonts w:ascii="Garamond" w:hAnsi="Garamond"/>
        </w:rPr>
        <w:t xml:space="preserve">ed uniformly across the country </w:t>
      </w:r>
      <w:r w:rsidR="004E239A">
        <w:rPr>
          <w:rFonts w:ascii="Garamond" w:hAnsi="Garamond"/>
        </w:rPr>
        <w:fldChar w:fldCharType="begin"/>
      </w:r>
      <w:r w:rsidR="00CC2B97">
        <w:rPr>
          <w:rFonts w:ascii="Garamond" w:hAnsi="Garamond"/>
        </w:rPr>
        <w:instrText xml:space="preserve"> ADDIN EN.CITE &lt;EndNote&gt;&lt;Cite&gt;&lt;Author&gt;Grenet&lt;/Author&gt;&lt;Year&gt;2013&lt;/Year&gt;&lt;RecNum&gt;33&lt;/RecNum&gt;&lt;DisplayText&gt;(Grenet, 2013)&lt;/DisplayText&gt;&lt;record&gt;&lt;rec-number&gt;33&lt;/rec-number&gt;&lt;foreign-keys&gt;&lt;key app="EN" db-id="p5pavdvzwwdesueaz0rxssxmtd2ext2dvwpd" timestamp="1542656736"&gt;33&lt;/key&gt;&lt;/foreign-keys&gt;&lt;ref-type name="Journal Article"&gt;17&lt;/ref-type&gt;&lt;contributors&gt;&lt;authors&gt;&lt;author&gt;Grenet, J.&lt;/author&gt;&lt;/authors&gt;&lt;/contributors&gt;&lt;titles&gt;&lt;title&gt;Is extending compulsory schooling alone enough to raise earnings? Evidence from French and British compulsory schooling laws&lt;/title&gt;&lt;secondary-title&gt;Scandinavian Journal of Economics&lt;/secondary-title&gt;&lt;/titles&gt;&lt;periodical&gt;&lt;full-title&gt;Scandinavian Journal of Economics&lt;/full-title&gt;&lt;/periodical&gt;&lt;pages&gt;176-210&lt;/pages&gt;&lt;volume&gt;115&lt;/volume&gt;&lt;number&gt;1&lt;/number&gt;&lt;dates&gt;&lt;year&gt;2013&lt;/year&gt;&lt;/dates&gt;&lt;urls&gt;&lt;/urls&gt;&lt;/record&gt;&lt;/Cite&gt;&lt;/EndNote&gt;</w:instrText>
      </w:r>
      <w:r w:rsidR="004E239A">
        <w:rPr>
          <w:rFonts w:ascii="Garamond" w:hAnsi="Garamond"/>
        </w:rPr>
        <w:fldChar w:fldCharType="separate"/>
      </w:r>
      <w:r w:rsidR="00C34B30">
        <w:rPr>
          <w:rFonts w:ascii="Garamond" w:hAnsi="Garamond"/>
          <w:noProof/>
        </w:rPr>
        <w:t>(</w:t>
      </w:r>
      <w:hyperlink w:anchor="_ENREF_28" w:tooltip="Grenet, 2013 #33" w:history="1">
        <w:r w:rsidR="006B1724">
          <w:rPr>
            <w:rFonts w:ascii="Garamond" w:hAnsi="Garamond"/>
            <w:noProof/>
          </w:rPr>
          <w:t>Grenet, 2013</w:t>
        </w:r>
      </w:hyperlink>
      <w:r w:rsidR="00C34B30">
        <w:rPr>
          <w:rFonts w:ascii="Garamond" w:hAnsi="Garamond"/>
          <w:noProof/>
        </w:rPr>
        <w:t>)</w:t>
      </w:r>
      <w:r w:rsidR="004E239A">
        <w:rPr>
          <w:rFonts w:ascii="Garamond" w:hAnsi="Garamond"/>
        </w:rPr>
        <w:fldChar w:fldCharType="end"/>
      </w:r>
      <w:r w:rsidR="009D03D4">
        <w:rPr>
          <w:rFonts w:ascii="Garamond" w:hAnsi="Garamond"/>
        </w:rPr>
        <w:t>. T</w:t>
      </w:r>
      <w:r w:rsidR="00F33E72">
        <w:rPr>
          <w:rFonts w:ascii="Garamond" w:hAnsi="Garamond"/>
        </w:rPr>
        <w:t>he number of pupils in secondary school increased rapidly after the reform, raising from 474,500 in 1959-60 to 789,300 in 1963-64</w:t>
      </w:r>
      <w:r w:rsidR="003844B7">
        <w:rPr>
          <w:rFonts w:ascii="Garamond" w:hAnsi="Garamond"/>
        </w:rPr>
        <w:t xml:space="preserve"> </w:t>
      </w:r>
      <w:r w:rsidR="003844B7">
        <w:rPr>
          <w:rFonts w:ascii="Garamond" w:hAnsi="Garamond"/>
        </w:rPr>
        <w:fldChar w:fldCharType="begin"/>
      </w:r>
      <w:r w:rsidR="00CC2B97">
        <w:rPr>
          <w:rFonts w:ascii="Garamond" w:hAnsi="Garamond"/>
        </w:rPr>
        <w:instrText xml:space="preserve"> ADDIN EN.CITE &lt;EndNote&gt;&lt;Cite&gt;&lt;Author&gt;Defresne&lt;/Author&gt;&lt;Year&gt;2016&lt;/Year&gt;&lt;RecNum&gt;38&lt;/RecNum&gt;&lt;DisplayText&gt;(Defresne &amp;amp; Krop, 2016)&lt;/DisplayText&gt;&lt;record&gt;&lt;rec-number&gt;38&lt;/rec-number&gt;&lt;foreign-keys&gt;&lt;key app="EN" db-id="p5pavdvzwwdesueaz0rxssxmtd2ext2dvwpd" timestamp="1542656736"&gt;38&lt;/key&gt;&lt;/foreign-keys&gt;&lt;ref-type name="Book"&gt;6&lt;/ref-type&gt;&lt;contributors&gt;&lt;authors&gt;&lt;author&gt;Defresne, F.&lt;/author&gt;&lt;author&gt;Krop, J.&lt;/author&gt;&lt;/authors&gt;&lt;/contributors&gt;&lt;titles&gt;&lt;title&gt;La massification scolaire sous la Ve république : Une mise en perspective des statistiques de l’Éducation nationale (1958-2014). &lt;/title&gt;&lt;secondary-title&gt;Éducation et formations&lt;/secondary-title&gt;&lt;/titles&gt;&lt;pages&gt;5-20&lt;/pages&gt;&lt;dates&gt;&lt;year&gt;2016&lt;/year&gt;&lt;/dates&gt;&lt;pub-location&gt;Paris&lt;/pub-location&gt;&lt;publisher&gt;Ministère de l’éducation nationale&lt;/publisher&gt;&lt;urls&gt;&lt;/urls&gt;&lt;/record&gt;&lt;/Cite&gt;&lt;/EndNote&gt;</w:instrText>
      </w:r>
      <w:r w:rsidR="003844B7">
        <w:rPr>
          <w:rFonts w:ascii="Garamond" w:hAnsi="Garamond"/>
        </w:rPr>
        <w:fldChar w:fldCharType="separate"/>
      </w:r>
      <w:r w:rsidR="00C07932">
        <w:rPr>
          <w:rFonts w:ascii="Garamond" w:hAnsi="Garamond"/>
          <w:noProof/>
        </w:rPr>
        <w:t>(</w:t>
      </w:r>
      <w:hyperlink w:anchor="_ENREF_15" w:tooltip="Defresne, 2016 #38" w:history="1">
        <w:r w:rsidR="006B1724">
          <w:rPr>
            <w:rFonts w:ascii="Garamond" w:hAnsi="Garamond"/>
            <w:noProof/>
          </w:rPr>
          <w:t>Defresne &amp; Krop, 2016</w:t>
        </w:r>
      </w:hyperlink>
      <w:r w:rsidR="00C07932">
        <w:rPr>
          <w:rFonts w:ascii="Garamond" w:hAnsi="Garamond"/>
          <w:noProof/>
        </w:rPr>
        <w:t>)</w:t>
      </w:r>
      <w:r w:rsidR="003844B7">
        <w:rPr>
          <w:rFonts w:ascii="Garamond" w:hAnsi="Garamond"/>
        </w:rPr>
        <w:fldChar w:fldCharType="end"/>
      </w:r>
      <w:r w:rsidR="00F33E72">
        <w:rPr>
          <w:rFonts w:ascii="Garamond" w:hAnsi="Garamond"/>
        </w:rPr>
        <w:t xml:space="preserve">. </w:t>
      </w:r>
      <w:r w:rsidR="009D03D4">
        <w:rPr>
          <w:rFonts w:ascii="Garamond" w:hAnsi="Garamond"/>
        </w:rPr>
        <w:t>L</w:t>
      </w:r>
      <w:r w:rsidR="00060FB0">
        <w:rPr>
          <w:rFonts w:ascii="Garamond" w:hAnsi="Garamond"/>
        </w:rPr>
        <w:t xml:space="preserve">arge structural investments </w:t>
      </w:r>
      <w:r w:rsidR="009D03D4">
        <w:rPr>
          <w:rFonts w:ascii="Garamond" w:hAnsi="Garamond"/>
        </w:rPr>
        <w:t xml:space="preserve">were made </w:t>
      </w:r>
      <w:r w:rsidR="00060FB0">
        <w:rPr>
          <w:rFonts w:ascii="Garamond" w:hAnsi="Garamond"/>
        </w:rPr>
        <w:t>to accommodate th</w:t>
      </w:r>
      <w:r w:rsidR="009D03D4">
        <w:rPr>
          <w:rFonts w:ascii="Garamond" w:hAnsi="Garamond"/>
        </w:rPr>
        <w:t>ese</w:t>
      </w:r>
      <w:r w:rsidR="00060FB0">
        <w:rPr>
          <w:rFonts w:ascii="Garamond" w:hAnsi="Garamond"/>
        </w:rPr>
        <w:t xml:space="preserve"> increase</w:t>
      </w:r>
      <w:r w:rsidR="009D03D4">
        <w:rPr>
          <w:rFonts w:ascii="Garamond" w:hAnsi="Garamond"/>
        </w:rPr>
        <w:t>s</w:t>
      </w:r>
      <w:r w:rsidR="00060FB0">
        <w:rPr>
          <w:rFonts w:ascii="Garamond" w:hAnsi="Garamond"/>
        </w:rPr>
        <w:t xml:space="preserve"> in enrollment, including the construction of new secondary schools</w:t>
      </w:r>
      <w:r w:rsidR="003844B7">
        <w:rPr>
          <w:rFonts w:ascii="Garamond" w:hAnsi="Garamond"/>
        </w:rPr>
        <w:t xml:space="preserve"> </w:t>
      </w:r>
      <w:r w:rsidR="004E239A">
        <w:rPr>
          <w:rFonts w:ascii="Garamond" w:hAnsi="Garamond"/>
        </w:rPr>
        <w:fldChar w:fldCharType="begin"/>
      </w:r>
      <w:r w:rsidR="00CC2B97">
        <w:rPr>
          <w:rFonts w:ascii="Garamond" w:hAnsi="Garamond"/>
        </w:rPr>
        <w:instrText xml:space="preserve"> ADDIN EN.CITE &lt;EndNote&gt;&lt;Cite&gt;&lt;Author&gt;Grenet&lt;/Author&gt;&lt;Year&gt;2013&lt;/Year&gt;&lt;RecNum&gt;33&lt;/RecNum&gt;&lt;DisplayText&gt;(Grenet, 2013)&lt;/DisplayText&gt;&lt;record&gt;&lt;rec-number&gt;33&lt;/rec-number&gt;&lt;foreign-keys&gt;&lt;key app="EN" db-id="p5pavdvzwwdesueaz0rxssxmtd2ext2dvwpd" timestamp="1542656736"&gt;33&lt;/key&gt;&lt;/foreign-keys&gt;&lt;ref-type name="Journal Article"&gt;17&lt;/ref-type&gt;&lt;contributors&gt;&lt;authors&gt;&lt;author&gt;Grenet, J.&lt;/author&gt;&lt;/authors&gt;&lt;/contributors&gt;&lt;titles&gt;&lt;title&gt;Is extending compulsory schooling alone enough to raise earnings? Evidence from French and British compulsory schooling laws&lt;/title&gt;&lt;secondary-title&gt;Scandinavian Journal of Economics&lt;/secondary-title&gt;&lt;/titles&gt;&lt;periodical&gt;&lt;full-title&gt;Scandinavian Journal of Economics&lt;/full-title&gt;&lt;/periodical&gt;&lt;pages&gt;176-210&lt;/pages&gt;&lt;volume&gt;115&lt;/volume&gt;&lt;number&gt;1&lt;/number&gt;&lt;dates&gt;&lt;year&gt;2013&lt;/year&gt;&lt;/dates&gt;&lt;urls&gt;&lt;/urls&gt;&lt;/record&gt;&lt;/Cite&gt;&lt;/EndNote&gt;</w:instrText>
      </w:r>
      <w:r w:rsidR="004E239A">
        <w:rPr>
          <w:rFonts w:ascii="Garamond" w:hAnsi="Garamond"/>
        </w:rPr>
        <w:fldChar w:fldCharType="separate"/>
      </w:r>
      <w:r w:rsidR="00C34B30">
        <w:rPr>
          <w:rFonts w:ascii="Garamond" w:hAnsi="Garamond"/>
          <w:noProof/>
        </w:rPr>
        <w:t>(</w:t>
      </w:r>
      <w:hyperlink w:anchor="_ENREF_28" w:tooltip="Grenet, 2013 #33" w:history="1">
        <w:r w:rsidR="006B1724">
          <w:rPr>
            <w:rFonts w:ascii="Garamond" w:hAnsi="Garamond"/>
            <w:noProof/>
          </w:rPr>
          <w:t>Grenet, 2013</w:t>
        </w:r>
      </w:hyperlink>
      <w:r w:rsidR="00C34B30">
        <w:rPr>
          <w:rFonts w:ascii="Garamond" w:hAnsi="Garamond"/>
          <w:noProof/>
        </w:rPr>
        <w:t>)</w:t>
      </w:r>
      <w:r w:rsidR="004E239A">
        <w:rPr>
          <w:rFonts w:ascii="Garamond" w:hAnsi="Garamond"/>
        </w:rPr>
        <w:fldChar w:fldCharType="end"/>
      </w:r>
      <w:r w:rsidR="00060FB0">
        <w:rPr>
          <w:rFonts w:ascii="Garamond" w:hAnsi="Garamond"/>
        </w:rPr>
        <w:t xml:space="preserve">. </w:t>
      </w:r>
      <w:r w:rsidR="005370C1" w:rsidRPr="005370C1">
        <w:rPr>
          <w:rFonts w:ascii="Garamond" w:hAnsi="Garamond"/>
          <w:b/>
        </w:rPr>
        <w:t xml:space="preserve">Appendix Figure </w:t>
      </w:r>
      <w:r w:rsidR="00DB4B8A">
        <w:rPr>
          <w:rFonts w:ascii="Garamond" w:hAnsi="Garamond"/>
          <w:b/>
        </w:rPr>
        <w:t>1</w:t>
      </w:r>
      <w:r w:rsidR="005370C1">
        <w:rPr>
          <w:rFonts w:ascii="Garamond" w:hAnsi="Garamond"/>
        </w:rPr>
        <w:t xml:space="preserve"> provides an overview of the French schooling system at the time of the reform. </w:t>
      </w:r>
      <w:r w:rsidR="00F73E4C">
        <w:rPr>
          <w:rFonts w:ascii="Garamond" w:hAnsi="Garamond"/>
        </w:rPr>
        <w:t>T</w:t>
      </w:r>
      <w:r w:rsidR="00C96070">
        <w:rPr>
          <w:rFonts w:ascii="Garamond" w:hAnsi="Garamond"/>
        </w:rPr>
        <w:t xml:space="preserve">he French curriculum was </w:t>
      </w:r>
      <w:r w:rsidR="00FB3CE7">
        <w:rPr>
          <w:rFonts w:ascii="Garamond" w:hAnsi="Garamond"/>
        </w:rPr>
        <w:t>organized</w:t>
      </w:r>
      <w:r w:rsidR="00C96070">
        <w:rPr>
          <w:rFonts w:ascii="Garamond" w:hAnsi="Garamond"/>
        </w:rPr>
        <w:t xml:space="preserve"> around a set of academic and vocational qualifications which </w:t>
      </w:r>
      <w:r w:rsidR="00F73E4C">
        <w:rPr>
          <w:rFonts w:ascii="Garamond" w:hAnsi="Garamond"/>
        </w:rPr>
        <w:t>could</w:t>
      </w:r>
      <w:r w:rsidR="00C96070">
        <w:rPr>
          <w:rFonts w:ascii="Garamond" w:hAnsi="Garamond"/>
        </w:rPr>
        <w:t xml:space="preserve"> be obtained through examination </w:t>
      </w:r>
      <w:r w:rsidR="00F73E4C">
        <w:rPr>
          <w:rFonts w:ascii="Garamond" w:hAnsi="Garamond"/>
        </w:rPr>
        <w:t xml:space="preserve">primarily </w:t>
      </w:r>
      <w:r w:rsidR="00C96070">
        <w:rPr>
          <w:rFonts w:ascii="Garamond" w:hAnsi="Garamond"/>
        </w:rPr>
        <w:t xml:space="preserve">at </w:t>
      </w:r>
      <w:r w:rsidR="00D2449F">
        <w:rPr>
          <w:rFonts w:ascii="Garamond" w:hAnsi="Garamond"/>
        </w:rPr>
        <w:t>the end of upper secondary school</w:t>
      </w:r>
      <w:r w:rsidR="00F73E4C">
        <w:rPr>
          <w:rFonts w:ascii="Garamond" w:hAnsi="Garamond"/>
        </w:rPr>
        <w:t xml:space="preserve"> when students were 17 or 18. An optional certificate could also be obtained at the end of lower secondary school (when students were 13 or 14) but it was not designed to certify completion of secondary education. </w:t>
      </w:r>
      <w:r w:rsidR="00FB3CE7">
        <w:rPr>
          <w:rFonts w:ascii="Garamond" w:hAnsi="Garamond"/>
        </w:rPr>
        <w:t>Although the</w:t>
      </w:r>
      <w:r w:rsidR="00DB4B8A">
        <w:rPr>
          <w:rFonts w:ascii="Garamond" w:hAnsi="Garamond"/>
        </w:rPr>
        <w:t xml:space="preserve"> reform aimed to foster social mobility for children from disadvantaged backgrounds by building a comprehensive curriculum of secondary schooling</w:t>
      </w:r>
      <w:r w:rsidR="00FB3CE7">
        <w:rPr>
          <w:rFonts w:ascii="Garamond" w:hAnsi="Garamond"/>
        </w:rPr>
        <w:t xml:space="preserve">, it did not couple the increase in schooling duration with a new certificate </w:t>
      </w:r>
      <w:r w:rsidR="00FB3CE7">
        <w:rPr>
          <w:rFonts w:ascii="Garamond" w:hAnsi="Garamond"/>
        </w:rPr>
        <w:lastRenderedPageBreak/>
        <w:t>or diploma, nor did it alter the existing curriculum and tracking of students</w:t>
      </w:r>
      <w:r w:rsidR="00DB4B8A">
        <w:rPr>
          <w:rFonts w:ascii="Garamond" w:hAnsi="Garamond"/>
        </w:rPr>
        <w:t xml:space="preserve"> </w:t>
      </w:r>
      <w:r w:rsidR="00DB4B8A">
        <w:rPr>
          <w:rFonts w:ascii="Garamond" w:hAnsi="Garamond"/>
        </w:rPr>
        <w:fldChar w:fldCharType="begin"/>
      </w:r>
      <w:r w:rsidR="00CC2B97">
        <w:rPr>
          <w:rFonts w:ascii="Garamond" w:hAnsi="Garamond"/>
        </w:rPr>
        <w:instrText xml:space="preserve"> ADDIN EN.CITE &lt;EndNote&gt;&lt;Cite&gt;&lt;Author&gt;Allaire&lt;/Author&gt;&lt;Year&gt;1995&lt;/Year&gt;&lt;RecNum&gt;39&lt;/RecNum&gt;&lt;DisplayText&gt;(Allaire &amp;amp; Franck, 1995; Donegani &amp;amp; Sadoun, 1976)&lt;/DisplayText&gt;&lt;record&gt;&lt;rec-number&gt;39&lt;/rec-number&gt;&lt;foreign-keys&gt;&lt;key app="EN" db-id="p5pavdvzwwdesueaz0rxssxmtd2ext2dvwpd" timestamp="1542656736"&gt;39&lt;/key&gt;&lt;/foreign-keys&gt;&lt;ref-type name="Edited Book"&gt;28&lt;/ref-type&gt;&lt;contributors&gt;&lt;authors&gt;&lt;author&gt;Allaire, M.&lt;/author&gt;&lt;author&gt;Franck, M.-T.&lt;/author&gt;&lt;/authors&gt;&lt;/contributors&gt;&lt;titles&gt;&lt;title&gt;Les politiques de l&amp;apos;education en France. De la maternelle au baccalaureat&lt;/title&gt;&lt;/titles&gt;&lt;dates&gt;&lt;year&gt;1995&lt;/year&gt;&lt;/dates&gt;&lt;pub-location&gt;Paris, France&lt;/pub-location&gt;&lt;publisher&gt;La Documentation Francaise&lt;/publisher&gt;&lt;urls&gt;&lt;/urls&gt;&lt;/record&gt;&lt;/Cite&gt;&lt;Cite&gt;&lt;Author&gt;Donegani&lt;/Author&gt;&lt;Year&gt;1976&lt;/Year&gt;&lt;RecNum&gt;37&lt;/RecNum&gt;&lt;record&gt;&lt;rec-number&gt;37&lt;/rec-number&gt;&lt;foreign-keys&gt;&lt;key app="EN" db-id="p5pavdvzwwdesueaz0rxssxmtd2ext2dvwpd" timestamp="1542656736"&gt;37&lt;/key&gt;&lt;/foreign-keys&gt;&lt;ref-type name="Journal Article"&gt;17&lt;/ref-type&gt;&lt;contributors&gt;&lt;authors&gt;&lt;author&gt;Donegani, J.M.&lt;/author&gt;&lt;author&gt;Sadoun, M.&lt;/author&gt;&lt;/authors&gt;&lt;/contributors&gt;&lt;titles&gt;&lt;title&gt;La reforme de l&amp;apos;enseignement secondaire en France depuis 1945: Analyse d&amp;apos;une non-decision&lt;/title&gt;&lt;secondary-title&gt;Revue Francaise de Science Politique&lt;/secondary-title&gt;&lt;/titles&gt;&lt;periodical&gt;&lt;full-title&gt;Revue Francaise de Science Politique&lt;/full-title&gt;&lt;/periodical&gt;&lt;pages&gt;1125-1146&lt;/pages&gt;&lt;volume&gt;26&lt;/volume&gt;&lt;number&gt;6&lt;/number&gt;&lt;dates&gt;&lt;year&gt;1976&lt;/year&gt;&lt;/dates&gt;&lt;urls&gt;&lt;/urls&gt;&lt;/record&gt;&lt;/Cite&gt;&lt;/EndNote&gt;</w:instrText>
      </w:r>
      <w:r w:rsidR="00DB4B8A">
        <w:rPr>
          <w:rFonts w:ascii="Garamond" w:hAnsi="Garamond"/>
        </w:rPr>
        <w:fldChar w:fldCharType="separate"/>
      </w:r>
      <w:r w:rsidR="00C07932">
        <w:rPr>
          <w:rFonts w:ascii="Garamond" w:hAnsi="Garamond"/>
          <w:noProof/>
        </w:rPr>
        <w:t>(</w:t>
      </w:r>
      <w:hyperlink w:anchor="_ENREF_2" w:tooltip="Allaire, 1995 #39" w:history="1">
        <w:r w:rsidR="006B1724">
          <w:rPr>
            <w:rFonts w:ascii="Garamond" w:hAnsi="Garamond"/>
            <w:noProof/>
          </w:rPr>
          <w:t>Allaire &amp; Franck, 1995</w:t>
        </w:r>
      </w:hyperlink>
      <w:r w:rsidR="00C07932">
        <w:rPr>
          <w:rFonts w:ascii="Garamond" w:hAnsi="Garamond"/>
          <w:noProof/>
        </w:rPr>
        <w:t xml:space="preserve">; </w:t>
      </w:r>
      <w:hyperlink w:anchor="_ENREF_17" w:tooltip="Donegani, 1976 #37" w:history="1">
        <w:r w:rsidR="006B1724">
          <w:rPr>
            <w:rFonts w:ascii="Garamond" w:hAnsi="Garamond"/>
            <w:noProof/>
          </w:rPr>
          <w:t>Donegani &amp; Sadoun, 1976</w:t>
        </w:r>
      </w:hyperlink>
      <w:r w:rsidR="00C07932">
        <w:rPr>
          <w:rFonts w:ascii="Garamond" w:hAnsi="Garamond"/>
          <w:noProof/>
        </w:rPr>
        <w:t>)</w:t>
      </w:r>
      <w:r w:rsidR="00DB4B8A">
        <w:rPr>
          <w:rFonts w:ascii="Garamond" w:hAnsi="Garamond"/>
        </w:rPr>
        <w:fldChar w:fldCharType="end"/>
      </w:r>
      <w:r w:rsidR="00DB4B8A">
        <w:rPr>
          <w:rFonts w:ascii="Garamond" w:hAnsi="Garamond"/>
        </w:rPr>
        <w:t xml:space="preserve">. </w:t>
      </w:r>
    </w:p>
    <w:p w14:paraId="70CD1E0E" w14:textId="77777777" w:rsidR="00F73E4C" w:rsidRPr="00D86A93" w:rsidRDefault="00F73E4C" w:rsidP="00F73E4C">
      <w:pPr>
        <w:spacing w:line="480" w:lineRule="auto"/>
        <w:ind w:firstLine="720"/>
        <w:contextualSpacing/>
        <w:jc w:val="both"/>
        <w:outlineLvl w:val="0"/>
        <w:rPr>
          <w:rFonts w:ascii="Garamond" w:hAnsi="Garamond"/>
        </w:rPr>
      </w:pPr>
    </w:p>
    <w:p w14:paraId="05056871" w14:textId="796C003B" w:rsidR="00D4344D" w:rsidRPr="00286DD7" w:rsidRDefault="00437AE9" w:rsidP="00C278B9">
      <w:pPr>
        <w:spacing w:line="480" w:lineRule="auto"/>
        <w:contextualSpacing/>
        <w:outlineLvl w:val="0"/>
        <w:rPr>
          <w:rFonts w:ascii="Garamond" w:hAnsi="Garamond"/>
          <w:i/>
        </w:rPr>
      </w:pPr>
      <w:r>
        <w:rPr>
          <w:rFonts w:ascii="Garamond" w:hAnsi="Garamond"/>
          <w:i/>
        </w:rPr>
        <w:t>Study population</w:t>
      </w:r>
    </w:p>
    <w:p w14:paraId="40241FFF" w14:textId="5D9D1FAA" w:rsidR="00D4344D" w:rsidRDefault="0084197B" w:rsidP="00F07C3F">
      <w:pPr>
        <w:spacing w:line="480" w:lineRule="auto"/>
        <w:ind w:firstLine="720"/>
        <w:contextualSpacing/>
        <w:jc w:val="both"/>
        <w:rPr>
          <w:rFonts w:ascii="Garamond" w:hAnsi="Garamond"/>
        </w:rPr>
      </w:pPr>
      <w:r w:rsidRPr="00515E78">
        <w:rPr>
          <w:rFonts w:ascii="Garamond" w:hAnsi="Garamond"/>
        </w:rPr>
        <w:t xml:space="preserve">Our primary dataset is </w:t>
      </w:r>
      <w:r w:rsidR="00D4344D" w:rsidRPr="00515E78">
        <w:rPr>
          <w:rFonts w:ascii="Garamond" w:hAnsi="Garamond"/>
        </w:rPr>
        <w:t xml:space="preserve">the </w:t>
      </w:r>
      <w:proofErr w:type="spellStart"/>
      <w:r w:rsidR="00D4344D" w:rsidRPr="00515E78">
        <w:rPr>
          <w:rFonts w:ascii="Garamond" w:hAnsi="Garamond"/>
        </w:rPr>
        <w:t>C</w:t>
      </w:r>
      <w:r w:rsidR="009743D2">
        <w:rPr>
          <w:rFonts w:ascii="Garamond" w:hAnsi="Garamond"/>
        </w:rPr>
        <w:t>onstances</w:t>
      </w:r>
      <w:proofErr w:type="spellEnd"/>
      <w:r w:rsidR="00D4344D" w:rsidRPr="00515E78">
        <w:rPr>
          <w:rFonts w:ascii="Garamond" w:hAnsi="Garamond"/>
        </w:rPr>
        <w:t xml:space="preserve"> coho</w:t>
      </w:r>
      <w:r w:rsidR="0018566A">
        <w:rPr>
          <w:rFonts w:ascii="Garamond" w:hAnsi="Garamond"/>
        </w:rPr>
        <w:t xml:space="preserve">rt, a </w:t>
      </w:r>
      <w:r w:rsidR="00673768">
        <w:rPr>
          <w:rFonts w:ascii="Garamond" w:hAnsi="Garamond"/>
        </w:rPr>
        <w:t xml:space="preserve">sample of </w:t>
      </w:r>
      <w:r w:rsidR="00D4344D" w:rsidRPr="00515E78">
        <w:rPr>
          <w:rFonts w:ascii="Garamond" w:hAnsi="Garamond"/>
        </w:rPr>
        <w:t xml:space="preserve">French adults </w:t>
      </w:r>
      <w:r w:rsidR="00D41C22">
        <w:rPr>
          <w:rFonts w:ascii="Garamond" w:hAnsi="Garamond"/>
        </w:rPr>
        <w:t xml:space="preserve">aged </w:t>
      </w:r>
      <w:r w:rsidR="00D4344D" w:rsidRPr="00515E78">
        <w:rPr>
          <w:rFonts w:ascii="Garamond" w:hAnsi="Garamond"/>
        </w:rPr>
        <w:t>18-69 launched in 201</w:t>
      </w:r>
      <w:r w:rsidR="004B33D0" w:rsidRPr="00515E78">
        <w:rPr>
          <w:rFonts w:ascii="Garamond" w:hAnsi="Garamond"/>
        </w:rPr>
        <w:t xml:space="preserve">2, with the aim of collecting data on 200,000 individuals over a </w:t>
      </w:r>
      <w:r w:rsidR="00E5417D">
        <w:rPr>
          <w:rFonts w:ascii="Garamond" w:hAnsi="Garamond"/>
        </w:rPr>
        <w:t>6</w:t>
      </w:r>
      <w:r w:rsidR="004B33D0" w:rsidRPr="00515E78">
        <w:rPr>
          <w:rFonts w:ascii="Garamond" w:hAnsi="Garamond"/>
        </w:rPr>
        <w:t>-year period</w:t>
      </w:r>
      <w:r w:rsidR="00E36631">
        <w:rPr>
          <w:rFonts w:ascii="Garamond" w:hAnsi="Garamond"/>
        </w:rPr>
        <w:t xml:space="preserve"> </w:t>
      </w:r>
      <w:r w:rsidR="00E36631">
        <w:rPr>
          <w:rFonts w:ascii="Garamond" w:hAnsi="Garamond"/>
        </w:rPr>
        <w:fldChar w:fldCharType="begin"/>
      </w:r>
      <w:r w:rsidR="00CC2B97">
        <w:rPr>
          <w:rFonts w:ascii="Garamond" w:hAnsi="Garamond"/>
        </w:rPr>
        <w:instrText xml:space="preserve"> ADDIN EN.CITE &lt;EndNote&gt;&lt;Cite&gt;&lt;Author&gt;Zins&lt;/Author&gt;&lt;Year&gt;2015&lt;/Year&gt;&lt;RecNum&gt;40&lt;/RecNum&gt;&lt;DisplayText&gt;(Zins &amp;amp; Goldberg, 2015)&lt;/DisplayText&gt;&lt;record&gt;&lt;rec-number&gt;40&lt;/rec-number&gt;&lt;foreign-keys&gt;&lt;key app="EN" db-id="p5pavdvzwwdesueaz0rxssxmtd2ext2dvwpd" timestamp="1542656736"&gt;40&lt;/key&gt;&lt;/foreign-keys&gt;&lt;ref-type name="Journal Article"&gt;17&lt;/ref-type&gt;&lt;contributors&gt;&lt;authors&gt;&lt;author&gt;Zins, M.&lt;/author&gt;&lt;author&gt;Goldberg, M.&lt;/author&gt;&lt;/authors&gt;&lt;/contributors&gt;&lt;titles&gt;&lt;title&gt;The French CONSTANCES population-based cohort: design, inclusion and follow-up&lt;/title&gt;&lt;secondary-title&gt;European  Journal of  Epidemiology &lt;/secondary-title&gt;&lt;/titles&gt;&lt;periodical&gt;&lt;full-title&gt;European  Journal of  Epidemiology&lt;/full-title&gt;&lt;/periodical&gt;&lt;pages&gt;1317-1328&lt;/pages&gt;&lt;volume&gt;30&lt;/volume&gt;&lt;number&gt;12&lt;/number&gt;&lt;dates&gt;&lt;year&gt;2015&lt;/year&gt;&lt;/dates&gt;&lt;urls&gt;&lt;/urls&gt;&lt;/record&gt;&lt;/Cite&gt;&lt;/EndNote&gt;</w:instrText>
      </w:r>
      <w:r w:rsidR="00E36631">
        <w:rPr>
          <w:rFonts w:ascii="Garamond" w:hAnsi="Garamond"/>
        </w:rPr>
        <w:fldChar w:fldCharType="separate"/>
      </w:r>
      <w:r w:rsidR="00E36631">
        <w:rPr>
          <w:rFonts w:ascii="Garamond" w:hAnsi="Garamond"/>
          <w:noProof/>
        </w:rPr>
        <w:t>(</w:t>
      </w:r>
      <w:hyperlink w:anchor="_ENREF_63" w:tooltip="Zins, 2015 #40" w:history="1">
        <w:r w:rsidR="006B1724">
          <w:rPr>
            <w:rFonts w:ascii="Garamond" w:hAnsi="Garamond"/>
            <w:noProof/>
          </w:rPr>
          <w:t>Zins &amp; Goldberg, 2015</w:t>
        </w:r>
      </w:hyperlink>
      <w:r w:rsidR="00E36631">
        <w:rPr>
          <w:rFonts w:ascii="Garamond" w:hAnsi="Garamond"/>
          <w:noProof/>
        </w:rPr>
        <w:t>)</w:t>
      </w:r>
      <w:r w:rsidR="00E36631">
        <w:rPr>
          <w:rFonts w:ascii="Garamond" w:hAnsi="Garamond"/>
        </w:rPr>
        <w:fldChar w:fldCharType="end"/>
      </w:r>
      <w:r w:rsidR="00D4344D" w:rsidRPr="00515E78">
        <w:rPr>
          <w:rFonts w:ascii="Garamond" w:hAnsi="Garamond"/>
        </w:rPr>
        <w:t xml:space="preserve">. </w:t>
      </w:r>
      <w:r w:rsidRPr="00515E78">
        <w:rPr>
          <w:rFonts w:ascii="Garamond" w:hAnsi="Garamond"/>
        </w:rPr>
        <w:t xml:space="preserve">Participants were randomly selected to take part in the study and invited to a one-day clinical examination in one of the 22 Health Screening </w:t>
      </w:r>
      <w:proofErr w:type="spellStart"/>
      <w:r w:rsidRPr="00515E78">
        <w:rPr>
          <w:rFonts w:ascii="Garamond" w:hAnsi="Garamond"/>
        </w:rPr>
        <w:t>Centres</w:t>
      </w:r>
      <w:proofErr w:type="spellEnd"/>
      <w:r w:rsidRPr="00515E78">
        <w:rPr>
          <w:rFonts w:ascii="Garamond" w:hAnsi="Garamond"/>
        </w:rPr>
        <w:t xml:space="preserve"> run by the National Health Insurance Agency. At baseline, a range of comprehensive health assessments were carried out by health professionals, and participants were asked to complete que</w:t>
      </w:r>
      <w:r w:rsidR="00317B67">
        <w:rPr>
          <w:rFonts w:ascii="Garamond" w:hAnsi="Garamond"/>
        </w:rPr>
        <w:t xml:space="preserve">stionnaires about their health </w:t>
      </w:r>
      <w:r w:rsidRPr="00515E78">
        <w:rPr>
          <w:rFonts w:ascii="Garamond" w:hAnsi="Garamond"/>
        </w:rPr>
        <w:t xml:space="preserve">and socioeconomic circumstances. </w:t>
      </w:r>
      <w:r w:rsidR="004B33D0" w:rsidRPr="00515E78">
        <w:rPr>
          <w:rFonts w:ascii="Garamond" w:hAnsi="Garamond"/>
        </w:rPr>
        <w:t xml:space="preserve">At the time of this study, </w:t>
      </w:r>
      <w:r w:rsidR="00EC0071" w:rsidRPr="00515E78">
        <w:rPr>
          <w:rFonts w:ascii="Garamond" w:hAnsi="Garamond"/>
        </w:rPr>
        <w:t xml:space="preserve">clinical </w:t>
      </w:r>
      <w:r w:rsidR="004B33D0" w:rsidRPr="00515E78">
        <w:rPr>
          <w:rFonts w:ascii="Garamond" w:hAnsi="Garamond"/>
        </w:rPr>
        <w:t xml:space="preserve">data was available for </w:t>
      </w:r>
      <w:r w:rsidR="00EC0071" w:rsidRPr="00515E78">
        <w:rPr>
          <w:rFonts w:ascii="Garamond" w:hAnsi="Garamond"/>
        </w:rPr>
        <w:t>58,029</w:t>
      </w:r>
      <w:r w:rsidR="004B33D0" w:rsidRPr="00515E78">
        <w:rPr>
          <w:rFonts w:ascii="Garamond" w:hAnsi="Garamond"/>
        </w:rPr>
        <w:t xml:space="preserve"> respondents. </w:t>
      </w:r>
      <w:r w:rsidR="00B710A2">
        <w:rPr>
          <w:rFonts w:ascii="Garamond" w:hAnsi="Garamond"/>
        </w:rPr>
        <w:t>As detailed below, we restrict</w:t>
      </w:r>
      <w:r w:rsidR="00732323" w:rsidRPr="00515E78">
        <w:rPr>
          <w:rFonts w:ascii="Garamond" w:hAnsi="Garamond"/>
        </w:rPr>
        <w:t xml:space="preserve"> our analysis to participants born at most </w:t>
      </w:r>
      <w:r w:rsidR="006A5196">
        <w:rPr>
          <w:rFonts w:ascii="Garamond" w:hAnsi="Garamond"/>
        </w:rPr>
        <w:t>48 months before or after the cut-</w:t>
      </w:r>
      <w:r w:rsidR="00732323" w:rsidRPr="00515E78">
        <w:rPr>
          <w:rFonts w:ascii="Garamond" w:hAnsi="Garamond"/>
        </w:rPr>
        <w:t>off for eligibility to the reform (</w:t>
      </w:r>
      <w:r w:rsidR="004B33D0" w:rsidRPr="00515E78">
        <w:rPr>
          <w:rFonts w:ascii="Garamond" w:hAnsi="Garamond"/>
        </w:rPr>
        <w:t>1</w:t>
      </w:r>
      <w:r w:rsidR="004B33D0" w:rsidRPr="00515E78">
        <w:rPr>
          <w:rFonts w:ascii="Garamond" w:hAnsi="Garamond"/>
          <w:vertAlign w:val="superscript"/>
        </w:rPr>
        <w:t>st</w:t>
      </w:r>
      <w:r w:rsidR="004B33D0" w:rsidRPr="00515E78">
        <w:rPr>
          <w:rFonts w:ascii="Garamond" w:hAnsi="Garamond"/>
        </w:rPr>
        <w:t xml:space="preserve"> of January 1953, </w:t>
      </w:r>
      <w:r w:rsidR="00732323" w:rsidRPr="00515E78">
        <w:rPr>
          <w:rFonts w:ascii="Garamond" w:hAnsi="Garamond"/>
          <w:i/>
        </w:rPr>
        <w:t>N</w:t>
      </w:r>
      <w:r w:rsidR="00732323" w:rsidRPr="00515E78">
        <w:rPr>
          <w:rFonts w:ascii="Garamond" w:hAnsi="Garamond"/>
        </w:rPr>
        <w:t xml:space="preserve">=18,915). </w:t>
      </w:r>
    </w:p>
    <w:p w14:paraId="60FB7A07" w14:textId="77777777" w:rsidR="00437AE9" w:rsidRPr="00286DD7" w:rsidRDefault="00437AE9" w:rsidP="00286DD7">
      <w:pPr>
        <w:spacing w:line="480" w:lineRule="auto"/>
        <w:contextualSpacing/>
        <w:jc w:val="both"/>
        <w:rPr>
          <w:rFonts w:ascii="Garamond" w:hAnsi="Garamond"/>
        </w:rPr>
      </w:pPr>
    </w:p>
    <w:p w14:paraId="779DF254" w14:textId="329EF94D" w:rsidR="00D4344D" w:rsidRPr="00515E78" w:rsidRDefault="00437AE9" w:rsidP="00C278B9">
      <w:pPr>
        <w:spacing w:line="480" w:lineRule="auto"/>
        <w:contextualSpacing/>
        <w:outlineLvl w:val="0"/>
        <w:rPr>
          <w:rFonts w:ascii="Garamond" w:hAnsi="Garamond"/>
          <w:i/>
        </w:rPr>
      </w:pPr>
      <w:r>
        <w:rPr>
          <w:rFonts w:ascii="Garamond" w:hAnsi="Garamond"/>
          <w:i/>
        </w:rPr>
        <w:t>Anthropometry, blood pressure and blood-based biomarkers</w:t>
      </w:r>
    </w:p>
    <w:p w14:paraId="2BF05304" w14:textId="499AED13" w:rsidR="000016FF" w:rsidRPr="00515E78" w:rsidRDefault="00E863CD" w:rsidP="00CA5092">
      <w:pPr>
        <w:spacing w:line="480" w:lineRule="auto"/>
        <w:ind w:firstLine="720"/>
        <w:contextualSpacing/>
        <w:jc w:val="both"/>
        <w:rPr>
          <w:rFonts w:ascii="Garamond" w:hAnsi="Garamond"/>
        </w:rPr>
      </w:pPr>
      <w:r w:rsidRPr="00515E78">
        <w:rPr>
          <w:rFonts w:ascii="Garamond" w:hAnsi="Garamond"/>
        </w:rPr>
        <w:t>Participants were invited to a health examination, where anthropometry, blood pre</w:t>
      </w:r>
      <w:r w:rsidR="00C02739">
        <w:rPr>
          <w:rFonts w:ascii="Garamond" w:hAnsi="Garamond"/>
        </w:rPr>
        <w:t>ssure and serum</w:t>
      </w:r>
      <w:r w:rsidRPr="00515E78">
        <w:rPr>
          <w:rFonts w:ascii="Garamond" w:hAnsi="Garamond"/>
        </w:rPr>
        <w:t xml:space="preserve"> were collected. Quality control was in place to ensure </w:t>
      </w:r>
      <w:r w:rsidR="00CA5092">
        <w:rPr>
          <w:rFonts w:ascii="Garamond" w:hAnsi="Garamond"/>
        </w:rPr>
        <w:t xml:space="preserve">the </w:t>
      </w:r>
      <w:r w:rsidRPr="00515E78">
        <w:rPr>
          <w:rFonts w:ascii="Garamond" w:hAnsi="Garamond"/>
        </w:rPr>
        <w:t xml:space="preserve">quality </w:t>
      </w:r>
      <w:r w:rsidR="00CA5092">
        <w:rPr>
          <w:rFonts w:ascii="Garamond" w:hAnsi="Garamond"/>
        </w:rPr>
        <w:t xml:space="preserve">of </w:t>
      </w:r>
      <w:r w:rsidRPr="00515E78">
        <w:rPr>
          <w:rFonts w:ascii="Garamond" w:hAnsi="Garamond"/>
        </w:rPr>
        <w:t>physiological data across different sites</w:t>
      </w:r>
      <w:r w:rsidR="00C02739">
        <w:rPr>
          <w:rFonts w:ascii="Garamond" w:hAnsi="Garamond"/>
        </w:rPr>
        <w:t>, details of which have been previously described</w:t>
      </w:r>
      <w:r w:rsidRPr="00515E78">
        <w:rPr>
          <w:rFonts w:ascii="Garamond" w:hAnsi="Garamond"/>
        </w:rPr>
        <w:t xml:space="preserve"> </w:t>
      </w:r>
      <w:r w:rsidRPr="00515E78">
        <w:rPr>
          <w:rFonts w:ascii="Garamond" w:hAnsi="Garamond"/>
        </w:rPr>
        <w:fldChar w:fldCharType="begin"/>
      </w:r>
      <w:r w:rsidR="00CC2B97">
        <w:rPr>
          <w:rFonts w:ascii="Garamond" w:hAnsi="Garamond"/>
        </w:rPr>
        <w:instrText xml:space="preserve"> ADDIN EN.CITE &lt;EndNote&gt;&lt;Cite&gt;&lt;Author&gt;Ruiz&lt;/Author&gt;&lt;Year&gt;2016&lt;/Year&gt;&lt;RecNum&gt;41&lt;/RecNum&gt;&lt;DisplayText&gt;(Ruiz et al., 2016)&lt;/DisplayText&gt;&lt;record&gt;&lt;rec-number&gt;41&lt;/rec-number&gt;&lt;foreign-keys&gt;&lt;key app="EN" db-id="p5pavdvzwwdesueaz0rxssxmtd2ext2dvwpd" timestamp="1542656736"&gt;41&lt;/key&gt;&lt;/foreign-keys&gt;&lt;ref-type name="Journal Article"&gt;17&lt;/ref-type&gt;&lt;contributors&gt;&lt;authors&gt;&lt;author&gt;Ruiz, Fabrice&lt;/author&gt;&lt;author&gt;Goldberg, Marcel&lt;/author&gt;&lt;author&gt;Lemonnier, Sylvie&lt;/author&gt;&lt;author&gt;Ozguler, Anna&lt;/author&gt;&lt;author&gt;Boos, Evelyne&lt;/author&gt;&lt;author&gt;Brigand, Alain&lt;/author&gt;&lt;author&gt;Giraud, Violaine&lt;/author&gt;&lt;author&gt;Perez, Thierry&lt;/author&gt;&lt;author&gt;Roche, Nicolas&lt;/author&gt;&lt;author&gt;Zins, Marie&lt;/author&gt;&lt;/authors&gt;&lt;/contributors&gt;&lt;titles&gt;&lt;title&gt;High quality standards for a large-scale prospective population-based observational cohort: Constances&lt;/title&gt;&lt;secondary-title&gt;BMC Public Health&lt;/secondary-title&gt;&lt;/titles&gt;&lt;periodical&gt;&lt;full-title&gt;BMC Public Health&lt;/full-title&gt;&lt;/periodical&gt;&lt;pages&gt;877&lt;/pages&gt;&lt;volume&gt;16&lt;/volume&gt;&lt;number&gt;1&lt;/number&gt;&lt;dates&gt;&lt;year&gt;2016&lt;/year&gt;&lt;pub-dates&gt;&lt;date&gt;August 25&lt;/date&gt;&lt;/pub-dates&gt;&lt;/dates&gt;&lt;label&gt;Ruiz2016&lt;/label&gt;&lt;work-type&gt;journal article&lt;/work-type&gt;&lt;urls&gt;&lt;/urls&gt;&lt;/record&gt;&lt;/Cite&gt;&lt;/EndNote&gt;</w:instrText>
      </w:r>
      <w:r w:rsidRPr="00515E78">
        <w:rPr>
          <w:rFonts w:ascii="Garamond" w:hAnsi="Garamond"/>
        </w:rPr>
        <w:fldChar w:fldCharType="separate"/>
      </w:r>
      <w:r w:rsidR="00C07932">
        <w:rPr>
          <w:rFonts w:ascii="Garamond" w:hAnsi="Garamond"/>
          <w:noProof/>
        </w:rPr>
        <w:t>(</w:t>
      </w:r>
      <w:hyperlink w:anchor="_ENREF_54" w:tooltip="Ruiz, 2016 #41" w:history="1">
        <w:r w:rsidR="006B1724">
          <w:rPr>
            <w:rFonts w:ascii="Garamond" w:hAnsi="Garamond"/>
            <w:noProof/>
          </w:rPr>
          <w:t>Ruiz et al., 2016</w:t>
        </w:r>
      </w:hyperlink>
      <w:r w:rsidR="00C07932">
        <w:rPr>
          <w:rFonts w:ascii="Garamond" w:hAnsi="Garamond"/>
          <w:noProof/>
        </w:rPr>
        <w:t>)</w:t>
      </w:r>
      <w:r w:rsidRPr="00515E78">
        <w:rPr>
          <w:rFonts w:ascii="Garamond" w:hAnsi="Garamond"/>
        </w:rPr>
        <w:fldChar w:fldCharType="end"/>
      </w:r>
      <w:r w:rsidRPr="00515E78">
        <w:rPr>
          <w:rFonts w:ascii="Garamond" w:hAnsi="Garamond"/>
        </w:rPr>
        <w:t xml:space="preserve">. </w:t>
      </w:r>
    </w:p>
    <w:p w14:paraId="0B6C5573" w14:textId="79581E44" w:rsidR="00EC0071" w:rsidRPr="00515E78" w:rsidRDefault="00673768" w:rsidP="00F07C3F">
      <w:pPr>
        <w:spacing w:line="480" w:lineRule="auto"/>
        <w:ind w:firstLine="720"/>
        <w:contextualSpacing/>
        <w:jc w:val="both"/>
        <w:rPr>
          <w:rFonts w:ascii="Garamond" w:hAnsi="Garamond"/>
        </w:rPr>
      </w:pPr>
      <w:r w:rsidRPr="003A0478">
        <w:rPr>
          <w:rFonts w:ascii="Garamond" w:hAnsi="Garamond"/>
        </w:rPr>
        <w:t>The clinical team measured weight, height as well as waist and hip circumference</w:t>
      </w:r>
      <w:r w:rsidR="003A0478" w:rsidRPr="003A0478">
        <w:rPr>
          <w:rFonts w:ascii="Garamond" w:hAnsi="Garamond"/>
        </w:rPr>
        <w:t xml:space="preserve"> for all respondents. </w:t>
      </w:r>
      <w:r w:rsidR="00C02739">
        <w:rPr>
          <w:rFonts w:ascii="Garamond" w:hAnsi="Garamond"/>
        </w:rPr>
        <w:t xml:space="preserve"> B</w:t>
      </w:r>
      <w:r w:rsidR="00437AE9">
        <w:rPr>
          <w:rFonts w:ascii="Garamond" w:hAnsi="Garamond"/>
        </w:rPr>
        <w:t xml:space="preserve">ody mass index </w:t>
      </w:r>
      <w:r w:rsidR="00C02739">
        <w:rPr>
          <w:rFonts w:ascii="Garamond" w:hAnsi="Garamond"/>
        </w:rPr>
        <w:t xml:space="preserve">(BMI) was calculated as </w:t>
      </w:r>
      <w:r w:rsidR="00437AE9">
        <w:rPr>
          <w:rFonts w:ascii="Garamond" w:hAnsi="Garamond"/>
        </w:rPr>
        <w:t>weight in kilograms divi</w:t>
      </w:r>
      <w:r w:rsidR="00C02739">
        <w:rPr>
          <w:rFonts w:ascii="Garamond" w:hAnsi="Garamond"/>
        </w:rPr>
        <w:t>ded by height in meters squared</w:t>
      </w:r>
      <w:r w:rsidR="00437AE9">
        <w:rPr>
          <w:rFonts w:ascii="Garamond" w:hAnsi="Garamond"/>
        </w:rPr>
        <w:t xml:space="preserve">. </w:t>
      </w:r>
      <w:r w:rsidR="00EE2CBA" w:rsidRPr="003A0478">
        <w:rPr>
          <w:rFonts w:ascii="Garamond" w:hAnsi="Garamond"/>
        </w:rPr>
        <w:t>Blood pressure measurements (systolic and diastolic blood pressure) were taken from each arm</w:t>
      </w:r>
      <w:r w:rsidR="00EE2CBA" w:rsidRPr="00515E78">
        <w:rPr>
          <w:rFonts w:ascii="Garamond" w:hAnsi="Garamond"/>
        </w:rPr>
        <w:t xml:space="preserve"> after a one-minute rest. </w:t>
      </w:r>
      <w:r w:rsidR="00C02739">
        <w:rPr>
          <w:rFonts w:ascii="Garamond" w:hAnsi="Garamond"/>
        </w:rPr>
        <w:t>B</w:t>
      </w:r>
      <w:r w:rsidR="000016FF" w:rsidRPr="00515E78">
        <w:rPr>
          <w:rFonts w:ascii="Garamond" w:hAnsi="Garamond"/>
        </w:rPr>
        <w:t xml:space="preserve">lood samples </w:t>
      </w:r>
      <w:r w:rsidR="003A0478">
        <w:rPr>
          <w:rFonts w:ascii="Garamond" w:hAnsi="Garamond"/>
        </w:rPr>
        <w:t>were taken from all participants</w:t>
      </w:r>
      <w:r w:rsidR="006A5196">
        <w:rPr>
          <w:rFonts w:ascii="Garamond" w:hAnsi="Garamond"/>
        </w:rPr>
        <w:t xml:space="preserve">. They </w:t>
      </w:r>
      <w:r w:rsidR="000016FF" w:rsidRPr="00515E78">
        <w:rPr>
          <w:rFonts w:ascii="Garamond" w:hAnsi="Garamond"/>
        </w:rPr>
        <w:t xml:space="preserve">were </w:t>
      </w:r>
      <w:r w:rsidR="006E450D">
        <w:rPr>
          <w:rFonts w:ascii="Garamond" w:hAnsi="Garamond"/>
        </w:rPr>
        <w:t>instructed</w:t>
      </w:r>
      <w:r w:rsidR="000016FF" w:rsidRPr="00515E78">
        <w:rPr>
          <w:rFonts w:ascii="Garamond" w:hAnsi="Garamond"/>
        </w:rPr>
        <w:t xml:space="preserve"> to fast 12 hours </w:t>
      </w:r>
      <w:r w:rsidR="00C02739">
        <w:rPr>
          <w:rFonts w:ascii="Garamond" w:hAnsi="Garamond"/>
        </w:rPr>
        <w:t xml:space="preserve">prior to collection, which was carried out between </w:t>
      </w:r>
      <w:r w:rsidR="006E450D">
        <w:rPr>
          <w:rFonts w:ascii="Garamond" w:hAnsi="Garamond"/>
        </w:rPr>
        <w:t>8 and 10 am</w:t>
      </w:r>
      <w:r w:rsidR="0029158E">
        <w:rPr>
          <w:rFonts w:ascii="Garamond" w:hAnsi="Garamond"/>
        </w:rPr>
        <w:t xml:space="preserve">. </w:t>
      </w:r>
      <w:r w:rsidR="006E450D">
        <w:rPr>
          <w:rFonts w:ascii="Garamond" w:hAnsi="Garamond"/>
        </w:rPr>
        <w:t xml:space="preserve">Blood sugar levels were assessed by </w:t>
      </w:r>
      <w:r w:rsidR="00B4252B">
        <w:rPr>
          <w:rFonts w:ascii="Garamond" w:hAnsi="Garamond"/>
        </w:rPr>
        <w:t xml:space="preserve">fasting </w:t>
      </w:r>
      <w:r w:rsidR="006E450D">
        <w:rPr>
          <w:rFonts w:ascii="Garamond" w:hAnsi="Garamond"/>
        </w:rPr>
        <w:t>blood glucose</w:t>
      </w:r>
      <w:r w:rsidR="00F64697">
        <w:rPr>
          <w:rFonts w:ascii="Garamond" w:hAnsi="Garamond"/>
        </w:rPr>
        <w:t>,</w:t>
      </w:r>
      <w:r w:rsidR="006E450D">
        <w:rPr>
          <w:rFonts w:ascii="Garamond" w:hAnsi="Garamond"/>
        </w:rPr>
        <w:t xml:space="preserve"> and b</w:t>
      </w:r>
      <w:r w:rsidR="0029158E">
        <w:rPr>
          <w:rFonts w:ascii="Garamond" w:hAnsi="Garamond"/>
        </w:rPr>
        <w:t xml:space="preserve">lood lipid levels </w:t>
      </w:r>
      <w:r w:rsidR="000016FF" w:rsidRPr="00515E78">
        <w:rPr>
          <w:rFonts w:ascii="Garamond" w:hAnsi="Garamond"/>
        </w:rPr>
        <w:t>by total cholesterol, high-density lipoproteins and triglycerides</w:t>
      </w:r>
      <w:r w:rsidR="00EC0071" w:rsidRPr="00515E78">
        <w:rPr>
          <w:rFonts w:ascii="Garamond" w:hAnsi="Garamond"/>
        </w:rPr>
        <w:t xml:space="preserve">. </w:t>
      </w:r>
      <w:r w:rsidR="006E450D">
        <w:rPr>
          <w:rFonts w:ascii="Garamond" w:hAnsi="Garamond"/>
        </w:rPr>
        <w:t>Liver function was measured by gamma-</w:t>
      </w:r>
      <w:proofErr w:type="spellStart"/>
      <w:r w:rsidR="006E450D">
        <w:rPr>
          <w:rFonts w:ascii="Garamond" w:hAnsi="Garamond"/>
        </w:rPr>
        <w:t>glumamyltransferase</w:t>
      </w:r>
      <w:proofErr w:type="spellEnd"/>
      <w:r w:rsidR="006E450D">
        <w:rPr>
          <w:rFonts w:ascii="Garamond" w:hAnsi="Garamond"/>
        </w:rPr>
        <w:t xml:space="preserve"> (gamma GT)</w:t>
      </w:r>
      <w:r w:rsidR="00B4252B">
        <w:rPr>
          <w:rFonts w:ascii="Garamond" w:hAnsi="Garamond"/>
        </w:rPr>
        <w:t xml:space="preserve"> and alanine transaminase. Serum</w:t>
      </w:r>
      <w:r w:rsidR="006E450D">
        <w:rPr>
          <w:rFonts w:ascii="Garamond" w:hAnsi="Garamond"/>
        </w:rPr>
        <w:t xml:space="preserve"> creatinine was used as an </w:t>
      </w:r>
      <w:r w:rsidR="006E450D">
        <w:rPr>
          <w:rFonts w:ascii="Garamond" w:hAnsi="Garamond"/>
        </w:rPr>
        <w:lastRenderedPageBreak/>
        <w:t xml:space="preserve">indicator of kidney function. </w:t>
      </w:r>
      <w:r w:rsidR="005A0D56">
        <w:rPr>
          <w:rFonts w:ascii="Garamond" w:hAnsi="Garamond"/>
        </w:rPr>
        <w:t>Hematology measures</w:t>
      </w:r>
      <w:r w:rsidR="006E450D">
        <w:rPr>
          <w:rFonts w:ascii="Garamond" w:hAnsi="Garamond"/>
        </w:rPr>
        <w:t xml:space="preserve"> included</w:t>
      </w:r>
      <w:r w:rsidR="00434EF7">
        <w:rPr>
          <w:rFonts w:ascii="Garamond" w:hAnsi="Garamond"/>
        </w:rPr>
        <w:t xml:space="preserve"> counts of white blood cells, hemoglobin, h</w:t>
      </w:r>
      <w:r w:rsidR="006E450D">
        <w:rPr>
          <w:rFonts w:ascii="Garamond" w:hAnsi="Garamond"/>
        </w:rPr>
        <w:t xml:space="preserve">ematocrit and platelets. </w:t>
      </w:r>
      <w:r w:rsidR="00DA33F3">
        <w:rPr>
          <w:rFonts w:ascii="Garamond" w:hAnsi="Garamond"/>
        </w:rPr>
        <w:t>B</w:t>
      </w:r>
      <w:r w:rsidR="000016FF" w:rsidRPr="00515E78">
        <w:rPr>
          <w:rFonts w:ascii="Garamond" w:hAnsi="Garamond"/>
        </w:rPr>
        <w:t>iomarker data were screened for outliers and unreasonable values removed</w:t>
      </w:r>
      <w:r w:rsidR="009743D2">
        <w:rPr>
          <w:rFonts w:ascii="Garamond" w:hAnsi="Garamond"/>
        </w:rPr>
        <w:t xml:space="preserve"> based on established guidelines for the </w:t>
      </w:r>
      <w:proofErr w:type="spellStart"/>
      <w:r w:rsidR="009743D2">
        <w:rPr>
          <w:rFonts w:ascii="Garamond" w:hAnsi="Garamond"/>
        </w:rPr>
        <w:t>Constances</w:t>
      </w:r>
      <w:proofErr w:type="spellEnd"/>
      <w:r w:rsidR="009743D2">
        <w:rPr>
          <w:rFonts w:ascii="Garamond" w:hAnsi="Garamond"/>
        </w:rPr>
        <w:t xml:space="preserve"> cohort</w:t>
      </w:r>
      <w:r w:rsidR="000016FF" w:rsidRPr="00515E78">
        <w:rPr>
          <w:rFonts w:ascii="Garamond" w:hAnsi="Garamond"/>
        </w:rPr>
        <w:t xml:space="preserve"> </w:t>
      </w:r>
      <w:r w:rsidR="000016FF" w:rsidRPr="00515E78">
        <w:rPr>
          <w:rFonts w:ascii="Garamond" w:hAnsi="Garamond"/>
        </w:rPr>
        <w:fldChar w:fldCharType="begin"/>
      </w:r>
      <w:r w:rsidR="00CC2B97">
        <w:rPr>
          <w:rFonts w:ascii="Garamond" w:hAnsi="Garamond"/>
        </w:rPr>
        <w:instrText xml:space="preserve"> ADDIN EN.CITE &lt;EndNote&gt;&lt;Cite&gt;&lt;Author&gt;Magnusson Hanson&lt;/Author&gt;&lt;Year&gt;2017&lt;/Year&gt;&lt;RecNum&gt;42&lt;/RecNum&gt;&lt;DisplayText&gt;(Magnusson Hanson et al., 2017)&lt;/DisplayText&gt;&lt;record&gt;&lt;rec-number&gt;42&lt;/rec-number&gt;&lt;foreign-keys&gt;&lt;key app="EN" db-id="p5pavdvzwwdesueaz0rxssxmtd2ext2dvwpd" timestamp="1542656736"&gt;42&lt;/key&gt;&lt;/foreign-keys&gt;&lt;ref-type name="Journal Article"&gt;17&lt;/ref-type&gt;&lt;contributors&gt;&lt;authors&gt;&lt;author&gt;Magnusson Hanson, Linda L.&lt;/author&gt;&lt;author&gt;Westerlund, Hugo&lt;/author&gt;&lt;author&gt;Goldberg, Marcel&lt;/author&gt;&lt;author&gt;Zins, Marie&lt;/author&gt;&lt;author&gt;Vahtera, Jussi&lt;/author&gt;&lt;author&gt;Hulvej Rod, Naja&lt;/author&gt;&lt;author&gt;Stenholm, Sari&lt;/author&gt;&lt;author&gt;Steptoe, Andrew&lt;/author&gt;&lt;author&gt;Kivimäki, Mika&lt;/author&gt;&lt;/authors&gt;&lt;/contributors&gt;&lt;titles&gt;&lt;title&gt;Work stress, anthropometry, lung function, blood pressure, and blood-based biomarkers: a cross-sectional study of 43,593 French men and women&lt;/title&gt;&lt;secondary-title&gt;Scientific Reports&lt;/secondary-title&gt;&lt;/titles&gt;&lt;periodical&gt;&lt;full-title&gt;Scientific Reports&lt;/full-title&gt;&lt;/periodical&gt;&lt;pages&gt;9282&lt;/pages&gt;&lt;volume&gt;7&lt;/volume&gt;&lt;number&gt;1&lt;/number&gt;&lt;dates&gt;&lt;year&gt;2017&lt;/year&gt;&lt;/dates&gt;&lt;urls&gt;&lt;/urls&gt;&lt;/record&gt;&lt;/Cite&gt;&lt;/EndNote&gt;</w:instrText>
      </w:r>
      <w:r w:rsidR="000016FF" w:rsidRPr="00515E78">
        <w:rPr>
          <w:rFonts w:ascii="Garamond" w:hAnsi="Garamond"/>
        </w:rPr>
        <w:fldChar w:fldCharType="separate"/>
      </w:r>
      <w:r w:rsidR="00C07932">
        <w:rPr>
          <w:rFonts w:ascii="Garamond" w:hAnsi="Garamond"/>
          <w:noProof/>
        </w:rPr>
        <w:t>(</w:t>
      </w:r>
      <w:hyperlink w:anchor="_ENREF_46" w:tooltip="Magnusson Hanson, 2017 #42" w:history="1">
        <w:r w:rsidR="006B1724">
          <w:rPr>
            <w:rFonts w:ascii="Garamond" w:hAnsi="Garamond"/>
            <w:noProof/>
          </w:rPr>
          <w:t>Magnusson Hanson et al., 2017</w:t>
        </w:r>
      </w:hyperlink>
      <w:r w:rsidR="00C07932">
        <w:rPr>
          <w:rFonts w:ascii="Garamond" w:hAnsi="Garamond"/>
          <w:noProof/>
        </w:rPr>
        <w:t>)</w:t>
      </w:r>
      <w:r w:rsidR="000016FF" w:rsidRPr="00515E78">
        <w:rPr>
          <w:rFonts w:ascii="Garamond" w:hAnsi="Garamond"/>
        </w:rPr>
        <w:fldChar w:fldCharType="end"/>
      </w:r>
      <w:r w:rsidR="000016FF" w:rsidRPr="00515E78">
        <w:rPr>
          <w:rFonts w:ascii="Garamond" w:hAnsi="Garamond"/>
        </w:rPr>
        <w:t>.</w:t>
      </w:r>
      <w:r w:rsidR="006E450D">
        <w:rPr>
          <w:rFonts w:ascii="Garamond" w:hAnsi="Garamond"/>
        </w:rPr>
        <w:t xml:space="preserve"> In addition, BMI, triglycerides, glucose, creatinine, gamma GT, white blood cell count and plate</w:t>
      </w:r>
      <w:r w:rsidR="00DA33F3">
        <w:rPr>
          <w:rFonts w:ascii="Garamond" w:hAnsi="Garamond"/>
        </w:rPr>
        <w:t xml:space="preserve">let values </w:t>
      </w:r>
      <w:r w:rsidR="00A44522">
        <w:rPr>
          <w:rFonts w:ascii="Garamond" w:hAnsi="Garamond"/>
        </w:rPr>
        <w:t xml:space="preserve">are </w:t>
      </w:r>
      <w:r w:rsidR="00DA33F3">
        <w:rPr>
          <w:rFonts w:ascii="Garamond" w:hAnsi="Garamond"/>
        </w:rPr>
        <w:t xml:space="preserve">log-transformed, while </w:t>
      </w:r>
      <w:r w:rsidR="00D41C22">
        <w:rPr>
          <w:rFonts w:ascii="Garamond" w:hAnsi="Garamond"/>
        </w:rPr>
        <w:t>hematocrit</w:t>
      </w:r>
      <w:r w:rsidR="007126DC">
        <w:rPr>
          <w:rFonts w:ascii="Garamond" w:hAnsi="Garamond"/>
        </w:rPr>
        <w:t xml:space="preserve"> </w:t>
      </w:r>
      <w:r w:rsidR="00DA33F3">
        <w:rPr>
          <w:rFonts w:ascii="Garamond" w:hAnsi="Garamond"/>
        </w:rPr>
        <w:t xml:space="preserve">values </w:t>
      </w:r>
      <w:r w:rsidR="00A44522">
        <w:rPr>
          <w:rFonts w:ascii="Garamond" w:hAnsi="Garamond"/>
        </w:rPr>
        <w:t xml:space="preserve">are </w:t>
      </w:r>
      <w:r w:rsidR="007126DC">
        <w:rPr>
          <w:rFonts w:ascii="Garamond" w:hAnsi="Garamond"/>
        </w:rPr>
        <w:t xml:space="preserve">squared </w:t>
      </w:r>
      <w:r w:rsidR="006E450D">
        <w:rPr>
          <w:rFonts w:ascii="Garamond" w:hAnsi="Garamond"/>
        </w:rPr>
        <w:t xml:space="preserve">to decrease skewness. </w:t>
      </w:r>
      <w:r w:rsidR="007126DC">
        <w:rPr>
          <w:rFonts w:ascii="Garamond" w:hAnsi="Garamond"/>
        </w:rPr>
        <w:t xml:space="preserve">The score for each biomarker </w:t>
      </w:r>
      <w:r w:rsidR="00A44522">
        <w:rPr>
          <w:rFonts w:ascii="Garamond" w:hAnsi="Garamond"/>
        </w:rPr>
        <w:t xml:space="preserve">is </w:t>
      </w:r>
      <w:r w:rsidR="007126DC">
        <w:rPr>
          <w:rFonts w:ascii="Garamond" w:hAnsi="Garamond"/>
        </w:rPr>
        <w:t xml:space="preserve">standardized to allow comparisons across measures. </w:t>
      </w:r>
    </w:p>
    <w:p w14:paraId="5E2676FA" w14:textId="3CCF5954" w:rsidR="002A4037" w:rsidRDefault="002A4037" w:rsidP="00286DD7">
      <w:pPr>
        <w:spacing w:line="480" w:lineRule="auto"/>
        <w:contextualSpacing/>
        <w:jc w:val="both"/>
        <w:rPr>
          <w:rFonts w:ascii="Garamond" w:hAnsi="Garamond"/>
        </w:rPr>
      </w:pPr>
    </w:p>
    <w:p w14:paraId="5DE2F974" w14:textId="6252DA24" w:rsidR="00D4344D" w:rsidRPr="00515E78" w:rsidRDefault="00F67209" w:rsidP="00C278B9">
      <w:pPr>
        <w:spacing w:line="480" w:lineRule="auto"/>
        <w:contextualSpacing/>
        <w:outlineLvl w:val="0"/>
        <w:rPr>
          <w:rFonts w:ascii="Garamond" w:hAnsi="Garamond"/>
          <w:i/>
        </w:rPr>
      </w:pPr>
      <w:r>
        <w:rPr>
          <w:rFonts w:ascii="Garamond" w:hAnsi="Garamond"/>
          <w:i/>
        </w:rPr>
        <w:t>Socio</w:t>
      </w:r>
      <w:r w:rsidR="00D41C22">
        <w:rPr>
          <w:rFonts w:ascii="Garamond" w:hAnsi="Garamond"/>
          <w:i/>
        </w:rPr>
        <w:t>-</w:t>
      </w:r>
      <w:r>
        <w:rPr>
          <w:rFonts w:ascii="Garamond" w:hAnsi="Garamond"/>
          <w:i/>
        </w:rPr>
        <w:t>demographic characteristics</w:t>
      </w:r>
    </w:p>
    <w:p w14:paraId="11F8B1A0" w14:textId="3219D97E" w:rsidR="00CB7580" w:rsidRDefault="006A5196" w:rsidP="00F07C3F">
      <w:pPr>
        <w:spacing w:line="480" w:lineRule="auto"/>
        <w:ind w:firstLine="720"/>
        <w:contextualSpacing/>
        <w:jc w:val="both"/>
        <w:rPr>
          <w:rFonts w:ascii="Garamond" w:hAnsi="Garamond"/>
        </w:rPr>
      </w:pPr>
      <w:r>
        <w:rPr>
          <w:rFonts w:ascii="Garamond" w:hAnsi="Garamond"/>
        </w:rPr>
        <w:t>S</w:t>
      </w:r>
      <w:r w:rsidR="00F67209">
        <w:rPr>
          <w:rFonts w:ascii="Garamond" w:hAnsi="Garamond"/>
        </w:rPr>
        <w:t>ocio</w:t>
      </w:r>
      <w:r w:rsidR="00D41C22">
        <w:rPr>
          <w:rFonts w:ascii="Garamond" w:hAnsi="Garamond"/>
        </w:rPr>
        <w:t>-</w:t>
      </w:r>
      <w:r w:rsidR="00F67209">
        <w:rPr>
          <w:rFonts w:ascii="Garamond" w:hAnsi="Garamond"/>
        </w:rPr>
        <w:t>demographic information</w:t>
      </w:r>
      <w:r w:rsidR="004B33D0" w:rsidRPr="00515E78">
        <w:rPr>
          <w:rFonts w:ascii="Garamond" w:hAnsi="Garamond"/>
        </w:rPr>
        <w:t xml:space="preserve"> </w:t>
      </w:r>
      <w:r>
        <w:rPr>
          <w:rFonts w:ascii="Garamond" w:hAnsi="Garamond"/>
        </w:rPr>
        <w:t xml:space="preserve">comes </w:t>
      </w:r>
      <w:r w:rsidR="005037ED" w:rsidRPr="00515E78">
        <w:rPr>
          <w:rFonts w:ascii="Garamond" w:hAnsi="Garamond"/>
        </w:rPr>
        <w:t xml:space="preserve">from self-administered questionnaires. Educational attainment </w:t>
      </w:r>
      <w:r>
        <w:rPr>
          <w:rFonts w:ascii="Garamond" w:hAnsi="Garamond"/>
        </w:rPr>
        <w:t>is</w:t>
      </w:r>
      <w:r w:rsidR="005037ED" w:rsidRPr="00515E78">
        <w:rPr>
          <w:rFonts w:ascii="Garamond" w:hAnsi="Garamond"/>
        </w:rPr>
        <w:t xml:space="preserve"> </w:t>
      </w:r>
      <w:r w:rsidR="00317B67" w:rsidRPr="00515E78">
        <w:rPr>
          <w:rFonts w:ascii="Garamond" w:hAnsi="Garamond"/>
        </w:rPr>
        <w:t>categorized</w:t>
      </w:r>
      <w:r w:rsidR="005037ED" w:rsidRPr="00515E78">
        <w:rPr>
          <w:rFonts w:ascii="Garamond" w:hAnsi="Garamond"/>
        </w:rPr>
        <w:t xml:space="preserve"> as primary, secondary and t</w:t>
      </w:r>
      <w:r>
        <w:rPr>
          <w:rFonts w:ascii="Garamond" w:hAnsi="Garamond"/>
        </w:rPr>
        <w:t>ertiary education. We classify</w:t>
      </w:r>
      <w:r w:rsidR="005037ED" w:rsidRPr="00515E78">
        <w:rPr>
          <w:rFonts w:ascii="Garamond" w:hAnsi="Garamond"/>
        </w:rPr>
        <w:t xml:space="preserve"> </w:t>
      </w:r>
      <w:r w:rsidR="00F67209">
        <w:rPr>
          <w:rFonts w:ascii="Garamond" w:hAnsi="Garamond"/>
        </w:rPr>
        <w:t>respondent</w:t>
      </w:r>
      <w:r w:rsidR="00D41C22">
        <w:rPr>
          <w:rFonts w:ascii="Garamond" w:hAnsi="Garamond"/>
        </w:rPr>
        <w:t>s’</w:t>
      </w:r>
      <w:r w:rsidR="00F67209">
        <w:rPr>
          <w:rFonts w:ascii="Garamond" w:hAnsi="Garamond"/>
        </w:rPr>
        <w:t xml:space="preserve"> and </w:t>
      </w:r>
      <w:r w:rsidR="00055E5F">
        <w:rPr>
          <w:rFonts w:ascii="Garamond" w:hAnsi="Garamond"/>
        </w:rPr>
        <w:t xml:space="preserve">parental </w:t>
      </w:r>
      <w:r w:rsidR="0018566A">
        <w:rPr>
          <w:rFonts w:ascii="Garamond" w:hAnsi="Garamond"/>
        </w:rPr>
        <w:t>social class</w:t>
      </w:r>
      <w:r w:rsidR="005037ED" w:rsidRPr="00515E78">
        <w:rPr>
          <w:rFonts w:ascii="Garamond" w:hAnsi="Garamond"/>
        </w:rPr>
        <w:t xml:space="preserve"> as </w:t>
      </w:r>
      <w:r w:rsidR="000F5698">
        <w:rPr>
          <w:rFonts w:ascii="Garamond" w:hAnsi="Garamond"/>
        </w:rPr>
        <w:t>low</w:t>
      </w:r>
      <w:r w:rsidR="007126DC" w:rsidRPr="00515E78">
        <w:rPr>
          <w:rFonts w:ascii="Garamond" w:hAnsi="Garamond"/>
        </w:rPr>
        <w:t xml:space="preserve"> </w:t>
      </w:r>
      <w:r w:rsidR="005037ED" w:rsidRPr="00515E78">
        <w:rPr>
          <w:rFonts w:ascii="Garamond" w:hAnsi="Garamond"/>
        </w:rPr>
        <w:t xml:space="preserve">(e.g. manual worker, child minder, office employee), intermediate (e.g. teachers, nurses, technicians) and </w:t>
      </w:r>
      <w:r w:rsidR="000F5698">
        <w:rPr>
          <w:rFonts w:ascii="Garamond" w:hAnsi="Garamond"/>
        </w:rPr>
        <w:t xml:space="preserve">high </w:t>
      </w:r>
      <w:r w:rsidR="005037ED" w:rsidRPr="00515E78">
        <w:rPr>
          <w:rFonts w:ascii="Garamond" w:hAnsi="Garamond"/>
        </w:rPr>
        <w:t xml:space="preserve">(e.g. executives, engineers, physicians). </w:t>
      </w:r>
      <w:r w:rsidR="00317B67">
        <w:rPr>
          <w:rFonts w:ascii="Garamond" w:hAnsi="Garamond"/>
        </w:rPr>
        <w:t>Marital status</w:t>
      </w:r>
      <w:r w:rsidR="00AF16A1">
        <w:rPr>
          <w:rFonts w:ascii="Garamond" w:hAnsi="Garamond"/>
        </w:rPr>
        <w:t xml:space="preserve"> </w:t>
      </w:r>
      <w:r>
        <w:rPr>
          <w:rFonts w:ascii="Garamond" w:hAnsi="Garamond"/>
        </w:rPr>
        <w:t>is</w:t>
      </w:r>
      <w:r w:rsidR="00AF16A1">
        <w:rPr>
          <w:rFonts w:ascii="Garamond" w:hAnsi="Garamond"/>
        </w:rPr>
        <w:t xml:space="preserve"> defined as married, in a civil partnership, single, separated, divorced or widowed. Country of origin </w:t>
      </w:r>
      <w:r>
        <w:rPr>
          <w:rFonts w:ascii="Garamond" w:hAnsi="Garamond"/>
        </w:rPr>
        <w:t>i</w:t>
      </w:r>
      <w:r w:rsidR="00AF16A1">
        <w:rPr>
          <w:rFonts w:ascii="Garamond" w:hAnsi="Garamond"/>
        </w:rPr>
        <w:t>s categorized as France</w:t>
      </w:r>
      <w:r w:rsidR="004B6CC7">
        <w:rPr>
          <w:rFonts w:ascii="Garamond" w:hAnsi="Garamond"/>
        </w:rPr>
        <w:t xml:space="preserve"> (including French oversea territories), </w:t>
      </w:r>
      <w:r w:rsidR="00136929">
        <w:rPr>
          <w:rFonts w:ascii="Garamond" w:hAnsi="Garamond"/>
        </w:rPr>
        <w:t xml:space="preserve">elsewhere in </w:t>
      </w:r>
      <w:r w:rsidR="004B6CC7">
        <w:rPr>
          <w:rFonts w:ascii="Garamond" w:hAnsi="Garamond"/>
        </w:rPr>
        <w:t xml:space="preserve">Europe, Northern Africa </w:t>
      </w:r>
      <w:r w:rsidR="00245885">
        <w:rPr>
          <w:rFonts w:ascii="Garamond" w:hAnsi="Garamond"/>
        </w:rPr>
        <w:t xml:space="preserve">and other. </w:t>
      </w:r>
      <w:r w:rsidR="00CB7580">
        <w:rPr>
          <w:rFonts w:ascii="Garamond" w:hAnsi="Garamond"/>
        </w:rPr>
        <w:t>Monthly h</w:t>
      </w:r>
      <w:r w:rsidR="00DB04D3">
        <w:rPr>
          <w:rFonts w:ascii="Garamond" w:hAnsi="Garamond"/>
        </w:rPr>
        <w:t xml:space="preserve">ousehold </w:t>
      </w:r>
      <w:r w:rsidR="00DA1F6F">
        <w:rPr>
          <w:rFonts w:ascii="Garamond" w:hAnsi="Garamond"/>
        </w:rPr>
        <w:t xml:space="preserve">gross </w:t>
      </w:r>
      <w:r w:rsidR="00DB04D3">
        <w:rPr>
          <w:rFonts w:ascii="Garamond" w:hAnsi="Garamond"/>
        </w:rPr>
        <w:t xml:space="preserve">income </w:t>
      </w:r>
      <w:r>
        <w:rPr>
          <w:rFonts w:ascii="Garamond" w:hAnsi="Garamond"/>
        </w:rPr>
        <w:t>i</w:t>
      </w:r>
      <w:r w:rsidR="00DB04D3">
        <w:rPr>
          <w:rFonts w:ascii="Garamond" w:hAnsi="Garamond"/>
        </w:rPr>
        <w:t xml:space="preserve">s recorded as </w:t>
      </w:r>
      <w:r w:rsidR="00CB7580">
        <w:rPr>
          <w:rFonts w:ascii="Garamond" w:hAnsi="Garamond"/>
        </w:rPr>
        <w:t>less than 4</w:t>
      </w:r>
      <w:r w:rsidR="00DA1F6F">
        <w:rPr>
          <w:rFonts w:ascii="Garamond" w:hAnsi="Garamond"/>
        </w:rPr>
        <w:t>50 euros, 45</w:t>
      </w:r>
      <w:r w:rsidR="00CB7580">
        <w:rPr>
          <w:rFonts w:ascii="Garamond" w:hAnsi="Garamond"/>
        </w:rPr>
        <w:t>0 to less than 1000 euros, 1000 to less than 1500 euros, 15000 to less than 2100 euros, 2100 to less than 2800 euros, 2800 to less than 4200 euros and 4200 euros or more.</w:t>
      </w:r>
    </w:p>
    <w:p w14:paraId="65471A51" w14:textId="3A2D1278" w:rsidR="005037ED" w:rsidRPr="0067582D" w:rsidRDefault="005037ED" w:rsidP="00F07C3F">
      <w:pPr>
        <w:spacing w:line="480" w:lineRule="auto"/>
        <w:ind w:firstLine="720"/>
        <w:contextualSpacing/>
        <w:jc w:val="both"/>
        <w:rPr>
          <w:rFonts w:ascii="Garamond" w:hAnsi="Garamond"/>
        </w:rPr>
      </w:pPr>
      <w:proofErr w:type="spellStart"/>
      <w:r w:rsidRPr="0067582D">
        <w:rPr>
          <w:rFonts w:ascii="Garamond" w:hAnsi="Garamond"/>
        </w:rPr>
        <w:t>Constances</w:t>
      </w:r>
      <w:proofErr w:type="spellEnd"/>
      <w:r w:rsidRPr="0067582D">
        <w:rPr>
          <w:rFonts w:ascii="Garamond" w:hAnsi="Garamond"/>
        </w:rPr>
        <w:t xml:space="preserve"> records </w:t>
      </w:r>
      <w:r w:rsidR="008E5512" w:rsidRPr="0067582D">
        <w:rPr>
          <w:rFonts w:ascii="Garamond" w:hAnsi="Garamond"/>
        </w:rPr>
        <w:t>the</w:t>
      </w:r>
      <w:r w:rsidRPr="0067582D">
        <w:rPr>
          <w:rFonts w:ascii="Garamond" w:hAnsi="Garamond"/>
        </w:rPr>
        <w:t xml:space="preserve"> </w:t>
      </w:r>
      <w:r w:rsidR="008E5512" w:rsidRPr="0067582D">
        <w:rPr>
          <w:rFonts w:ascii="Garamond" w:hAnsi="Garamond"/>
        </w:rPr>
        <w:t xml:space="preserve">highest </w:t>
      </w:r>
      <w:r w:rsidR="0031394E">
        <w:rPr>
          <w:rFonts w:ascii="Garamond" w:hAnsi="Garamond"/>
        </w:rPr>
        <w:t xml:space="preserve">educational </w:t>
      </w:r>
      <w:r w:rsidR="008E5512" w:rsidRPr="0067582D">
        <w:rPr>
          <w:rFonts w:ascii="Garamond" w:hAnsi="Garamond"/>
        </w:rPr>
        <w:t>quali</w:t>
      </w:r>
      <w:r w:rsidR="000D2A8D">
        <w:rPr>
          <w:rFonts w:ascii="Garamond" w:hAnsi="Garamond"/>
        </w:rPr>
        <w:t>fication</w:t>
      </w:r>
      <w:r w:rsidR="0031394E">
        <w:rPr>
          <w:rFonts w:ascii="Garamond" w:hAnsi="Garamond"/>
        </w:rPr>
        <w:t>, but not the number of years of schooling</w:t>
      </w:r>
      <w:r w:rsidR="008E5512" w:rsidRPr="0067582D">
        <w:rPr>
          <w:rFonts w:ascii="Garamond" w:hAnsi="Garamond"/>
        </w:rPr>
        <w:t xml:space="preserve">. </w:t>
      </w:r>
      <w:r w:rsidR="0031394E">
        <w:rPr>
          <w:rFonts w:ascii="Garamond" w:hAnsi="Garamond"/>
        </w:rPr>
        <w:t>This is problematic because t</w:t>
      </w:r>
      <w:r w:rsidR="008E5512" w:rsidRPr="0067582D">
        <w:rPr>
          <w:rFonts w:ascii="Garamond" w:hAnsi="Garamond"/>
        </w:rPr>
        <w:t xml:space="preserve">he </w:t>
      </w:r>
      <w:proofErr w:type="spellStart"/>
      <w:r w:rsidR="008E5512" w:rsidRPr="0067582D">
        <w:rPr>
          <w:rFonts w:ascii="Garamond" w:hAnsi="Garamond"/>
        </w:rPr>
        <w:t>Berthoin</w:t>
      </w:r>
      <w:proofErr w:type="spellEnd"/>
      <w:r w:rsidR="008E5512" w:rsidRPr="0067582D">
        <w:rPr>
          <w:rFonts w:ascii="Garamond" w:hAnsi="Garamond"/>
        </w:rPr>
        <w:t xml:space="preserve"> reform increased </w:t>
      </w:r>
      <w:r w:rsidR="00F265CC">
        <w:rPr>
          <w:rFonts w:ascii="Garamond" w:hAnsi="Garamond"/>
        </w:rPr>
        <w:t>the number of years of schooling</w:t>
      </w:r>
      <w:r w:rsidR="008E5512" w:rsidRPr="0067582D">
        <w:rPr>
          <w:rFonts w:ascii="Garamond" w:hAnsi="Garamond"/>
        </w:rPr>
        <w:t xml:space="preserve">, but had </w:t>
      </w:r>
      <w:r w:rsidR="000F5698">
        <w:rPr>
          <w:rFonts w:ascii="Garamond" w:hAnsi="Garamond"/>
        </w:rPr>
        <w:t>no</w:t>
      </w:r>
      <w:r w:rsidR="008E5512" w:rsidRPr="0067582D">
        <w:rPr>
          <w:rFonts w:ascii="Garamond" w:hAnsi="Garamond"/>
        </w:rPr>
        <w:t xml:space="preserve"> </w:t>
      </w:r>
      <w:r w:rsidR="000D2A8D">
        <w:rPr>
          <w:rFonts w:ascii="Garamond" w:hAnsi="Garamond"/>
        </w:rPr>
        <w:t xml:space="preserve">effect </w:t>
      </w:r>
      <w:r w:rsidR="000207BA" w:rsidRPr="0067582D">
        <w:rPr>
          <w:rFonts w:ascii="Garamond" w:hAnsi="Garamond"/>
        </w:rPr>
        <w:t>on qualification attainment</w:t>
      </w:r>
      <w:r w:rsidR="000F5698">
        <w:rPr>
          <w:rFonts w:ascii="Garamond" w:hAnsi="Garamond"/>
        </w:rPr>
        <w:t xml:space="preserve"> </w:t>
      </w:r>
      <w:r w:rsidR="000F5698">
        <w:rPr>
          <w:rFonts w:ascii="Garamond" w:hAnsi="Garamond"/>
        </w:rPr>
        <w:fldChar w:fldCharType="begin"/>
      </w:r>
      <w:r w:rsidR="00CC2B97">
        <w:rPr>
          <w:rFonts w:ascii="Garamond" w:hAnsi="Garamond"/>
        </w:rPr>
        <w:instrText xml:space="preserve"> ADDIN EN.CITE &lt;EndNote&gt;&lt;Cite&gt;&lt;Author&gt;Grenet&lt;/Author&gt;&lt;Year&gt;2013&lt;/Year&gt;&lt;RecNum&gt;33&lt;/RecNum&gt;&lt;DisplayText&gt;(Grenet, 2013)&lt;/DisplayText&gt;&lt;record&gt;&lt;rec-number&gt;33&lt;/rec-number&gt;&lt;foreign-keys&gt;&lt;key app="EN" db-id="p5pavdvzwwdesueaz0rxssxmtd2ext2dvwpd" timestamp="1542656736"&gt;33&lt;/key&gt;&lt;/foreign-keys&gt;&lt;ref-type name="Journal Article"&gt;17&lt;/ref-type&gt;&lt;contributors&gt;&lt;authors&gt;&lt;author&gt;Grenet, J.&lt;/author&gt;&lt;/authors&gt;&lt;/contributors&gt;&lt;titles&gt;&lt;title&gt;Is extending compulsory schooling alone enough to raise earnings? Evidence from French and British compulsory schooling laws&lt;/title&gt;&lt;secondary-title&gt;Scandinavian Journal of Economics&lt;/secondary-title&gt;&lt;/titles&gt;&lt;periodical&gt;&lt;full-title&gt;Scandinavian Journal of Economics&lt;/full-title&gt;&lt;/periodical&gt;&lt;pages&gt;176-210&lt;/pages&gt;&lt;volume&gt;115&lt;/volume&gt;&lt;number&gt;1&lt;/number&gt;&lt;dates&gt;&lt;year&gt;2013&lt;/year&gt;&lt;/dates&gt;&lt;urls&gt;&lt;/urls&gt;&lt;/record&gt;&lt;/Cite&gt;&lt;/EndNote&gt;</w:instrText>
      </w:r>
      <w:r w:rsidR="000F5698">
        <w:rPr>
          <w:rFonts w:ascii="Garamond" w:hAnsi="Garamond"/>
        </w:rPr>
        <w:fldChar w:fldCharType="separate"/>
      </w:r>
      <w:r w:rsidR="00C34B30">
        <w:rPr>
          <w:rFonts w:ascii="Garamond" w:hAnsi="Garamond"/>
          <w:noProof/>
        </w:rPr>
        <w:t>(</w:t>
      </w:r>
      <w:hyperlink w:anchor="_ENREF_28" w:tooltip="Grenet, 2013 #33" w:history="1">
        <w:r w:rsidR="006B1724">
          <w:rPr>
            <w:rFonts w:ascii="Garamond" w:hAnsi="Garamond"/>
            <w:noProof/>
          </w:rPr>
          <w:t>Grenet, 2013</w:t>
        </w:r>
      </w:hyperlink>
      <w:r w:rsidR="00C34B30">
        <w:rPr>
          <w:rFonts w:ascii="Garamond" w:hAnsi="Garamond"/>
          <w:noProof/>
        </w:rPr>
        <w:t>)</w:t>
      </w:r>
      <w:r w:rsidR="000F5698">
        <w:rPr>
          <w:rFonts w:ascii="Garamond" w:hAnsi="Garamond"/>
        </w:rPr>
        <w:fldChar w:fldCharType="end"/>
      </w:r>
      <w:r w:rsidR="000207BA" w:rsidRPr="0067582D">
        <w:rPr>
          <w:rFonts w:ascii="Garamond" w:hAnsi="Garamond"/>
        </w:rPr>
        <w:t xml:space="preserve">. To </w:t>
      </w:r>
      <w:r w:rsidR="009E5D8E">
        <w:rPr>
          <w:rFonts w:ascii="Garamond" w:hAnsi="Garamond"/>
        </w:rPr>
        <w:t>document</w:t>
      </w:r>
      <w:r w:rsidR="000207BA" w:rsidRPr="0067582D">
        <w:rPr>
          <w:rFonts w:ascii="Garamond" w:hAnsi="Garamond"/>
        </w:rPr>
        <w:t xml:space="preserve"> the </w:t>
      </w:r>
      <w:r w:rsidR="00F265CC">
        <w:rPr>
          <w:rFonts w:ascii="Garamond" w:hAnsi="Garamond"/>
        </w:rPr>
        <w:t>effect of the reform on years of schooling</w:t>
      </w:r>
      <w:r w:rsidR="000207BA" w:rsidRPr="0067582D">
        <w:rPr>
          <w:rFonts w:ascii="Garamond" w:hAnsi="Garamond"/>
        </w:rPr>
        <w:t>, we</w:t>
      </w:r>
      <w:r w:rsidR="0031394E">
        <w:rPr>
          <w:rFonts w:ascii="Garamond" w:hAnsi="Garamond"/>
        </w:rPr>
        <w:t xml:space="preserve"> therefore</w:t>
      </w:r>
      <w:r w:rsidR="000207BA" w:rsidRPr="0067582D">
        <w:rPr>
          <w:rFonts w:ascii="Garamond" w:hAnsi="Garamond"/>
        </w:rPr>
        <w:t xml:space="preserve"> use data from the French Labor Force Survey (LFS) collected between 2003 and 2012. </w:t>
      </w:r>
      <w:r w:rsidR="00481D18" w:rsidRPr="0067582D">
        <w:rPr>
          <w:rFonts w:ascii="Garamond" w:hAnsi="Garamond"/>
        </w:rPr>
        <w:t>The French LFS is a household survey representative of the French population living in private households</w:t>
      </w:r>
      <w:r w:rsidR="000207BA" w:rsidRPr="0067582D">
        <w:rPr>
          <w:rFonts w:ascii="Garamond" w:hAnsi="Garamond"/>
        </w:rPr>
        <w:t xml:space="preserve"> conducted by the French National Statistical Institute, the INSEE</w:t>
      </w:r>
      <w:r w:rsidR="00481D18" w:rsidRPr="0067582D">
        <w:rPr>
          <w:rFonts w:ascii="Garamond" w:hAnsi="Garamond"/>
        </w:rPr>
        <w:t xml:space="preserve">. </w:t>
      </w:r>
      <w:r w:rsidRPr="0067582D">
        <w:rPr>
          <w:rFonts w:ascii="Garamond" w:hAnsi="Garamond"/>
        </w:rPr>
        <w:t>We use data on the age at which respondents left fu</w:t>
      </w:r>
      <w:r w:rsidR="004A764F" w:rsidRPr="0067582D">
        <w:rPr>
          <w:rFonts w:ascii="Garamond" w:hAnsi="Garamond"/>
        </w:rPr>
        <w:t xml:space="preserve">ll-time education </w:t>
      </w:r>
      <w:r w:rsidRPr="0067582D">
        <w:rPr>
          <w:rFonts w:ascii="Garamond" w:hAnsi="Garamond"/>
        </w:rPr>
        <w:t>to document the impact of the reform on school leaving age</w:t>
      </w:r>
      <w:r w:rsidR="00F265CC">
        <w:rPr>
          <w:rFonts w:ascii="Garamond" w:hAnsi="Garamond"/>
        </w:rPr>
        <w:t xml:space="preserve"> and years of completed schooling</w:t>
      </w:r>
      <w:r w:rsidRPr="0067582D">
        <w:rPr>
          <w:rFonts w:ascii="Garamond" w:hAnsi="Garamond"/>
        </w:rPr>
        <w:t xml:space="preserve">. </w:t>
      </w:r>
      <w:r w:rsidR="000207BA" w:rsidRPr="0067582D">
        <w:rPr>
          <w:rFonts w:ascii="Garamond" w:hAnsi="Garamond"/>
        </w:rPr>
        <w:t xml:space="preserve"> </w:t>
      </w:r>
      <w:r w:rsidR="00481D18" w:rsidRPr="0067582D">
        <w:rPr>
          <w:rFonts w:ascii="Garamond" w:hAnsi="Garamond"/>
        </w:rPr>
        <w:t>We include in our analytical sample respondents born within three years of the reform</w:t>
      </w:r>
      <w:r w:rsidR="000207BA" w:rsidRPr="0067582D">
        <w:rPr>
          <w:rFonts w:ascii="Garamond" w:hAnsi="Garamond"/>
        </w:rPr>
        <w:t xml:space="preserve">. </w:t>
      </w:r>
      <w:r w:rsidR="00F265CC">
        <w:rPr>
          <w:rFonts w:ascii="Garamond" w:hAnsi="Garamond"/>
        </w:rPr>
        <w:t>W</w:t>
      </w:r>
      <w:r w:rsidR="000207BA" w:rsidRPr="0067582D">
        <w:rPr>
          <w:rFonts w:ascii="Garamond" w:hAnsi="Garamond"/>
        </w:rPr>
        <w:t xml:space="preserve">e </w:t>
      </w:r>
      <w:r w:rsidR="00F265CC">
        <w:rPr>
          <w:rFonts w:ascii="Garamond" w:hAnsi="Garamond"/>
        </w:rPr>
        <w:t xml:space="preserve">focus </w:t>
      </w:r>
      <w:r w:rsidR="000207BA" w:rsidRPr="0067582D">
        <w:rPr>
          <w:rFonts w:ascii="Garamond" w:hAnsi="Garamond"/>
        </w:rPr>
        <w:t xml:space="preserve">only </w:t>
      </w:r>
      <w:r w:rsidR="00F265CC">
        <w:rPr>
          <w:rFonts w:ascii="Garamond" w:hAnsi="Garamond"/>
        </w:rPr>
        <w:lastRenderedPageBreak/>
        <w:t xml:space="preserve">on </w:t>
      </w:r>
      <w:r w:rsidR="000207BA" w:rsidRPr="0067582D">
        <w:rPr>
          <w:rFonts w:ascii="Garamond" w:hAnsi="Garamond"/>
        </w:rPr>
        <w:t>data from the first interview, so that we only have one observation per individual.  Our analytical sample</w:t>
      </w:r>
      <w:r w:rsidR="004C735F" w:rsidRPr="0067582D">
        <w:rPr>
          <w:rFonts w:ascii="Garamond" w:hAnsi="Garamond"/>
        </w:rPr>
        <w:t xml:space="preserve"> </w:t>
      </w:r>
      <w:r w:rsidR="000F5698">
        <w:rPr>
          <w:rFonts w:ascii="Garamond" w:hAnsi="Garamond"/>
        </w:rPr>
        <w:t xml:space="preserve">to look at the effect of the reform on school leaving age </w:t>
      </w:r>
      <w:r w:rsidR="00E5417D">
        <w:rPr>
          <w:rFonts w:ascii="Garamond" w:hAnsi="Garamond"/>
        </w:rPr>
        <w:t xml:space="preserve">using the French LFS </w:t>
      </w:r>
      <w:r w:rsidR="00481D18" w:rsidRPr="0067582D">
        <w:rPr>
          <w:rFonts w:ascii="Garamond" w:hAnsi="Garamond"/>
        </w:rPr>
        <w:t>include</w:t>
      </w:r>
      <w:r w:rsidR="00E5417D">
        <w:rPr>
          <w:rFonts w:ascii="Garamond" w:hAnsi="Garamond"/>
        </w:rPr>
        <w:t>s</w:t>
      </w:r>
      <w:r w:rsidR="00481D18" w:rsidRPr="0067582D">
        <w:rPr>
          <w:rFonts w:ascii="Garamond" w:hAnsi="Garamond"/>
        </w:rPr>
        <w:t xml:space="preserve"> 72,133 individuals</w:t>
      </w:r>
      <w:r w:rsidR="006A5196">
        <w:rPr>
          <w:rFonts w:ascii="Garamond" w:hAnsi="Garamond"/>
        </w:rPr>
        <w:t xml:space="preserve"> born up to 48 months before or after the reform</w:t>
      </w:r>
      <w:r w:rsidR="00481D18" w:rsidRPr="0067582D">
        <w:rPr>
          <w:rFonts w:ascii="Garamond" w:hAnsi="Garamond"/>
        </w:rPr>
        <w:t>.</w:t>
      </w:r>
    </w:p>
    <w:p w14:paraId="273C7BC1" w14:textId="77777777" w:rsidR="007126DC" w:rsidRPr="00515E78" w:rsidRDefault="007126DC" w:rsidP="00286DD7">
      <w:pPr>
        <w:spacing w:line="480" w:lineRule="auto"/>
        <w:contextualSpacing/>
        <w:jc w:val="both"/>
        <w:rPr>
          <w:rFonts w:ascii="Garamond" w:hAnsi="Garamond"/>
        </w:rPr>
      </w:pPr>
    </w:p>
    <w:p w14:paraId="2EE615C0" w14:textId="33C432E4" w:rsidR="00D4344D" w:rsidRPr="00515E78" w:rsidRDefault="00D4344D" w:rsidP="00C278B9">
      <w:pPr>
        <w:spacing w:line="480" w:lineRule="auto"/>
        <w:contextualSpacing/>
        <w:outlineLvl w:val="0"/>
        <w:rPr>
          <w:rFonts w:ascii="Garamond" w:hAnsi="Garamond"/>
          <w:i/>
        </w:rPr>
      </w:pPr>
      <w:r w:rsidRPr="00515E78">
        <w:rPr>
          <w:rFonts w:ascii="Garamond" w:hAnsi="Garamond"/>
          <w:i/>
        </w:rPr>
        <w:t xml:space="preserve">Study design </w:t>
      </w:r>
    </w:p>
    <w:p w14:paraId="44523CBC" w14:textId="0A13559F" w:rsidR="00AE2399" w:rsidRDefault="007C29C4" w:rsidP="00CC2B97">
      <w:pPr>
        <w:spacing w:line="480" w:lineRule="auto"/>
        <w:ind w:firstLine="708"/>
        <w:contextualSpacing/>
        <w:jc w:val="both"/>
        <w:rPr>
          <w:rFonts w:ascii="Garamond" w:hAnsi="Garamond"/>
        </w:rPr>
      </w:pPr>
      <w:r>
        <w:rPr>
          <w:rFonts w:ascii="Garamond" w:hAnsi="Garamond"/>
        </w:rPr>
        <w:t>W</w:t>
      </w:r>
      <w:r w:rsidR="008B4324">
        <w:rPr>
          <w:rFonts w:ascii="Garamond" w:hAnsi="Garamond"/>
        </w:rPr>
        <w:t xml:space="preserve">e analyze the effect of the </w:t>
      </w:r>
      <w:proofErr w:type="spellStart"/>
      <w:r w:rsidR="008B4324">
        <w:rPr>
          <w:rFonts w:ascii="Garamond" w:hAnsi="Garamond"/>
        </w:rPr>
        <w:t>Berthoin</w:t>
      </w:r>
      <w:proofErr w:type="spellEnd"/>
      <w:r w:rsidR="008B4324">
        <w:rPr>
          <w:rFonts w:ascii="Garamond" w:hAnsi="Garamond"/>
        </w:rPr>
        <w:t xml:space="preserve"> reform on </w:t>
      </w:r>
      <w:r w:rsidR="0056249B">
        <w:rPr>
          <w:rFonts w:ascii="Garamond" w:hAnsi="Garamond"/>
        </w:rPr>
        <w:t>each biomarker</w:t>
      </w:r>
      <w:r w:rsidR="00D653D9">
        <w:rPr>
          <w:rFonts w:ascii="Garamond" w:hAnsi="Garamond"/>
        </w:rPr>
        <w:t xml:space="preserve"> using a </w:t>
      </w:r>
      <w:r w:rsidR="00D653D9" w:rsidRPr="00515E78">
        <w:rPr>
          <w:rFonts w:ascii="Garamond" w:hAnsi="Garamond"/>
        </w:rPr>
        <w:t xml:space="preserve">regression discontinuity </w:t>
      </w:r>
      <w:r w:rsidR="00D653D9">
        <w:rPr>
          <w:rFonts w:ascii="Garamond" w:hAnsi="Garamond"/>
        </w:rPr>
        <w:t xml:space="preserve">design </w:t>
      </w:r>
      <w:r w:rsidR="00D653D9" w:rsidRPr="00515E78">
        <w:rPr>
          <w:rFonts w:ascii="Garamond" w:hAnsi="Garamond"/>
        </w:rPr>
        <w:t xml:space="preserve"> (RDD)</w:t>
      </w:r>
      <w:r w:rsidR="00D653D9">
        <w:rPr>
          <w:rFonts w:ascii="Garamond" w:hAnsi="Garamond"/>
        </w:rPr>
        <w:t>, an econometric approach increasingly used in epidemiology</w:t>
      </w:r>
      <w:r w:rsidR="006A5196">
        <w:rPr>
          <w:rFonts w:ascii="Garamond" w:hAnsi="Garamond"/>
        </w:rPr>
        <w:t xml:space="preserve"> and public health</w:t>
      </w:r>
      <w:r w:rsidR="00D653D9">
        <w:rPr>
          <w:rFonts w:ascii="Garamond" w:hAnsi="Garamond"/>
        </w:rPr>
        <w:t xml:space="preserve"> </w:t>
      </w:r>
      <w:r w:rsidR="00EE410A" w:rsidRPr="00515E78">
        <w:rPr>
          <w:rFonts w:ascii="Garamond" w:hAnsi="Garamond"/>
        </w:rPr>
        <w:fldChar w:fldCharType="begin">
          <w:fldData xml:space="preserve">PEVuZE5vdGU+PENpdGU+PEF1dGhvcj5MZWU8L0F1dGhvcj48WWVhcj4yMDEwPC9ZZWFyPjxSZWNO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</w:fldData>
        </w:fldChar>
      </w:r>
      <w:r w:rsidR="006B1724">
        <w:rPr>
          <w:rFonts w:ascii="Garamond" w:hAnsi="Garamond"/>
        </w:rPr>
        <w:instrText xml:space="preserve"> ADDIN EN.CITE </w:instrText>
      </w:r>
      <w:r w:rsidR="006B1724">
        <w:rPr>
          <w:rFonts w:ascii="Garamond" w:hAnsi="Garamond"/>
        </w:rPr>
        <w:fldChar w:fldCharType="begin">
          <w:fldData xml:space="preserve">PEVuZE5vdGU+PENpdGU+PEF1dGhvcj5MZWU8L0F1dGhvcj48WWVhcj4yMDEwPC9ZZWFyPjxSZWNO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</w:fldData>
        </w:fldChar>
      </w:r>
      <w:r w:rsidR="006B1724">
        <w:rPr>
          <w:rFonts w:ascii="Garamond" w:hAnsi="Garamond"/>
        </w:rPr>
        <w:instrText xml:space="preserve"> ADDIN EN.CITE.DATA </w:instrText>
      </w:r>
      <w:r w:rsidR="006B1724">
        <w:rPr>
          <w:rFonts w:ascii="Garamond" w:hAnsi="Garamond"/>
        </w:rPr>
      </w:r>
      <w:r w:rsidR="006B1724">
        <w:rPr>
          <w:rFonts w:ascii="Garamond" w:hAnsi="Garamond"/>
        </w:rPr>
        <w:fldChar w:fldCharType="end"/>
      </w:r>
      <w:r w:rsidR="00EE410A" w:rsidRPr="00515E78">
        <w:rPr>
          <w:rFonts w:ascii="Garamond" w:hAnsi="Garamond"/>
        </w:rPr>
      </w:r>
      <w:r w:rsidR="00EE410A" w:rsidRPr="00515E78">
        <w:rPr>
          <w:rFonts w:ascii="Garamond" w:hAnsi="Garamond"/>
        </w:rPr>
        <w:fldChar w:fldCharType="separate"/>
      </w:r>
      <w:r w:rsidR="007F5201">
        <w:rPr>
          <w:rFonts w:ascii="Garamond" w:hAnsi="Garamond"/>
          <w:noProof/>
        </w:rPr>
        <w:t>(</w:t>
      </w:r>
      <w:hyperlink w:anchor="_ENREF_32" w:tooltip="Huang, 2013 #63" w:history="1">
        <w:r w:rsidR="006B1724">
          <w:rPr>
            <w:rFonts w:ascii="Garamond" w:hAnsi="Garamond"/>
            <w:noProof/>
          </w:rPr>
          <w:t>Huang &amp; Zhou, 2013</w:t>
        </w:r>
      </w:hyperlink>
      <w:r w:rsidR="007F5201">
        <w:rPr>
          <w:rFonts w:ascii="Garamond" w:hAnsi="Garamond"/>
          <w:noProof/>
        </w:rPr>
        <w:t xml:space="preserve">; </w:t>
      </w:r>
      <w:hyperlink w:anchor="_ENREF_43" w:tooltip="Lee, 2010 #43" w:history="1">
        <w:r w:rsidR="006B1724">
          <w:rPr>
            <w:rFonts w:ascii="Garamond" w:hAnsi="Garamond"/>
            <w:noProof/>
          </w:rPr>
          <w:t>Lee &amp; Lemieux, 2010</w:t>
        </w:r>
      </w:hyperlink>
      <w:r w:rsidR="007F5201">
        <w:rPr>
          <w:rFonts w:ascii="Garamond" w:hAnsi="Garamond"/>
          <w:noProof/>
        </w:rPr>
        <w:t xml:space="preserve">; </w:t>
      </w:r>
      <w:hyperlink w:anchor="_ENREF_49" w:tooltip="Moscoe, 2015 #44" w:history="1">
        <w:r w:rsidR="006B1724">
          <w:rPr>
            <w:rFonts w:ascii="Garamond" w:hAnsi="Garamond"/>
            <w:noProof/>
          </w:rPr>
          <w:t>Moscoe, Bor, &amp; Barnighausen, 2015</w:t>
        </w:r>
      </w:hyperlink>
      <w:r w:rsidR="007F5201">
        <w:rPr>
          <w:rFonts w:ascii="Garamond" w:hAnsi="Garamond"/>
          <w:noProof/>
        </w:rPr>
        <w:t xml:space="preserve">; </w:t>
      </w:r>
      <w:hyperlink w:anchor="_ENREF_62" w:tooltip="Venkataramani, 2016 #49" w:history="1">
        <w:r w:rsidR="006B1724">
          <w:rPr>
            <w:rFonts w:ascii="Garamond" w:hAnsi="Garamond"/>
            <w:noProof/>
          </w:rPr>
          <w:t>Venkataramani, Bor, &amp; Jena, 2016</w:t>
        </w:r>
      </w:hyperlink>
      <w:r w:rsidR="007F5201">
        <w:rPr>
          <w:rFonts w:ascii="Garamond" w:hAnsi="Garamond"/>
          <w:noProof/>
        </w:rPr>
        <w:t>)</w:t>
      </w:r>
      <w:r w:rsidR="00EE410A" w:rsidRPr="00515E78">
        <w:rPr>
          <w:rFonts w:ascii="Garamond" w:hAnsi="Garamond"/>
        </w:rPr>
        <w:fldChar w:fldCharType="end"/>
      </w:r>
      <w:r w:rsidR="00D653D9">
        <w:rPr>
          <w:rFonts w:ascii="Garamond" w:hAnsi="Garamond"/>
        </w:rPr>
        <w:t xml:space="preserve">. </w:t>
      </w:r>
      <w:r w:rsidR="00CC2B97">
        <w:rPr>
          <w:rFonts w:ascii="Garamond" w:hAnsi="Garamond"/>
        </w:rPr>
        <w:t xml:space="preserve">The design takes advantage of policy implementation rules which assign individuals to receive the intervention or not depending on whether they fall above or below an arbitrary cut-off </w:t>
      </w:r>
      <w:r w:rsidR="006A5196">
        <w:rPr>
          <w:rFonts w:ascii="Garamond" w:hAnsi="Garamond"/>
        </w:rPr>
        <w:t>(in our case date of birth)</w:t>
      </w:r>
      <w:r w:rsidR="00C81991">
        <w:rPr>
          <w:rFonts w:ascii="Garamond" w:hAnsi="Garamond"/>
        </w:rPr>
        <w:t>.</w:t>
      </w:r>
      <w:r w:rsidR="00D653D9">
        <w:rPr>
          <w:rFonts w:ascii="Garamond" w:hAnsi="Garamond"/>
        </w:rPr>
        <w:t xml:space="preserve"> </w:t>
      </w:r>
      <w:r w:rsidR="00C81991">
        <w:rPr>
          <w:rFonts w:ascii="Garamond" w:hAnsi="Garamond"/>
        </w:rPr>
        <w:t>O</w:t>
      </w:r>
      <w:r w:rsidR="00D653D9">
        <w:rPr>
          <w:rFonts w:ascii="Garamond" w:hAnsi="Garamond"/>
        </w:rPr>
        <w:t xml:space="preserve">bservations closely above an arbitrary </w:t>
      </w:r>
      <w:r w:rsidR="006A5196">
        <w:rPr>
          <w:rFonts w:ascii="Garamond" w:hAnsi="Garamond"/>
        </w:rPr>
        <w:t>cut-off</w:t>
      </w:r>
      <w:r w:rsidR="00D653D9">
        <w:rPr>
          <w:rFonts w:ascii="Garamond" w:hAnsi="Garamond"/>
        </w:rPr>
        <w:t xml:space="preserve"> </w:t>
      </w:r>
      <w:r w:rsidR="003D6602">
        <w:rPr>
          <w:rFonts w:ascii="Garamond" w:hAnsi="Garamond"/>
        </w:rPr>
        <w:t>are</w:t>
      </w:r>
      <w:r w:rsidR="00D653D9">
        <w:rPr>
          <w:rFonts w:ascii="Garamond" w:hAnsi="Garamond"/>
        </w:rPr>
        <w:t xml:space="preserve"> </w:t>
      </w:r>
      <w:r w:rsidR="006A5196">
        <w:rPr>
          <w:rFonts w:ascii="Garamond" w:hAnsi="Garamond"/>
        </w:rPr>
        <w:t>eligible</w:t>
      </w:r>
      <w:r w:rsidR="00DA1F6F">
        <w:rPr>
          <w:rFonts w:ascii="Garamond" w:hAnsi="Garamond"/>
        </w:rPr>
        <w:t xml:space="preserve"> to the reform</w:t>
      </w:r>
      <w:r w:rsidR="00C81991">
        <w:rPr>
          <w:rFonts w:ascii="Garamond" w:hAnsi="Garamond"/>
        </w:rPr>
        <w:t>,</w:t>
      </w:r>
      <w:r w:rsidR="00D653D9">
        <w:rPr>
          <w:rFonts w:ascii="Garamond" w:hAnsi="Garamond"/>
        </w:rPr>
        <w:t xml:space="preserve"> while </w:t>
      </w:r>
      <w:r w:rsidR="003D6602">
        <w:rPr>
          <w:rFonts w:ascii="Garamond" w:hAnsi="Garamond"/>
        </w:rPr>
        <w:t xml:space="preserve">those closely below the same cut-off are </w:t>
      </w:r>
      <w:r w:rsidR="006A5196">
        <w:rPr>
          <w:rFonts w:ascii="Garamond" w:hAnsi="Garamond"/>
        </w:rPr>
        <w:t>ineligible</w:t>
      </w:r>
      <w:r w:rsidR="00D653D9">
        <w:rPr>
          <w:rFonts w:ascii="Garamond" w:hAnsi="Garamond"/>
        </w:rPr>
        <w:t xml:space="preserve">. </w:t>
      </w:r>
      <w:r w:rsidR="00135C8E">
        <w:rPr>
          <w:rFonts w:ascii="Garamond" w:hAnsi="Garamond"/>
        </w:rPr>
        <w:t xml:space="preserve">Under </w:t>
      </w:r>
      <w:r w:rsidR="006A5196">
        <w:rPr>
          <w:rFonts w:ascii="Garamond" w:hAnsi="Garamond"/>
        </w:rPr>
        <w:t>a number of</w:t>
      </w:r>
      <w:r w:rsidR="00135C8E">
        <w:rPr>
          <w:rFonts w:ascii="Garamond" w:hAnsi="Garamond"/>
        </w:rPr>
        <w:t xml:space="preserve"> assumptions, t</w:t>
      </w:r>
      <w:r w:rsidR="00AE2399" w:rsidRPr="00515E78">
        <w:rPr>
          <w:rFonts w:ascii="Garamond" w:hAnsi="Garamond"/>
        </w:rPr>
        <w:t>he ‘exogenous’ sharp increase in</w:t>
      </w:r>
      <w:r w:rsidR="003D6602">
        <w:rPr>
          <w:rFonts w:ascii="Garamond" w:hAnsi="Garamond"/>
        </w:rPr>
        <w:t xml:space="preserve"> compulsory</w:t>
      </w:r>
      <w:r w:rsidR="00AE2399" w:rsidRPr="00515E78">
        <w:rPr>
          <w:rFonts w:ascii="Garamond" w:hAnsi="Garamond"/>
        </w:rPr>
        <w:t xml:space="preserve"> school leaving age induced by the reform </w:t>
      </w:r>
      <w:r w:rsidR="002D5AB9" w:rsidRPr="00515E78">
        <w:rPr>
          <w:rFonts w:ascii="Garamond" w:hAnsi="Garamond"/>
        </w:rPr>
        <w:t>at the cut-off of the 1</w:t>
      </w:r>
      <w:r w:rsidR="002D5AB9" w:rsidRPr="00515E78">
        <w:rPr>
          <w:rFonts w:ascii="Garamond" w:hAnsi="Garamond"/>
          <w:vertAlign w:val="superscript"/>
        </w:rPr>
        <w:t>st</w:t>
      </w:r>
      <w:r w:rsidR="002D5AB9" w:rsidRPr="00515E78">
        <w:rPr>
          <w:rFonts w:ascii="Garamond" w:hAnsi="Garamond"/>
        </w:rPr>
        <w:t xml:space="preserve"> of January </w:t>
      </w:r>
      <w:r w:rsidR="003A0478">
        <w:rPr>
          <w:rFonts w:ascii="Garamond" w:hAnsi="Garamond"/>
        </w:rPr>
        <w:t>1953</w:t>
      </w:r>
      <w:r w:rsidR="002D5AB9" w:rsidRPr="00515E78">
        <w:rPr>
          <w:rFonts w:ascii="Garamond" w:hAnsi="Garamond"/>
        </w:rPr>
        <w:t xml:space="preserve"> </w:t>
      </w:r>
      <w:r w:rsidR="00AE2399" w:rsidRPr="00515E78">
        <w:rPr>
          <w:rFonts w:ascii="Garamond" w:hAnsi="Garamond"/>
        </w:rPr>
        <w:t xml:space="preserve">allows us to investigate the causal relationship </w:t>
      </w:r>
      <w:r w:rsidR="00135C8E">
        <w:rPr>
          <w:rFonts w:ascii="Garamond" w:hAnsi="Garamond"/>
        </w:rPr>
        <w:t xml:space="preserve">between </w:t>
      </w:r>
      <w:r w:rsidR="006A5196">
        <w:rPr>
          <w:rFonts w:ascii="Garamond" w:hAnsi="Garamond"/>
        </w:rPr>
        <w:t>schooling</w:t>
      </w:r>
      <w:r w:rsidR="00AE2399" w:rsidRPr="00515E78">
        <w:rPr>
          <w:rFonts w:ascii="Garamond" w:hAnsi="Garamond"/>
        </w:rPr>
        <w:t xml:space="preserve"> </w:t>
      </w:r>
      <w:r w:rsidR="00135C8E">
        <w:rPr>
          <w:rFonts w:ascii="Garamond" w:hAnsi="Garamond"/>
        </w:rPr>
        <w:t xml:space="preserve">and </w:t>
      </w:r>
      <w:r w:rsidR="006A5196">
        <w:rPr>
          <w:rFonts w:ascii="Garamond" w:hAnsi="Garamond"/>
        </w:rPr>
        <w:t xml:space="preserve">a range of </w:t>
      </w:r>
      <w:r w:rsidR="00135C8E">
        <w:rPr>
          <w:rFonts w:ascii="Garamond" w:hAnsi="Garamond"/>
        </w:rPr>
        <w:t>biomarkers</w:t>
      </w:r>
      <w:r w:rsidR="00AE2399" w:rsidRPr="00515E78">
        <w:rPr>
          <w:rFonts w:ascii="Garamond" w:hAnsi="Garamond"/>
        </w:rPr>
        <w:t xml:space="preserve">. </w:t>
      </w:r>
      <w:r w:rsidR="00D4344D" w:rsidRPr="00515E78">
        <w:rPr>
          <w:rFonts w:ascii="Garamond" w:hAnsi="Garamond"/>
        </w:rPr>
        <w:t>F</w:t>
      </w:r>
      <w:r w:rsidR="00AE2399" w:rsidRPr="00515E78">
        <w:rPr>
          <w:rFonts w:ascii="Garamond" w:hAnsi="Garamond"/>
        </w:rPr>
        <w:t xml:space="preserve">ollowing </w:t>
      </w:r>
      <w:proofErr w:type="spellStart"/>
      <w:r w:rsidR="00AE2399" w:rsidRPr="00515E78">
        <w:rPr>
          <w:rFonts w:ascii="Garamond" w:hAnsi="Garamond"/>
        </w:rPr>
        <w:t>Albouy</w:t>
      </w:r>
      <w:proofErr w:type="spellEnd"/>
      <w:r w:rsidR="00AE2399" w:rsidRPr="00515E78">
        <w:rPr>
          <w:rFonts w:ascii="Garamond" w:hAnsi="Garamond"/>
        </w:rPr>
        <w:t xml:space="preserve"> and </w:t>
      </w:r>
      <w:proofErr w:type="spellStart"/>
      <w:r w:rsidR="00AE2399" w:rsidRPr="00515E78">
        <w:rPr>
          <w:rFonts w:ascii="Garamond" w:hAnsi="Garamond"/>
        </w:rPr>
        <w:t>Lequien</w:t>
      </w:r>
      <w:proofErr w:type="spellEnd"/>
      <w:r w:rsidR="00AE2399" w:rsidRPr="00515E78">
        <w:rPr>
          <w:rFonts w:ascii="Garamond" w:hAnsi="Garamond"/>
        </w:rPr>
        <w:t xml:space="preserve"> </w:t>
      </w:r>
      <w:r w:rsidR="00AE2399" w:rsidRPr="00515E78">
        <w:rPr>
          <w:rFonts w:ascii="Garamond" w:hAnsi="Garamond"/>
        </w:rPr>
        <w:fldChar w:fldCharType="begin"/>
      </w:r>
      <w:r w:rsidR="00CC2B97">
        <w:rPr>
          <w:rFonts w:ascii="Garamond" w:hAnsi="Garamond"/>
        </w:rPr>
        <w:instrText xml:space="preserve"> ADDIN EN.CITE &lt;EndNote&gt;&lt;Cite ExcludeAuth="1"&gt;&lt;Author&gt;Albouy&lt;/Author&gt;&lt;Year&gt;2009&lt;/Year&gt;&lt;RecNum&gt;27&lt;/RecNum&gt;&lt;DisplayText&gt;(2009)&lt;/DisplayText&gt;&lt;record&gt;&lt;rec-number&gt;27&lt;/rec-number&gt;&lt;foreign-keys&gt;&lt;key app="EN" db-id="p5pavdvzwwdesueaz0rxssxmtd2ext2dvwpd" timestamp="1542656736"&gt;27&lt;/key&gt;&lt;/foreign-keys&gt;&lt;ref-type name="Journal Article"&gt;17&lt;/ref-type&gt;&lt;contributors&gt;&lt;authors&gt;&lt;author&gt;Albouy,V.&lt;/author&gt;&lt;author&gt;Lequien, L.&lt;/author&gt;&lt;/authors&gt;&lt;/contributors&gt;&lt;titles&gt;&lt;title&gt;Does compulsory education lower mortality?&lt;/title&gt;&lt;secondary-title&gt;Journal of Health Economics&lt;/secondary-title&gt;&lt;/titles&gt;&lt;periodical&gt;&lt;full-title&gt;Journal of Health Economics&lt;/full-title&gt;&lt;/periodical&gt;&lt;pages&gt;155-168&lt;/pages&gt;&lt;volume&gt;28&lt;/volume&gt;&lt;dates&gt;&lt;year&gt;2009&lt;/year&gt;&lt;/dates&gt;&lt;urls&gt;&lt;/urls&gt;&lt;/record&gt;&lt;/Cite&gt;&lt;/EndNote&gt;</w:instrText>
      </w:r>
      <w:r w:rsidR="00AE2399" w:rsidRPr="00515E78">
        <w:rPr>
          <w:rFonts w:ascii="Garamond" w:hAnsi="Garamond"/>
        </w:rPr>
        <w:fldChar w:fldCharType="separate"/>
      </w:r>
      <w:r w:rsidR="00C07932">
        <w:rPr>
          <w:rFonts w:ascii="Garamond" w:hAnsi="Garamond"/>
          <w:noProof/>
        </w:rPr>
        <w:t>(</w:t>
      </w:r>
      <w:hyperlink w:anchor="_ENREF_1" w:tooltip="Albouy, 2009 #27" w:history="1">
        <w:r w:rsidR="006B1724">
          <w:rPr>
            <w:rFonts w:ascii="Garamond" w:hAnsi="Garamond"/>
            <w:noProof/>
          </w:rPr>
          <w:t>2009</w:t>
        </w:r>
      </w:hyperlink>
      <w:r w:rsidR="00C07932">
        <w:rPr>
          <w:rFonts w:ascii="Garamond" w:hAnsi="Garamond"/>
          <w:noProof/>
        </w:rPr>
        <w:t>)</w:t>
      </w:r>
      <w:r w:rsidR="00AE2399" w:rsidRPr="00515E78">
        <w:rPr>
          <w:rFonts w:ascii="Garamond" w:hAnsi="Garamond"/>
        </w:rPr>
        <w:fldChar w:fldCharType="end"/>
      </w:r>
      <w:r w:rsidR="00D4344D" w:rsidRPr="00515E78">
        <w:rPr>
          <w:rFonts w:ascii="Garamond" w:hAnsi="Garamond"/>
        </w:rPr>
        <w:t>,</w:t>
      </w:r>
      <w:r w:rsidR="00445CB9">
        <w:rPr>
          <w:rFonts w:ascii="Garamond" w:hAnsi="Garamond"/>
        </w:rPr>
        <w:t xml:space="preserve"> </w:t>
      </w:r>
      <w:r w:rsidR="00D4344D" w:rsidRPr="00515E78">
        <w:rPr>
          <w:rFonts w:ascii="Garamond" w:hAnsi="Garamond"/>
        </w:rPr>
        <w:t>w</w:t>
      </w:r>
      <w:r w:rsidR="00AE2399" w:rsidRPr="00515E78">
        <w:rPr>
          <w:rFonts w:ascii="Garamond" w:hAnsi="Garamond"/>
        </w:rPr>
        <w:t xml:space="preserve">e select individuals born at most </w:t>
      </w:r>
      <w:r w:rsidR="006A5196">
        <w:rPr>
          <w:rFonts w:ascii="Garamond" w:hAnsi="Garamond"/>
        </w:rPr>
        <w:t>48 months</w:t>
      </w:r>
      <w:r w:rsidR="00AE2399" w:rsidRPr="00515E78">
        <w:rPr>
          <w:rFonts w:ascii="Garamond" w:hAnsi="Garamond"/>
        </w:rPr>
        <w:t xml:space="preserve"> before or after the </w:t>
      </w:r>
      <w:proofErr w:type="spellStart"/>
      <w:r w:rsidR="00AE2399" w:rsidRPr="00515E78">
        <w:rPr>
          <w:rFonts w:ascii="Garamond" w:hAnsi="Garamond"/>
        </w:rPr>
        <w:t>Berthoin</w:t>
      </w:r>
      <w:proofErr w:type="spellEnd"/>
      <w:r w:rsidR="00AE2399" w:rsidRPr="00515E78">
        <w:rPr>
          <w:rFonts w:ascii="Garamond" w:hAnsi="Garamond"/>
        </w:rPr>
        <w:t xml:space="preserve"> reform (born between 1950 and 1955, </w:t>
      </w:r>
      <w:r w:rsidR="00AE2399" w:rsidRPr="002A4037">
        <w:rPr>
          <w:rFonts w:ascii="Garamond" w:hAnsi="Garamond"/>
          <w:i/>
        </w:rPr>
        <w:t>N</w:t>
      </w:r>
      <w:r w:rsidR="00AE2399" w:rsidRPr="002A4037">
        <w:rPr>
          <w:rFonts w:ascii="Garamond" w:hAnsi="Garamond"/>
        </w:rPr>
        <w:t>=</w:t>
      </w:r>
      <w:r w:rsidR="002A4037" w:rsidRPr="002A4037">
        <w:rPr>
          <w:rFonts w:ascii="Garamond" w:hAnsi="Garamond"/>
        </w:rPr>
        <w:t>18</w:t>
      </w:r>
      <w:r w:rsidR="002A4037">
        <w:rPr>
          <w:rFonts w:ascii="Garamond" w:hAnsi="Garamond"/>
        </w:rPr>
        <w:t>,915</w:t>
      </w:r>
      <w:r w:rsidR="006A5196">
        <w:rPr>
          <w:rFonts w:ascii="Garamond" w:hAnsi="Garamond"/>
        </w:rPr>
        <w:t xml:space="preserve">). We </w:t>
      </w:r>
      <w:r w:rsidR="00776FE3">
        <w:rPr>
          <w:rFonts w:ascii="Garamond" w:hAnsi="Garamond"/>
        </w:rPr>
        <w:t>estimate</w:t>
      </w:r>
      <w:r w:rsidR="00AE2399" w:rsidRPr="00515E78">
        <w:rPr>
          <w:rFonts w:ascii="Garamond" w:hAnsi="Garamond"/>
        </w:rPr>
        <w:t xml:space="preserve"> the discontinuity in the average school leaving age</w:t>
      </w:r>
      <w:r w:rsidR="00776FE3">
        <w:rPr>
          <w:rFonts w:ascii="Garamond" w:hAnsi="Garamond"/>
        </w:rPr>
        <w:t xml:space="preserve"> induced by the </w:t>
      </w:r>
      <w:r w:rsidR="006A5196">
        <w:rPr>
          <w:rFonts w:ascii="Garamond" w:hAnsi="Garamond"/>
        </w:rPr>
        <w:t>reform</w:t>
      </w:r>
      <w:r w:rsidR="00776FE3">
        <w:rPr>
          <w:rFonts w:ascii="Garamond" w:hAnsi="Garamond"/>
        </w:rPr>
        <w:t xml:space="preserve"> </w:t>
      </w:r>
      <w:r w:rsidR="00AE2399" w:rsidRPr="00515E78">
        <w:rPr>
          <w:rFonts w:ascii="Garamond" w:hAnsi="Garamond"/>
        </w:rPr>
        <w:t xml:space="preserve">by comparing cohorts born before </w:t>
      </w:r>
      <w:r w:rsidR="00D653D9">
        <w:rPr>
          <w:rFonts w:ascii="Garamond" w:hAnsi="Garamond"/>
        </w:rPr>
        <w:t>and</w:t>
      </w:r>
      <w:r w:rsidR="00AE2399" w:rsidRPr="00515E78">
        <w:rPr>
          <w:rFonts w:ascii="Garamond" w:hAnsi="Garamond"/>
        </w:rPr>
        <w:t xml:space="preserve"> after the </w:t>
      </w:r>
      <w:r w:rsidR="006A5196">
        <w:rPr>
          <w:rFonts w:ascii="Garamond" w:hAnsi="Garamond"/>
        </w:rPr>
        <w:t>cut-off for eligibility</w:t>
      </w:r>
      <w:r w:rsidR="00AE2399" w:rsidRPr="00515E78">
        <w:rPr>
          <w:rFonts w:ascii="Garamond" w:hAnsi="Garamond"/>
        </w:rPr>
        <w:t xml:space="preserve">.  </w:t>
      </w:r>
      <w:r w:rsidR="00D653D9">
        <w:rPr>
          <w:rFonts w:ascii="Garamond" w:hAnsi="Garamond"/>
        </w:rPr>
        <w:t xml:space="preserve">Our main specification </w:t>
      </w:r>
      <w:r w:rsidR="006A5196">
        <w:rPr>
          <w:rFonts w:ascii="Garamond" w:hAnsi="Garamond"/>
        </w:rPr>
        <w:t>is</w:t>
      </w:r>
      <w:r w:rsidR="00D653D9">
        <w:rPr>
          <w:rFonts w:ascii="Garamond" w:hAnsi="Garamond"/>
        </w:rPr>
        <w:t xml:space="preserve"> as follows: </w:t>
      </w:r>
    </w:p>
    <w:p w14:paraId="4008D942" w14:textId="603940B4" w:rsidR="002D5AB9" w:rsidRPr="0070422F" w:rsidRDefault="00CC3DDD" w:rsidP="00286DD7">
      <w:pPr>
        <w:spacing w:line="480" w:lineRule="auto"/>
        <w:ind w:firstLine="708"/>
        <w:contextualSpacing/>
        <w:jc w:val="both"/>
        <w:rPr>
          <w:rFonts w:ascii="Garamond" w:hAnsi="Garamond"/>
        </w:rPr>
      </w:pPr>
      <m:oMathPara>
        <m:oMath>
          <m:sSub>
            <m:sSubPr>
              <m:ctrlPr>
                <w:rPr>
                  <w:rFonts w:ascii="Cambria Math" w:hAnsi="Cambria Math"/>
                  <w:i/>
                </w:rPr>
              </m:ctrlPr>
            </m:sSubPr>
            <m:e>
              <m:r>
                <w:rPr>
                  <w:rFonts w:ascii="Cambria Math" w:hAnsi="Cambria Math"/>
                </w:rPr>
                <m:t>bio</m:t>
              </m:r>
            </m:e>
            <m:sub>
              <m:r>
                <w:rPr>
                  <w:rFonts w:ascii="Cambria Math" w:hAnsi="Cambria Math"/>
                </w:rPr>
                <m:t>ict</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D</m:t>
              </m:r>
            </m:e>
            <m:sub>
              <m:r>
                <w:rPr>
                  <w:rFonts w:ascii="Cambria Math" w:hAnsi="Cambria Math"/>
                </w:rPr>
                <m:t>ic</m:t>
              </m:r>
            </m:sub>
          </m:sSub>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ic</m:t>
                  </m:r>
                </m:sub>
              </m:sSub>
            </m:e>
          </m:d>
          <m:r>
            <w:rPr>
              <w:rFonts w:ascii="Cambria Math" w:hAnsi="Cambria Math"/>
            </w:rPr>
            <m:t>+</m:t>
          </m:r>
          <m:sSub>
            <m:sSubPr>
              <m:ctrlPr>
                <w:rPr>
                  <w:rFonts w:ascii="Cambria Math" w:hAnsi="Cambria Math"/>
                  <w:i/>
                </w:rPr>
              </m:ctrlPr>
            </m:sSubPr>
            <m:e>
              <m:r>
                <m:rPr>
                  <m:sty m:val="bi"/>
                </m:rPr>
                <w:rPr>
                  <w:rFonts w:ascii="Cambria Math" w:hAnsi="Cambria Math"/>
                </w:rPr>
                <m:t>x</m:t>
              </m:r>
            </m:e>
            <m:sub>
              <m:r>
                <w:rPr>
                  <w:rFonts w:ascii="Cambria Math" w:hAnsi="Cambria Math"/>
                </w:rPr>
                <m:t>ict</m:t>
              </m:r>
            </m:sub>
          </m:sSub>
          <m:sSub>
            <m:sSubPr>
              <m:ctrlPr>
                <w:rPr>
                  <w:rFonts w:ascii="Cambria Math" w:hAnsi="Cambria Math"/>
                  <w:i/>
                </w:rPr>
              </m:ctrlPr>
            </m:sSubPr>
            <m:e>
              <m: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ict</m:t>
              </m:r>
            </m:sub>
          </m:sSub>
        </m:oMath>
      </m:oMathPara>
    </w:p>
    <w:p w14:paraId="3BA0760F" w14:textId="77777777" w:rsidR="00565539" w:rsidRDefault="00565539" w:rsidP="00286DD7">
      <w:pPr>
        <w:spacing w:line="480" w:lineRule="auto"/>
        <w:contextualSpacing/>
        <w:jc w:val="both"/>
        <w:rPr>
          <w:rFonts w:ascii="Garamond" w:hAnsi="Garamond"/>
        </w:rPr>
      </w:pPr>
    </w:p>
    <w:p w14:paraId="4EA196B3" w14:textId="77777777" w:rsidR="006A5196" w:rsidRDefault="002D5AB9" w:rsidP="00286DD7">
      <w:pPr>
        <w:spacing w:line="480" w:lineRule="auto"/>
        <w:contextualSpacing/>
        <w:jc w:val="both"/>
        <w:rPr>
          <w:rFonts w:ascii="Garamond" w:hAnsi="Garamond"/>
        </w:rPr>
      </w:pPr>
      <w:r w:rsidRPr="00515E78">
        <w:rPr>
          <w:rFonts w:ascii="Garamond" w:hAnsi="Garamond"/>
        </w:rPr>
        <w:t xml:space="preserve">Where </w:t>
      </w:r>
      <w:proofErr w:type="spellStart"/>
      <w:r w:rsidR="0056249B">
        <w:rPr>
          <w:rFonts w:ascii="Garamond" w:hAnsi="Garamond"/>
        </w:rPr>
        <w:t>bio</w:t>
      </w:r>
      <w:r w:rsidR="0056249B" w:rsidRPr="00515E78">
        <w:rPr>
          <w:rFonts w:ascii="Garamond" w:hAnsi="Garamond"/>
          <w:vertAlign w:val="subscript"/>
        </w:rPr>
        <w:t>ict</w:t>
      </w:r>
      <w:proofErr w:type="spellEnd"/>
      <w:r w:rsidR="0056249B" w:rsidRPr="00515E78">
        <w:rPr>
          <w:rFonts w:ascii="Garamond" w:hAnsi="Garamond"/>
          <w:vertAlign w:val="subscript"/>
        </w:rPr>
        <w:t xml:space="preserve"> </w:t>
      </w:r>
      <w:r w:rsidRPr="00515E78">
        <w:rPr>
          <w:rFonts w:ascii="Garamond" w:hAnsi="Garamond"/>
        </w:rPr>
        <w:t xml:space="preserve">is the </w:t>
      </w:r>
      <w:r w:rsidR="0056249B">
        <w:rPr>
          <w:rFonts w:ascii="Garamond" w:hAnsi="Garamond"/>
        </w:rPr>
        <w:t>individual biomarker value</w:t>
      </w:r>
      <w:r w:rsidRPr="00515E78">
        <w:rPr>
          <w:rFonts w:ascii="Garamond" w:hAnsi="Garamond"/>
        </w:rPr>
        <w:t xml:space="preserve"> for individual </w:t>
      </w:r>
      <w:proofErr w:type="spellStart"/>
      <w:r w:rsidRPr="00515E78">
        <w:rPr>
          <w:rFonts w:ascii="Garamond" w:hAnsi="Garamond"/>
        </w:rPr>
        <w:t>i</w:t>
      </w:r>
      <w:proofErr w:type="spellEnd"/>
      <w:r w:rsidRPr="00515E78">
        <w:rPr>
          <w:rFonts w:ascii="Garamond" w:hAnsi="Garamond"/>
        </w:rPr>
        <w:t xml:space="preserve"> from birth cohort </w:t>
      </w:r>
      <w:proofErr w:type="spellStart"/>
      <w:r w:rsidRPr="00515E78">
        <w:rPr>
          <w:rFonts w:ascii="Garamond" w:hAnsi="Garamond"/>
        </w:rPr>
        <w:t>c at</w:t>
      </w:r>
      <w:proofErr w:type="spellEnd"/>
      <w:r w:rsidRPr="00515E78">
        <w:rPr>
          <w:rFonts w:ascii="Garamond" w:hAnsi="Garamond"/>
        </w:rPr>
        <w:t xml:space="preserve"> time t; </w:t>
      </w:r>
      <w:proofErr w:type="spellStart"/>
      <w:r w:rsidRPr="00515E78">
        <w:rPr>
          <w:rFonts w:ascii="Garamond" w:hAnsi="Garamond"/>
        </w:rPr>
        <w:t>D</w:t>
      </w:r>
      <w:r w:rsidRPr="00515E78">
        <w:rPr>
          <w:rFonts w:ascii="Garamond" w:hAnsi="Garamond"/>
          <w:vertAlign w:val="subscript"/>
        </w:rPr>
        <w:t>ic</w:t>
      </w:r>
      <w:proofErr w:type="spellEnd"/>
      <w:r w:rsidRPr="00515E78">
        <w:rPr>
          <w:rFonts w:ascii="Garamond" w:hAnsi="Garamond"/>
          <w:vertAlign w:val="subscript"/>
        </w:rPr>
        <w:t xml:space="preserve"> </w:t>
      </w:r>
      <w:r w:rsidRPr="00515E78">
        <w:rPr>
          <w:rFonts w:ascii="Garamond" w:hAnsi="Garamond"/>
        </w:rPr>
        <w:t xml:space="preserve">is a binary variable taking the value of 1 if an individual was born up to </w:t>
      </w:r>
      <w:r w:rsidR="006A5196">
        <w:rPr>
          <w:rFonts w:ascii="Garamond" w:hAnsi="Garamond"/>
        </w:rPr>
        <w:t>48 months</w:t>
      </w:r>
      <w:r w:rsidRPr="00515E78">
        <w:rPr>
          <w:rFonts w:ascii="Garamond" w:hAnsi="Garamond"/>
        </w:rPr>
        <w:t xml:space="preserve"> after the cut-off date (the treated group), and of 0 if the individual was born up to </w:t>
      </w:r>
      <w:r w:rsidR="006A5196">
        <w:rPr>
          <w:rFonts w:ascii="Garamond" w:hAnsi="Garamond"/>
        </w:rPr>
        <w:t>48 months</w:t>
      </w:r>
      <w:r w:rsidRPr="00515E78">
        <w:rPr>
          <w:rFonts w:ascii="Garamond" w:hAnsi="Garamond"/>
        </w:rPr>
        <w:t xml:space="preserve"> prior to the cut-off date (the control group); R</w:t>
      </w:r>
      <w:r w:rsidRPr="00515E78">
        <w:rPr>
          <w:rFonts w:ascii="Garamond" w:hAnsi="Garamond"/>
          <w:vertAlign w:val="subscript"/>
        </w:rPr>
        <w:t>ic</w:t>
      </w:r>
      <w:r w:rsidRPr="00515E78">
        <w:rPr>
          <w:rFonts w:ascii="Garamond" w:hAnsi="Garamond"/>
        </w:rPr>
        <w:t xml:space="preserve"> is an individual’s birth cohort, relative t</w:t>
      </w:r>
      <w:r w:rsidR="004A192C" w:rsidRPr="00515E78">
        <w:rPr>
          <w:rFonts w:ascii="Garamond" w:hAnsi="Garamond"/>
        </w:rPr>
        <w:t xml:space="preserve">o the cut-off measured in </w:t>
      </w:r>
      <w:r w:rsidR="004A192C" w:rsidRPr="00515E78">
        <w:rPr>
          <w:rFonts w:ascii="Garamond" w:hAnsi="Garamond"/>
        </w:rPr>
        <w:lastRenderedPageBreak/>
        <w:t xml:space="preserve">month; and </w:t>
      </w:r>
      <w:proofErr w:type="spellStart"/>
      <w:r w:rsidR="00776FE3" w:rsidRPr="0018566A">
        <w:rPr>
          <w:rFonts w:ascii="Garamond" w:hAnsi="Garamond"/>
        </w:rPr>
        <w:t>x</w:t>
      </w:r>
      <w:r w:rsidR="004A192C" w:rsidRPr="00515E78">
        <w:rPr>
          <w:rFonts w:ascii="Garamond" w:hAnsi="Garamond"/>
          <w:vertAlign w:val="subscript"/>
        </w:rPr>
        <w:t>ict</w:t>
      </w:r>
      <w:proofErr w:type="spellEnd"/>
      <w:r w:rsidR="004A192C" w:rsidRPr="00515E78">
        <w:rPr>
          <w:rFonts w:ascii="Garamond" w:hAnsi="Garamond"/>
        </w:rPr>
        <w:t xml:space="preserve"> is a vector of individual characteristics: age, age squared, gender and month of birth. </w:t>
      </w:r>
    </w:p>
    <w:p w14:paraId="0310EDD3" w14:textId="3B806582" w:rsidR="0018566A" w:rsidRDefault="0018566A" w:rsidP="00286DD7">
      <w:pPr>
        <w:spacing w:line="480" w:lineRule="auto"/>
        <w:contextualSpacing/>
        <w:jc w:val="both"/>
        <w:rPr>
          <w:rFonts w:ascii="Garamond" w:hAnsi="Garamond"/>
        </w:rPr>
      </w:pPr>
      <w:r>
        <w:rPr>
          <w:rFonts w:ascii="Garamond" w:hAnsi="Garamond"/>
        </w:rPr>
        <w:t>In theory, the reform would have only increased the educational attainment of respondents who would have dropped out of school earlier in the absence of the reform. In addition, potentially not all individuals complied with the law and dropped out of school earlier than age 16. Our results can therefore be considered as ‘</w:t>
      </w:r>
      <w:r w:rsidRPr="00515E78">
        <w:rPr>
          <w:rFonts w:ascii="Garamond" w:hAnsi="Garamond"/>
        </w:rPr>
        <w:t>intent-to-treat</w:t>
      </w:r>
      <w:r>
        <w:rPr>
          <w:rFonts w:ascii="Garamond" w:hAnsi="Garamond"/>
        </w:rPr>
        <w:t>’</w:t>
      </w:r>
      <w:r w:rsidRPr="00515E78">
        <w:rPr>
          <w:rFonts w:ascii="Garamond" w:hAnsi="Garamond"/>
        </w:rPr>
        <w:t xml:space="preserve"> </w:t>
      </w:r>
      <w:r>
        <w:rPr>
          <w:rFonts w:ascii="Garamond" w:hAnsi="Garamond"/>
        </w:rPr>
        <w:t>estimates, as they conflate the effect of eligibility to the reform among both respondents who increased their schooling duration in response to the reform and those who did not.</w:t>
      </w:r>
    </w:p>
    <w:p w14:paraId="63AF4707" w14:textId="2D53CDF5" w:rsidR="00010E8B" w:rsidRDefault="006A5196" w:rsidP="005022E5">
      <w:pPr>
        <w:spacing w:line="480" w:lineRule="auto"/>
        <w:contextualSpacing/>
        <w:jc w:val="both"/>
        <w:rPr>
          <w:rFonts w:ascii="Garamond" w:hAnsi="Garamond"/>
        </w:rPr>
      </w:pPr>
      <w:r>
        <w:rPr>
          <w:rFonts w:ascii="Garamond" w:hAnsi="Garamond"/>
        </w:rPr>
        <w:t>The validity of this approach</w:t>
      </w:r>
      <w:r w:rsidR="003E24BD">
        <w:rPr>
          <w:rFonts w:ascii="Garamond" w:hAnsi="Garamond"/>
        </w:rPr>
        <w:t xml:space="preserve"> relies on two </w:t>
      </w:r>
      <w:r w:rsidR="00405DB7">
        <w:rPr>
          <w:rFonts w:ascii="Garamond" w:hAnsi="Garamond"/>
        </w:rPr>
        <w:t xml:space="preserve">key </w:t>
      </w:r>
      <w:r w:rsidR="00164AE3">
        <w:rPr>
          <w:rFonts w:ascii="Garamond" w:hAnsi="Garamond"/>
        </w:rPr>
        <w:t xml:space="preserve">identifying </w:t>
      </w:r>
      <w:r>
        <w:rPr>
          <w:rFonts w:ascii="Garamond" w:hAnsi="Garamond"/>
        </w:rPr>
        <w:t xml:space="preserve">assumptions. </w:t>
      </w:r>
      <w:r w:rsidR="003E24BD">
        <w:rPr>
          <w:rFonts w:ascii="Garamond" w:hAnsi="Garamond"/>
        </w:rPr>
        <w:t xml:space="preserve">First, it assumes that individuals cannot manipulate the value of the treatment variable, so that </w:t>
      </w:r>
      <w:r w:rsidR="005022E5">
        <w:rPr>
          <w:rFonts w:ascii="Garamond" w:hAnsi="Garamond"/>
        </w:rPr>
        <w:t>eligibility</w:t>
      </w:r>
      <w:r w:rsidR="003E24BD">
        <w:rPr>
          <w:rFonts w:ascii="Garamond" w:hAnsi="Garamond"/>
        </w:rPr>
        <w:t xml:space="preserve"> to </w:t>
      </w:r>
      <w:r w:rsidR="005022E5">
        <w:rPr>
          <w:rFonts w:ascii="Garamond" w:hAnsi="Garamond"/>
        </w:rPr>
        <w:t>the reform</w:t>
      </w:r>
      <w:r w:rsidR="003E24BD">
        <w:rPr>
          <w:rFonts w:ascii="Garamond" w:hAnsi="Garamond"/>
        </w:rPr>
        <w:t xml:space="preserve"> is as good as random</w:t>
      </w:r>
      <w:r w:rsidR="009743D2">
        <w:rPr>
          <w:rFonts w:ascii="Garamond" w:hAnsi="Garamond"/>
        </w:rPr>
        <w:t xml:space="preserve"> for observations close to the </w:t>
      </w:r>
      <w:r w:rsidR="005022E5">
        <w:rPr>
          <w:rFonts w:ascii="Garamond" w:hAnsi="Garamond"/>
        </w:rPr>
        <w:t>cut-off</w:t>
      </w:r>
      <w:r w:rsidR="003E24BD">
        <w:rPr>
          <w:rFonts w:ascii="Garamond" w:hAnsi="Garamond"/>
        </w:rPr>
        <w:t xml:space="preserve">. </w:t>
      </w:r>
      <w:r w:rsidR="00BE2FC4">
        <w:rPr>
          <w:rFonts w:ascii="Garamond" w:hAnsi="Garamond"/>
        </w:rPr>
        <w:t xml:space="preserve">To our knowledge, there </w:t>
      </w:r>
      <w:r w:rsidR="005022E5">
        <w:rPr>
          <w:rFonts w:ascii="Garamond" w:hAnsi="Garamond"/>
        </w:rPr>
        <w:t>is</w:t>
      </w:r>
      <w:r w:rsidR="00BE2FC4">
        <w:rPr>
          <w:rFonts w:ascii="Garamond" w:hAnsi="Garamond"/>
        </w:rPr>
        <w:t xml:space="preserve"> no evidence of manipulation as eligibility was based on </w:t>
      </w:r>
      <w:r w:rsidR="009743D2">
        <w:rPr>
          <w:rFonts w:ascii="Garamond" w:hAnsi="Garamond"/>
        </w:rPr>
        <w:t xml:space="preserve">the </w:t>
      </w:r>
      <w:r w:rsidR="00BE2FC4">
        <w:rPr>
          <w:rFonts w:ascii="Garamond" w:hAnsi="Garamond"/>
        </w:rPr>
        <w:t>date of birth</w:t>
      </w:r>
      <w:r w:rsidR="009743D2">
        <w:rPr>
          <w:rFonts w:ascii="Garamond" w:hAnsi="Garamond"/>
        </w:rPr>
        <w:t xml:space="preserve"> of children who were six at the time the reform was announced</w:t>
      </w:r>
      <w:r w:rsidR="00BE2FC4">
        <w:rPr>
          <w:rFonts w:ascii="Garamond" w:hAnsi="Garamond"/>
        </w:rPr>
        <w:t xml:space="preserve">. </w:t>
      </w:r>
      <w:r w:rsidR="003E24BD">
        <w:rPr>
          <w:rFonts w:ascii="Garamond" w:hAnsi="Garamond"/>
        </w:rPr>
        <w:t>Second, it assumes that</w:t>
      </w:r>
      <w:r w:rsidR="00BE2FC4">
        <w:rPr>
          <w:rFonts w:ascii="Garamond" w:hAnsi="Garamond"/>
        </w:rPr>
        <w:t xml:space="preserve"> the outcome </w:t>
      </w:r>
      <w:r w:rsidR="003D6602">
        <w:rPr>
          <w:rFonts w:ascii="Garamond" w:hAnsi="Garamond"/>
        </w:rPr>
        <w:t>would have been</w:t>
      </w:r>
      <w:r w:rsidR="003E24BD">
        <w:rPr>
          <w:rFonts w:ascii="Garamond" w:hAnsi="Garamond"/>
        </w:rPr>
        <w:t xml:space="preserve"> continuous at the </w:t>
      </w:r>
      <w:r w:rsidR="005022E5">
        <w:rPr>
          <w:rFonts w:ascii="Garamond" w:hAnsi="Garamond"/>
        </w:rPr>
        <w:t>cut-off in the absence of the reform</w:t>
      </w:r>
      <w:r w:rsidR="003E24BD">
        <w:rPr>
          <w:rFonts w:ascii="Garamond" w:hAnsi="Garamond"/>
        </w:rPr>
        <w:t xml:space="preserve">. </w:t>
      </w:r>
      <w:r w:rsidR="003D6602">
        <w:rPr>
          <w:rFonts w:ascii="Garamond" w:hAnsi="Garamond"/>
        </w:rPr>
        <w:t>Although it cannot be directly tested empirically, w</w:t>
      </w:r>
      <w:r w:rsidR="00BE2FC4">
        <w:rPr>
          <w:rFonts w:ascii="Garamond" w:hAnsi="Garamond"/>
        </w:rPr>
        <w:t xml:space="preserve">e provide some evidence </w:t>
      </w:r>
      <w:r w:rsidR="00405DB7">
        <w:rPr>
          <w:rFonts w:ascii="Garamond" w:hAnsi="Garamond"/>
        </w:rPr>
        <w:t>in support of this assumption</w:t>
      </w:r>
      <w:r w:rsidR="00BE2FC4">
        <w:rPr>
          <w:rFonts w:ascii="Garamond" w:hAnsi="Garamond"/>
        </w:rPr>
        <w:t xml:space="preserve"> in sensitivity analyses. </w:t>
      </w:r>
    </w:p>
    <w:p w14:paraId="49AB1D53" w14:textId="04C46885" w:rsidR="00994615" w:rsidRDefault="003E24BD" w:rsidP="007C5E71">
      <w:pPr>
        <w:spacing w:line="480" w:lineRule="auto"/>
        <w:contextualSpacing/>
        <w:jc w:val="both"/>
        <w:rPr>
          <w:rFonts w:ascii="Garamond" w:hAnsi="Garamond"/>
        </w:rPr>
      </w:pPr>
      <w:r>
        <w:rPr>
          <w:rFonts w:ascii="Garamond" w:hAnsi="Garamond"/>
        </w:rPr>
        <w:t>W</w:t>
      </w:r>
      <w:r w:rsidR="00AE2399" w:rsidRPr="00515E78">
        <w:rPr>
          <w:rFonts w:ascii="Garamond" w:hAnsi="Garamond"/>
        </w:rPr>
        <w:t xml:space="preserve">e test whether the effects </w:t>
      </w:r>
      <w:r w:rsidR="007C5E71">
        <w:rPr>
          <w:rFonts w:ascii="Garamond" w:hAnsi="Garamond"/>
        </w:rPr>
        <w:t xml:space="preserve">differed by parental </w:t>
      </w:r>
      <w:r w:rsidR="0018566A">
        <w:rPr>
          <w:rFonts w:ascii="Garamond" w:hAnsi="Garamond"/>
        </w:rPr>
        <w:t>social class</w:t>
      </w:r>
      <w:r w:rsidR="00010E8B">
        <w:rPr>
          <w:rFonts w:ascii="Garamond" w:hAnsi="Garamond"/>
        </w:rPr>
        <w:t xml:space="preserve"> by </w:t>
      </w:r>
      <w:r w:rsidR="007C5E71">
        <w:rPr>
          <w:rFonts w:ascii="Garamond" w:hAnsi="Garamond"/>
        </w:rPr>
        <w:t>stratifying all our analyses</w:t>
      </w:r>
      <w:r>
        <w:rPr>
          <w:rFonts w:ascii="Garamond" w:hAnsi="Garamond"/>
        </w:rPr>
        <w:t xml:space="preserve">. </w:t>
      </w:r>
      <w:r w:rsidR="009743D2">
        <w:rPr>
          <w:rFonts w:ascii="Garamond" w:hAnsi="Garamond"/>
        </w:rPr>
        <w:t xml:space="preserve">We also investigate whether the effects differed by gender. </w:t>
      </w:r>
      <w:r w:rsidR="00055E5F">
        <w:rPr>
          <w:rFonts w:ascii="Garamond" w:hAnsi="Garamond"/>
        </w:rPr>
        <w:t>To address multiple hypothesis testing</w:t>
      </w:r>
      <w:r w:rsidR="009743D2">
        <w:rPr>
          <w:rFonts w:ascii="Garamond" w:hAnsi="Garamond"/>
        </w:rPr>
        <w:t>, we implement</w:t>
      </w:r>
      <w:r w:rsidR="005454CD">
        <w:rPr>
          <w:rFonts w:ascii="Garamond" w:hAnsi="Garamond"/>
        </w:rPr>
        <w:t xml:space="preserve"> a set of adjustment methods (Bonferroni-Holm, </w:t>
      </w:r>
      <w:proofErr w:type="spellStart"/>
      <w:r w:rsidR="005454CD">
        <w:rPr>
          <w:rFonts w:ascii="Garamond" w:hAnsi="Garamond"/>
        </w:rPr>
        <w:t>Sidak</w:t>
      </w:r>
      <w:proofErr w:type="spellEnd"/>
      <w:r w:rsidR="005454CD">
        <w:rPr>
          <w:rFonts w:ascii="Garamond" w:hAnsi="Garamond"/>
        </w:rPr>
        <w:t xml:space="preserve">-Holm and Westfall-Young) using the </w:t>
      </w:r>
      <w:proofErr w:type="spellStart"/>
      <w:r w:rsidR="005454CD">
        <w:rPr>
          <w:rFonts w:ascii="Garamond" w:hAnsi="Garamond"/>
        </w:rPr>
        <w:t>wyoung</w:t>
      </w:r>
      <w:proofErr w:type="spellEnd"/>
      <w:r w:rsidR="005454CD">
        <w:rPr>
          <w:rFonts w:ascii="Garamond" w:hAnsi="Garamond"/>
        </w:rPr>
        <w:t xml:space="preserve"> command</w:t>
      </w:r>
      <w:r w:rsidR="003F071E">
        <w:rPr>
          <w:rFonts w:ascii="Garamond" w:hAnsi="Garamond"/>
        </w:rPr>
        <w:t xml:space="preserve"> in </w:t>
      </w:r>
      <w:r w:rsidR="001A6D16">
        <w:rPr>
          <w:rFonts w:ascii="Garamond" w:hAnsi="Garamond"/>
        </w:rPr>
        <w:t>Stata</w:t>
      </w:r>
      <w:r w:rsidR="005454CD">
        <w:rPr>
          <w:rFonts w:ascii="Garamond" w:hAnsi="Garamond"/>
        </w:rPr>
        <w:t xml:space="preserve"> </w:t>
      </w:r>
      <w:r w:rsidR="00C0791B">
        <w:rPr>
          <w:rFonts w:ascii="Garamond" w:hAnsi="Garamond"/>
        </w:rPr>
        <w:fldChar w:fldCharType="begin"/>
      </w:r>
      <w:r w:rsidR="00CC2B97">
        <w:rPr>
          <w:rFonts w:ascii="Garamond" w:hAnsi="Garamond"/>
        </w:rPr>
        <w:instrText xml:space="preserve"> ADDIN EN.CITE &lt;EndNote&gt;&lt;Cite&gt;&lt;Author&gt;Jones&lt;/Author&gt;&lt;Year&gt;2018&lt;/Year&gt;&lt;RecNum&gt;45&lt;/RecNum&gt;&lt;DisplayText&gt;(Jones, Molitor, &amp;amp; Reif, 2018)&lt;/DisplayText&gt;&lt;record&gt;&lt;rec-number&gt;45&lt;/rec-number&gt;&lt;foreign-keys&gt;&lt;key app="EN" db-id="p5pavdvzwwdesueaz0rxssxmtd2ext2dvwpd" timestamp="1542656736"&gt;45&lt;/key&gt;&lt;/foreign-keys&gt;&lt;ref-type name="Unpublished Work"&gt;34&lt;/ref-type&gt;&lt;contributors&gt;&lt;authors&gt;&lt;author&gt;Jones, D.&lt;/author&gt;&lt;author&gt;Molitor, D.&lt;/author&gt;&lt;author&gt;Reif, J.&lt;/author&gt;&lt;/authors&gt;&lt;/contributors&gt;&lt;titles&gt;&lt;title&gt;What Do Workplace Wellness Programs Do? Evidence from the Illinois Workplace Wellness Study&lt;/title&gt;&lt;/titles&gt;&lt;number&gt;Research Working Paper No. 24229&lt;/number&gt;&lt;dates&gt;&lt;year&gt;2018&lt;/year&gt;&lt;/dates&gt;&lt;pub-location&gt;Washington, DC&lt;/pub-location&gt;&lt;publisher&gt;National Bureau of Economic&lt;/publisher&gt;&lt;urls&gt;&lt;/urls&gt;&lt;/record&gt;&lt;/Cite&gt;&lt;/EndNote&gt;</w:instrText>
      </w:r>
      <w:r w:rsidR="00C0791B">
        <w:rPr>
          <w:rFonts w:ascii="Garamond" w:hAnsi="Garamond"/>
        </w:rPr>
        <w:fldChar w:fldCharType="separate"/>
      </w:r>
      <w:r w:rsidR="00C07932">
        <w:rPr>
          <w:rFonts w:ascii="Garamond" w:hAnsi="Garamond"/>
          <w:noProof/>
        </w:rPr>
        <w:t>(</w:t>
      </w:r>
      <w:hyperlink w:anchor="_ENREF_34" w:tooltip="Jones, 2018 #45" w:history="1">
        <w:r w:rsidR="006B1724">
          <w:rPr>
            <w:rFonts w:ascii="Garamond" w:hAnsi="Garamond"/>
            <w:noProof/>
          </w:rPr>
          <w:t>Jones, Molitor, &amp; Reif, 2018</w:t>
        </w:r>
      </w:hyperlink>
      <w:r w:rsidR="00C07932">
        <w:rPr>
          <w:rFonts w:ascii="Garamond" w:hAnsi="Garamond"/>
          <w:noProof/>
        </w:rPr>
        <w:t>)</w:t>
      </w:r>
      <w:r w:rsidR="00C0791B">
        <w:rPr>
          <w:rFonts w:ascii="Garamond" w:hAnsi="Garamond"/>
        </w:rPr>
        <w:fldChar w:fldCharType="end"/>
      </w:r>
      <w:r w:rsidR="005454CD">
        <w:rPr>
          <w:rFonts w:ascii="Garamond" w:hAnsi="Garamond"/>
        </w:rPr>
        <w:t xml:space="preserve">. </w:t>
      </w:r>
    </w:p>
    <w:p w14:paraId="2910F1DF" w14:textId="77777777" w:rsidR="008A49AB" w:rsidRDefault="008A49AB" w:rsidP="007C5E71">
      <w:pPr>
        <w:spacing w:line="480" w:lineRule="auto"/>
        <w:contextualSpacing/>
        <w:jc w:val="both"/>
        <w:rPr>
          <w:rFonts w:ascii="Garamond" w:hAnsi="Garamond"/>
        </w:rPr>
      </w:pPr>
    </w:p>
    <w:p w14:paraId="377ED632" w14:textId="358FA7B5" w:rsidR="006B070D" w:rsidRDefault="008A49AB" w:rsidP="006B070D">
      <w:pPr>
        <w:spacing w:line="480" w:lineRule="auto"/>
        <w:contextualSpacing/>
        <w:jc w:val="both"/>
        <w:rPr>
          <w:rFonts w:ascii="Garamond" w:hAnsi="Garamond"/>
        </w:rPr>
      </w:pPr>
      <w:r>
        <w:rPr>
          <w:rFonts w:ascii="Garamond" w:hAnsi="Garamond"/>
        </w:rPr>
        <w:tab/>
      </w:r>
      <w:r w:rsidR="001A6D16" w:rsidRPr="0018566A">
        <w:rPr>
          <w:rFonts w:ascii="Garamond" w:hAnsi="Garamond"/>
        </w:rPr>
        <w:t xml:space="preserve">Finally, most existing studies of the effect of compulsory schooling on health have estimated average effects, which may conceal </w:t>
      </w:r>
      <w:r w:rsidR="001A6D16">
        <w:rPr>
          <w:rFonts w:ascii="Garamond" w:hAnsi="Garamond"/>
        </w:rPr>
        <w:t xml:space="preserve">additional </w:t>
      </w:r>
      <w:r w:rsidR="001A6D16" w:rsidRPr="0018566A">
        <w:rPr>
          <w:rFonts w:ascii="Garamond" w:hAnsi="Garamond"/>
        </w:rPr>
        <w:t xml:space="preserve">heterogeneous effects on specific parts of the health distribution </w:t>
      </w:r>
      <w:r w:rsidR="001A6D16" w:rsidRPr="0018566A">
        <w:rPr>
          <w:rFonts w:ascii="Garamond" w:hAnsi="Garamond"/>
        </w:rPr>
        <w:fldChar w:fldCharType="begin"/>
      </w:r>
      <w:r w:rsidR="00CC2B97">
        <w:rPr>
          <w:rFonts w:ascii="Garamond" w:hAnsi="Garamond"/>
        </w:rPr>
        <w:instrText xml:space="preserve"> ADDIN EN.CITE &lt;EndNote&gt;&lt;Cite&gt;&lt;Author&gt;Barcellos&lt;/Author&gt;&lt;Year&gt;2018&lt;/Year&gt;&lt;RecNum&gt;32&lt;/RecNum&gt;&lt;DisplayText&gt;(Barcellos et al., 2018)&lt;/DisplayText&gt;&lt;record&gt;&lt;rec-number&gt;32&lt;/rec-number&gt;&lt;foreign-keys&gt;&lt;key app="EN" db-id="p5pavdvzwwdesueaz0rxssxmtd2ext2dvwpd" timestamp="1542656736"&gt;32&lt;/key&gt;&lt;/foreign-keys&gt;&lt;ref-type name="Journal Article"&gt;17&lt;/ref-type&gt;&lt;contributors&gt;&lt;authors&gt;&lt;author&gt;Barcellos, S.H.&lt;/author&gt;&lt;author&gt;Carvalho, L.S.&lt;/author&gt;&lt;author&gt;Turley, P.&lt;/author&gt;&lt;/authors&gt;&lt;/contributors&gt;&lt;titles&gt;&lt;title&gt;Distributional effects of education on health&lt;/title&gt;&lt;secondary-title&gt;Mimeo&lt;/secondary-title&gt;&lt;/titles&gt;&lt;periodical&gt;&lt;full-title&gt;Mimeo&lt;/full-title&gt;&lt;/periodical&gt;&lt;dates&gt;&lt;year&gt;2018&lt;/year&gt;&lt;/dates&gt;&lt;urls&gt;&lt;/urls&gt;&lt;/record&gt;&lt;/Cite&gt;&lt;/EndNote&gt;</w:instrText>
      </w:r>
      <w:r w:rsidR="001A6D16" w:rsidRPr="0018566A">
        <w:rPr>
          <w:rFonts w:ascii="Garamond" w:hAnsi="Garamond"/>
        </w:rPr>
        <w:fldChar w:fldCharType="separate"/>
      </w:r>
      <w:r w:rsidR="00C07932">
        <w:rPr>
          <w:rFonts w:ascii="Garamond" w:hAnsi="Garamond"/>
          <w:noProof/>
        </w:rPr>
        <w:t>(</w:t>
      </w:r>
      <w:hyperlink w:anchor="_ENREF_4" w:tooltip="Barcellos, 2018 #32" w:history="1">
        <w:r w:rsidR="006B1724">
          <w:rPr>
            <w:rFonts w:ascii="Garamond" w:hAnsi="Garamond"/>
            <w:noProof/>
          </w:rPr>
          <w:t>Barcellos et al., 2018</w:t>
        </w:r>
      </w:hyperlink>
      <w:r w:rsidR="00C07932">
        <w:rPr>
          <w:rFonts w:ascii="Garamond" w:hAnsi="Garamond"/>
          <w:noProof/>
        </w:rPr>
        <w:t>)</w:t>
      </w:r>
      <w:r w:rsidR="001A6D16" w:rsidRPr="0018566A">
        <w:rPr>
          <w:rFonts w:ascii="Garamond" w:hAnsi="Garamond"/>
        </w:rPr>
        <w:fldChar w:fldCharType="end"/>
      </w:r>
      <w:r w:rsidR="001A6D16" w:rsidRPr="0018566A">
        <w:rPr>
          <w:rFonts w:ascii="Garamond" w:hAnsi="Garamond"/>
        </w:rPr>
        <w:t>.</w:t>
      </w:r>
      <w:r w:rsidR="001A6D16">
        <w:rPr>
          <w:rFonts w:ascii="Garamond" w:hAnsi="Garamond"/>
        </w:rPr>
        <w:t xml:space="preserve"> </w:t>
      </w:r>
      <w:r w:rsidR="00EC5759">
        <w:rPr>
          <w:rFonts w:ascii="Garamond" w:hAnsi="Garamond"/>
        </w:rPr>
        <w:t xml:space="preserve">In supplementary models, </w:t>
      </w:r>
      <w:r w:rsidR="006B070D">
        <w:rPr>
          <w:rFonts w:ascii="Garamond" w:hAnsi="Garamond"/>
        </w:rPr>
        <w:t>we estimate quantile treatment effects (QTE) across the distributions of biomarkers</w:t>
      </w:r>
      <w:r w:rsidR="001A6D16">
        <w:rPr>
          <w:rFonts w:ascii="Garamond" w:hAnsi="Garamond"/>
        </w:rPr>
        <w:t xml:space="preserve"> </w:t>
      </w:r>
      <w:r w:rsidR="001A6D16" w:rsidRPr="0018566A">
        <w:rPr>
          <w:rFonts w:ascii="Garamond" w:hAnsi="Garamond"/>
        </w:rPr>
        <w:fldChar w:fldCharType="begin"/>
      </w:r>
      <w:r w:rsidR="00CC2B97">
        <w:rPr>
          <w:rFonts w:ascii="Garamond" w:hAnsi="Garamond"/>
        </w:rPr>
        <w:instrText xml:space="preserve"> ADDIN EN.CITE &lt;EndNote&gt;&lt;Cite&gt;&lt;Author&gt;Djebbari&lt;/Author&gt;&lt;Year&gt;2008&lt;/Year&gt;&lt;RecNum&gt;46&lt;/RecNum&gt;&lt;DisplayText&gt;(Bitler, Gelbach, &amp;amp; Hoynes, 2006; Djebbari &amp;amp; Smith, 2008)&lt;/DisplayText&gt;&lt;record&gt;&lt;rec-number&gt;46&lt;/rec-number&gt;&lt;foreign-keys&gt;&lt;key app="EN" db-id="p5pavdvzwwdesueaz0rxssxmtd2ext2dvwpd" timestamp="1542656736"&gt;46&lt;/key&gt;&lt;/foreign-keys&gt;&lt;ref-type name="Journal Article"&gt;17&lt;/ref-type&gt;&lt;contributors&gt;&lt;authors&gt;&lt;author&gt;Djebbari, H.&lt;/author&gt;&lt;author&gt;Smith, J.A.&lt;/author&gt;&lt;/authors&gt;&lt;/contributors&gt;&lt;titles&gt;&lt;title&gt;Heterogenous impacts in PROGRESA&lt;/title&gt;&lt;secondary-title&gt;Journal of Econometrics&lt;/secondary-title&gt;&lt;/titles&gt;&lt;periodical&gt;&lt;full-title&gt;Journal of Econometrics&lt;/full-title&gt;&lt;/periodical&gt;&lt;pages&gt;64-80&lt;/pages&gt;&lt;volume&gt;145&lt;/volume&gt;&lt;number&gt;1&lt;/number&gt;&lt;dates&gt;&lt;year&gt;2008&lt;/year&gt;&lt;/dates&gt;&lt;urls&gt;&lt;/urls&gt;&lt;/record&gt;&lt;/Cite&gt;&lt;Cite&gt;&lt;Author&gt;Bitler&lt;/Author&gt;&lt;Year&gt;2006&lt;/Year&gt;&lt;RecNum&gt;47&lt;/RecNum&gt;&lt;record&gt;&lt;rec-number&gt;47&lt;/rec-number&gt;&lt;foreign-keys&gt;&lt;key app="EN" db-id="p5pavdvzwwdesueaz0rxssxmtd2ext2dvwpd" timestamp="1542656736"&gt;47&lt;/key&gt;&lt;/foreign-keys&gt;&lt;ref-type name="Journal Article"&gt;17&lt;/ref-type&gt;&lt;contributors&gt;&lt;authors&gt;&lt;author&gt;Bitler, M. P.&lt;/author&gt;&lt;author&gt;Gelbach, J.B.&lt;/author&gt;&lt;author&gt;Hoynes, H.W.&lt;/author&gt;&lt;/authors&gt;&lt;/contributors&gt;&lt;titles&gt;&lt;title&gt;What mean impacts miss: distributional effects of welfare reform experiments&lt;/title&gt;&lt;secondary-title&gt;American Economic Review&lt;/secondary-title&gt;&lt;/titles&gt;&lt;periodical&gt;&lt;full-title&gt;American Economic Review&lt;/full-title&gt;&lt;/periodical&gt;&lt;pages&gt;988-1012&lt;/pages&gt;&lt;volume&gt;96&lt;/volume&gt;&lt;number&gt;4&lt;/number&gt;&lt;dates&gt;&lt;year&gt;2006&lt;/year&gt;&lt;/dates&gt;&lt;urls&gt;&lt;/urls&gt;&lt;/record&gt;&lt;/Cite&gt;&lt;/EndNote&gt;</w:instrText>
      </w:r>
      <w:r w:rsidR="001A6D16" w:rsidRPr="0018566A">
        <w:rPr>
          <w:rFonts w:ascii="Garamond" w:hAnsi="Garamond"/>
        </w:rPr>
        <w:fldChar w:fldCharType="separate"/>
      </w:r>
      <w:r w:rsidR="00C07932">
        <w:rPr>
          <w:rFonts w:ascii="Garamond" w:hAnsi="Garamond"/>
          <w:noProof/>
        </w:rPr>
        <w:t>(</w:t>
      </w:r>
      <w:hyperlink w:anchor="_ENREF_5" w:tooltip="Bitler, 2006 #47" w:history="1">
        <w:r w:rsidR="006B1724">
          <w:rPr>
            <w:rFonts w:ascii="Garamond" w:hAnsi="Garamond"/>
            <w:noProof/>
          </w:rPr>
          <w:t>Bitler, Gelbach, &amp; Hoynes, 2006</w:t>
        </w:r>
      </w:hyperlink>
      <w:r w:rsidR="00C07932">
        <w:rPr>
          <w:rFonts w:ascii="Garamond" w:hAnsi="Garamond"/>
          <w:noProof/>
        </w:rPr>
        <w:t xml:space="preserve">; </w:t>
      </w:r>
      <w:hyperlink w:anchor="_ENREF_16" w:tooltip="Djebbari, 2008 #46" w:history="1">
        <w:r w:rsidR="006B1724">
          <w:rPr>
            <w:rFonts w:ascii="Garamond" w:hAnsi="Garamond"/>
            <w:noProof/>
          </w:rPr>
          <w:t>Djebbari &amp; Smith, 2008</w:t>
        </w:r>
      </w:hyperlink>
      <w:r w:rsidR="00C07932">
        <w:rPr>
          <w:rFonts w:ascii="Garamond" w:hAnsi="Garamond"/>
          <w:noProof/>
        </w:rPr>
        <w:t>)</w:t>
      </w:r>
      <w:r w:rsidR="001A6D16" w:rsidRPr="0018566A">
        <w:rPr>
          <w:rFonts w:ascii="Garamond" w:hAnsi="Garamond"/>
        </w:rPr>
        <w:fldChar w:fldCharType="end"/>
      </w:r>
      <w:r w:rsidR="006B070D">
        <w:rPr>
          <w:rFonts w:ascii="Garamond" w:hAnsi="Garamond"/>
        </w:rPr>
        <w:t xml:space="preserve">. Whilst linear regression focuses on the effect of the reform on the conditional mean, quantile regressions allows us to estimate the effect of the reform on </w:t>
      </w:r>
      <w:r w:rsidR="00EC5759">
        <w:rPr>
          <w:rFonts w:ascii="Garamond" w:hAnsi="Garamond"/>
        </w:rPr>
        <w:t>different</w:t>
      </w:r>
      <w:r w:rsidR="006B070D">
        <w:rPr>
          <w:rFonts w:ascii="Garamond" w:hAnsi="Garamond"/>
        </w:rPr>
        <w:t xml:space="preserve"> </w:t>
      </w:r>
      <w:r w:rsidR="00EC5759">
        <w:rPr>
          <w:rFonts w:ascii="Garamond" w:hAnsi="Garamond"/>
        </w:rPr>
        <w:lastRenderedPageBreak/>
        <w:t>sections</w:t>
      </w:r>
      <w:r w:rsidR="006B070D" w:rsidRPr="004D3A48">
        <w:rPr>
          <w:rFonts w:ascii="Garamond" w:hAnsi="Garamond"/>
        </w:rPr>
        <w:t xml:space="preserve"> of the</w:t>
      </w:r>
      <w:r w:rsidR="006B070D">
        <w:rPr>
          <w:rFonts w:ascii="Garamond" w:hAnsi="Garamond"/>
        </w:rPr>
        <w:t xml:space="preserve"> </w:t>
      </w:r>
      <w:r w:rsidR="006B070D" w:rsidRPr="004D3A48">
        <w:rPr>
          <w:rFonts w:ascii="Garamond" w:hAnsi="Garamond"/>
        </w:rPr>
        <w:t>conditional distribution</w:t>
      </w:r>
      <w:r w:rsidR="006B070D">
        <w:rPr>
          <w:rFonts w:ascii="Garamond" w:hAnsi="Garamond"/>
        </w:rPr>
        <w:t xml:space="preserve">. QTE are a way to test whether the impact of the </w:t>
      </w:r>
      <w:proofErr w:type="spellStart"/>
      <w:r w:rsidR="006B070D">
        <w:rPr>
          <w:rFonts w:ascii="Garamond" w:hAnsi="Garamond"/>
        </w:rPr>
        <w:t>Berthoin</w:t>
      </w:r>
      <w:proofErr w:type="spellEnd"/>
      <w:r w:rsidR="006B070D">
        <w:rPr>
          <w:rFonts w:ascii="Garamond" w:hAnsi="Garamond"/>
        </w:rPr>
        <w:t xml:space="preserve"> reform is constant or differs across quantiles of the outcome distributions (</w:t>
      </w:r>
      <w:r w:rsidR="006B070D" w:rsidRPr="008A49AB">
        <w:rPr>
          <w:rFonts w:ascii="Garamond" w:hAnsi="Garamond"/>
          <w:i/>
        </w:rPr>
        <w:t>e.g.</w:t>
      </w:r>
      <w:r w:rsidR="006B070D">
        <w:rPr>
          <w:rFonts w:ascii="Garamond" w:hAnsi="Garamond"/>
        </w:rPr>
        <w:t xml:space="preserve"> at the bottom of the distribution among the least healthy or at the top of the distribution among the healthiest).  We estimate QTE at each decile of the distribution of biomarkers, and present results graphically. </w:t>
      </w:r>
    </w:p>
    <w:p w14:paraId="21F0D489" w14:textId="576BF689" w:rsidR="00AE2399" w:rsidRDefault="004A192C" w:rsidP="006B070D">
      <w:pPr>
        <w:spacing w:line="480" w:lineRule="auto"/>
        <w:contextualSpacing/>
        <w:jc w:val="both"/>
        <w:rPr>
          <w:rFonts w:ascii="Garamond" w:hAnsi="Garamond"/>
        </w:rPr>
      </w:pPr>
      <w:r w:rsidRPr="00515E78">
        <w:rPr>
          <w:rFonts w:ascii="Garamond" w:hAnsi="Garamond"/>
        </w:rPr>
        <w:t xml:space="preserve">All analyses were conducted using Stata 14. </w:t>
      </w:r>
    </w:p>
    <w:p w14:paraId="58AEE981" w14:textId="77777777" w:rsidR="001A6D16" w:rsidRDefault="001A6D16" w:rsidP="006B070D">
      <w:pPr>
        <w:spacing w:line="480" w:lineRule="auto"/>
        <w:contextualSpacing/>
        <w:jc w:val="both"/>
        <w:rPr>
          <w:rFonts w:ascii="Garamond" w:hAnsi="Garamond"/>
        </w:rPr>
      </w:pPr>
    </w:p>
    <w:p w14:paraId="5D74536E" w14:textId="064B9C39" w:rsidR="004A192C" w:rsidRDefault="00AC535D" w:rsidP="00C278B9">
      <w:pPr>
        <w:spacing w:line="480" w:lineRule="auto"/>
        <w:contextualSpacing/>
        <w:outlineLvl w:val="0"/>
        <w:rPr>
          <w:rFonts w:ascii="Garamond" w:hAnsi="Garamond"/>
          <w:b/>
        </w:rPr>
      </w:pPr>
      <w:r>
        <w:rPr>
          <w:rFonts w:ascii="Garamond" w:hAnsi="Garamond"/>
          <w:b/>
        </w:rPr>
        <w:t>Results</w:t>
      </w:r>
    </w:p>
    <w:p w14:paraId="4E53A34E" w14:textId="2A5B492B" w:rsidR="002B4C3E" w:rsidRDefault="007613BE" w:rsidP="00CE0747">
      <w:pPr>
        <w:spacing w:line="480" w:lineRule="auto"/>
        <w:ind w:firstLine="720"/>
        <w:contextualSpacing/>
        <w:jc w:val="both"/>
        <w:rPr>
          <w:rFonts w:ascii="Garamond" w:hAnsi="Garamond"/>
        </w:rPr>
      </w:pPr>
      <w:r w:rsidRPr="00515E78">
        <w:rPr>
          <w:rFonts w:ascii="Garamond" w:hAnsi="Garamond"/>
          <w:b/>
        </w:rPr>
        <w:t>Table 1</w:t>
      </w:r>
      <w:r w:rsidRPr="00515E78">
        <w:rPr>
          <w:rFonts w:ascii="Garamond" w:hAnsi="Garamond"/>
        </w:rPr>
        <w:t xml:space="preserve"> displays the sample characteristics, by eligibility status</w:t>
      </w:r>
      <w:r w:rsidR="007D412E">
        <w:rPr>
          <w:rFonts w:ascii="Garamond" w:hAnsi="Garamond"/>
        </w:rPr>
        <w:t xml:space="preserve"> to the </w:t>
      </w:r>
      <w:proofErr w:type="spellStart"/>
      <w:r w:rsidR="007D412E">
        <w:rPr>
          <w:rFonts w:ascii="Garamond" w:hAnsi="Garamond"/>
        </w:rPr>
        <w:t>Berthoin</w:t>
      </w:r>
      <w:proofErr w:type="spellEnd"/>
      <w:r w:rsidR="007D412E">
        <w:rPr>
          <w:rFonts w:ascii="Garamond" w:hAnsi="Garamond"/>
        </w:rPr>
        <w:t xml:space="preserve"> reform</w:t>
      </w:r>
      <w:r w:rsidRPr="00515E78">
        <w:rPr>
          <w:rFonts w:ascii="Garamond" w:hAnsi="Garamond"/>
        </w:rPr>
        <w:t xml:space="preserve">. The </w:t>
      </w:r>
      <w:r w:rsidR="000F5698">
        <w:rPr>
          <w:rFonts w:ascii="Garamond" w:hAnsi="Garamond"/>
        </w:rPr>
        <w:t>eligible</w:t>
      </w:r>
      <w:r w:rsidRPr="00515E78">
        <w:rPr>
          <w:rFonts w:ascii="Garamond" w:hAnsi="Garamond"/>
        </w:rPr>
        <w:t xml:space="preserve"> and </w:t>
      </w:r>
      <w:r w:rsidR="000F5698">
        <w:rPr>
          <w:rFonts w:ascii="Garamond" w:hAnsi="Garamond"/>
        </w:rPr>
        <w:t>ineligible</w:t>
      </w:r>
      <w:r w:rsidRPr="00515E78">
        <w:rPr>
          <w:rFonts w:ascii="Garamond" w:hAnsi="Garamond"/>
        </w:rPr>
        <w:t xml:space="preserve"> groups </w:t>
      </w:r>
      <w:r w:rsidR="000F5698">
        <w:rPr>
          <w:rFonts w:ascii="Garamond" w:hAnsi="Garamond"/>
        </w:rPr>
        <w:t>were</w:t>
      </w:r>
      <w:r w:rsidR="00A16EBB" w:rsidRPr="00515E78">
        <w:rPr>
          <w:rFonts w:ascii="Garamond" w:hAnsi="Garamond"/>
        </w:rPr>
        <w:t xml:space="preserve"> broadly similar in terms of </w:t>
      </w:r>
      <w:r w:rsidR="00D159A3">
        <w:rPr>
          <w:rFonts w:ascii="Garamond" w:hAnsi="Garamond"/>
        </w:rPr>
        <w:t xml:space="preserve">pre-reform characteristics, including gender and </w:t>
      </w:r>
      <w:r w:rsidR="00AA3937">
        <w:rPr>
          <w:rFonts w:ascii="Garamond" w:hAnsi="Garamond"/>
        </w:rPr>
        <w:t>parental social</w:t>
      </w:r>
      <w:r w:rsidR="00D159A3">
        <w:rPr>
          <w:rFonts w:ascii="Garamond" w:hAnsi="Garamond"/>
        </w:rPr>
        <w:t xml:space="preserve"> class</w:t>
      </w:r>
      <w:r w:rsidR="00A16EBB" w:rsidRPr="00515E78">
        <w:rPr>
          <w:rFonts w:ascii="Garamond" w:hAnsi="Garamond"/>
        </w:rPr>
        <w:t xml:space="preserve"> during adolescence.</w:t>
      </w:r>
      <w:r w:rsidR="00D159A3">
        <w:rPr>
          <w:rFonts w:ascii="Garamond" w:hAnsi="Garamond"/>
        </w:rPr>
        <w:t xml:space="preserve"> As eligib</w:t>
      </w:r>
      <w:r w:rsidR="00ED6C12">
        <w:rPr>
          <w:rFonts w:ascii="Garamond" w:hAnsi="Garamond"/>
        </w:rPr>
        <w:t>ility is based on the date of bir</w:t>
      </w:r>
      <w:r w:rsidR="00D159A3">
        <w:rPr>
          <w:rFonts w:ascii="Garamond" w:hAnsi="Garamond"/>
        </w:rPr>
        <w:t xml:space="preserve">th, respondents from the control group </w:t>
      </w:r>
      <w:r w:rsidR="000F5698">
        <w:rPr>
          <w:rFonts w:ascii="Garamond" w:hAnsi="Garamond"/>
        </w:rPr>
        <w:t>were</w:t>
      </w:r>
      <w:r w:rsidR="00D159A3">
        <w:rPr>
          <w:rFonts w:ascii="Garamond" w:hAnsi="Garamond"/>
        </w:rPr>
        <w:t xml:space="preserve"> older (</w:t>
      </w:r>
      <w:r w:rsidR="00217902">
        <w:rPr>
          <w:rFonts w:ascii="Garamond" w:hAnsi="Garamond"/>
        </w:rPr>
        <w:t>mean=</w:t>
      </w:r>
      <w:r w:rsidR="00D159A3">
        <w:rPr>
          <w:rFonts w:ascii="Garamond" w:hAnsi="Garamond"/>
        </w:rPr>
        <w:t>63.67) than the treated group (</w:t>
      </w:r>
      <w:r w:rsidR="00993C65">
        <w:rPr>
          <w:rFonts w:ascii="Garamond" w:hAnsi="Garamond"/>
        </w:rPr>
        <w:t>mean=</w:t>
      </w:r>
      <w:r w:rsidR="00D159A3">
        <w:rPr>
          <w:rFonts w:ascii="Garamond" w:hAnsi="Garamond"/>
        </w:rPr>
        <w:t xml:space="preserve">59.72). </w:t>
      </w:r>
    </w:p>
    <w:p w14:paraId="53DC7C49" w14:textId="77777777" w:rsidR="003D73A9" w:rsidRDefault="003D73A9" w:rsidP="00CE0747">
      <w:pPr>
        <w:spacing w:line="480" w:lineRule="auto"/>
        <w:ind w:firstLine="720"/>
        <w:contextualSpacing/>
        <w:jc w:val="both"/>
        <w:rPr>
          <w:rFonts w:ascii="Garamond" w:hAnsi="Garamond"/>
        </w:rPr>
      </w:pPr>
    </w:p>
    <w:p w14:paraId="4D1A7AA7" w14:textId="597B1F26" w:rsidR="000E1D1E" w:rsidRDefault="003E5704" w:rsidP="00755AC2">
      <w:pPr>
        <w:spacing w:line="480" w:lineRule="auto"/>
        <w:ind w:firstLine="720"/>
        <w:contextualSpacing/>
        <w:jc w:val="both"/>
        <w:rPr>
          <w:rFonts w:ascii="Garamond" w:hAnsi="Garamond"/>
        </w:rPr>
      </w:pPr>
      <w:r>
        <w:rPr>
          <w:rFonts w:ascii="Garamond" w:hAnsi="Garamond"/>
          <w:b/>
        </w:rPr>
        <w:t>Appendix Table 1</w:t>
      </w:r>
      <w:r w:rsidR="004A192C" w:rsidRPr="000E1D1E">
        <w:rPr>
          <w:rFonts w:ascii="Garamond" w:hAnsi="Garamond"/>
        </w:rPr>
        <w:t xml:space="preserve"> shows</w:t>
      </w:r>
      <w:r w:rsidR="007D412E">
        <w:rPr>
          <w:rFonts w:ascii="Garamond" w:hAnsi="Garamond"/>
        </w:rPr>
        <w:t xml:space="preserve"> </w:t>
      </w:r>
      <w:r w:rsidR="000F5698">
        <w:rPr>
          <w:rFonts w:ascii="Garamond" w:hAnsi="Garamond"/>
        </w:rPr>
        <w:t xml:space="preserve">OLS estimates of the association between </w:t>
      </w:r>
      <w:r w:rsidR="007D412E">
        <w:rPr>
          <w:rFonts w:ascii="Garamond" w:hAnsi="Garamond"/>
        </w:rPr>
        <w:t xml:space="preserve">educational attainment and </w:t>
      </w:r>
      <w:r w:rsidR="005454CD">
        <w:rPr>
          <w:rFonts w:ascii="Garamond" w:hAnsi="Garamond"/>
        </w:rPr>
        <w:t>individual biomarkers</w:t>
      </w:r>
      <w:r w:rsidR="007D412E">
        <w:rPr>
          <w:rFonts w:ascii="Garamond" w:hAnsi="Garamond"/>
        </w:rPr>
        <w:t>.</w:t>
      </w:r>
      <w:r w:rsidR="004A192C" w:rsidRPr="000E1D1E">
        <w:rPr>
          <w:rFonts w:ascii="Garamond" w:hAnsi="Garamond"/>
        </w:rPr>
        <w:t xml:space="preserve"> </w:t>
      </w:r>
      <w:r>
        <w:rPr>
          <w:rFonts w:ascii="Garamond" w:hAnsi="Garamond"/>
        </w:rPr>
        <w:t>It confirms that in our sample, h</w:t>
      </w:r>
      <w:r w:rsidR="005454CD">
        <w:rPr>
          <w:rFonts w:ascii="Garamond" w:hAnsi="Garamond"/>
        </w:rPr>
        <w:t xml:space="preserve">igher education </w:t>
      </w:r>
      <w:r w:rsidR="000F5698">
        <w:rPr>
          <w:rFonts w:ascii="Garamond" w:hAnsi="Garamond"/>
        </w:rPr>
        <w:t>was</w:t>
      </w:r>
      <w:r w:rsidR="00CA7B4F">
        <w:rPr>
          <w:rFonts w:ascii="Garamond" w:hAnsi="Garamond"/>
        </w:rPr>
        <w:t xml:space="preserve"> consistently associated with healthier </w:t>
      </w:r>
      <w:r w:rsidR="000F5698">
        <w:rPr>
          <w:rFonts w:ascii="Garamond" w:hAnsi="Garamond"/>
        </w:rPr>
        <w:t>biological profiles</w:t>
      </w:r>
      <w:r w:rsidR="009D482B">
        <w:rPr>
          <w:rFonts w:ascii="Garamond" w:hAnsi="Garamond"/>
        </w:rPr>
        <w:t xml:space="preserve">. </w:t>
      </w:r>
    </w:p>
    <w:p w14:paraId="19B73AC3" w14:textId="09F58B71" w:rsidR="009D482B" w:rsidRDefault="009D482B" w:rsidP="0027647B">
      <w:pPr>
        <w:spacing w:line="480" w:lineRule="auto"/>
        <w:ind w:firstLine="720"/>
        <w:contextualSpacing/>
        <w:jc w:val="both"/>
        <w:rPr>
          <w:rFonts w:ascii="Garamond" w:hAnsi="Garamond"/>
        </w:rPr>
      </w:pPr>
    </w:p>
    <w:p w14:paraId="0F78A911" w14:textId="6366DBAE" w:rsidR="00B10480" w:rsidRDefault="0067088A" w:rsidP="00B10480">
      <w:pPr>
        <w:spacing w:line="480" w:lineRule="auto"/>
        <w:ind w:firstLine="720"/>
        <w:contextualSpacing/>
        <w:jc w:val="both"/>
        <w:rPr>
          <w:rFonts w:ascii="Garamond" w:hAnsi="Garamond"/>
        </w:rPr>
      </w:pPr>
      <w:r>
        <w:rPr>
          <w:rFonts w:ascii="Garamond" w:hAnsi="Garamond"/>
        </w:rPr>
        <w:t xml:space="preserve">We now turn to </w:t>
      </w:r>
      <w:r w:rsidR="00CE6E01">
        <w:rPr>
          <w:rFonts w:ascii="Garamond" w:hAnsi="Garamond"/>
        </w:rPr>
        <w:t>our estimation of</w:t>
      </w:r>
      <w:r>
        <w:rPr>
          <w:rFonts w:ascii="Garamond" w:hAnsi="Garamond"/>
        </w:rPr>
        <w:t xml:space="preserve"> the </w:t>
      </w:r>
      <w:r w:rsidR="003D73A9">
        <w:rPr>
          <w:rFonts w:ascii="Garamond" w:hAnsi="Garamond"/>
        </w:rPr>
        <w:t>effect</w:t>
      </w:r>
      <w:r>
        <w:rPr>
          <w:rFonts w:ascii="Garamond" w:hAnsi="Garamond"/>
        </w:rPr>
        <w:t xml:space="preserve"> of the </w:t>
      </w:r>
      <w:proofErr w:type="spellStart"/>
      <w:r w:rsidR="002C7991">
        <w:rPr>
          <w:rFonts w:ascii="Garamond" w:hAnsi="Garamond"/>
        </w:rPr>
        <w:t>Berthoin</w:t>
      </w:r>
      <w:proofErr w:type="spellEnd"/>
      <w:r w:rsidR="002C7991">
        <w:rPr>
          <w:rFonts w:ascii="Garamond" w:hAnsi="Garamond"/>
        </w:rPr>
        <w:t xml:space="preserve"> reform on biomarkers</w:t>
      </w:r>
      <w:r w:rsidR="00CA7B4F">
        <w:rPr>
          <w:rFonts w:ascii="Garamond" w:hAnsi="Garamond"/>
        </w:rPr>
        <w:t xml:space="preserve"> using </w:t>
      </w:r>
      <w:r w:rsidR="00166828">
        <w:rPr>
          <w:rFonts w:ascii="Garamond" w:hAnsi="Garamond"/>
        </w:rPr>
        <w:t>a</w:t>
      </w:r>
      <w:r w:rsidR="005363BC">
        <w:rPr>
          <w:rFonts w:ascii="Garamond" w:hAnsi="Garamond"/>
        </w:rPr>
        <w:t>n</w:t>
      </w:r>
      <w:r w:rsidR="00166828">
        <w:rPr>
          <w:rFonts w:ascii="Garamond" w:hAnsi="Garamond"/>
        </w:rPr>
        <w:t xml:space="preserve"> </w:t>
      </w:r>
      <w:r w:rsidR="003D73A9">
        <w:rPr>
          <w:rFonts w:ascii="Garamond" w:hAnsi="Garamond"/>
        </w:rPr>
        <w:t>RDD</w:t>
      </w:r>
      <w:r w:rsidR="002C7991">
        <w:rPr>
          <w:rFonts w:ascii="Garamond" w:hAnsi="Garamond"/>
        </w:rPr>
        <w:t xml:space="preserve">. </w:t>
      </w:r>
      <w:r w:rsidR="00B53A09">
        <w:rPr>
          <w:rFonts w:ascii="Garamond" w:hAnsi="Garamond"/>
        </w:rPr>
        <w:t>We start by examining the impact of the reform on schooling</w:t>
      </w:r>
      <w:r w:rsidR="003D73A9">
        <w:rPr>
          <w:rFonts w:ascii="Garamond" w:hAnsi="Garamond"/>
        </w:rPr>
        <w:t xml:space="preserve"> duration</w:t>
      </w:r>
      <w:r w:rsidR="00B53A09">
        <w:rPr>
          <w:rFonts w:ascii="Garamond" w:hAnsi="Garamond"/>
        </w:rPr>
        <w:t xml:space="preserve"> using the </w:t>
      </w:r>
      <w:r w:rsidR="00B53A09" w:rsidRPr="0067582D">
        <w:rPr>
          <w:rFonts w:ascii="Garamond" w:hAnsi="Garamond"/>
        </w:rPr>
        <w:t>French Labor Force Survey</w:t>
      </w:r>
      <w:r w:rsidR="00B53A09">
        <w:rPr>
          <w:rFonts w:ascii="Garamond" w:hAnsi="Garamond"/>
        </w:rPr>
        <w:t xml:space="preserve">. </w:t>
      </w:r>
      <w:r w:rsidR="00C1427D" w:rsidRPr="00515E78">
        <w:rPr>
          <w:rFonts w:ascii="Garamond" w:hAnsi="Garamond"/>
          <w:b/>
        </w:rPr>
        <w:t>Figure 1</w:t>
      </w:r>
      <w:r w:rsidR="00C1427D" w:rsidRPr="00515E78">
        <w:rPr>
          <w:rFonts w:ascii="Garamond" w:hAnsi="Garamond"/>
        </w:rPr>
        <w:t xml:space="preserve"> shows the discontinuity in school leaving age for the cohorts born before and after 1</w:t>
      </w:r>
      <w:r w:rsidR="00C1427D" w:rsidRPr="00515E78">
        <w:rPr>
          <w:rFonts w:ascii="Garamond" w:hAnsi="Garamond"/>
          <w:vertAlign w:val="superscript"/>
        </w:rPr>
        <w:t>st</w:t>
      </w:r>
      <w:r w:rsidR="00C1427D" w:rsidRPr="00515E78">
        <w:rPr>
          <w:rFonts w:ascii="Garamond" w:hAnsi="Garamond"/>
        </w:rPr>
        <w:t xml:space="preserve"> January 1953. The dotted line represents the cut-off for the first cohort affected by the reform.</w:t>
      </w:r>
      <w:r w:rsidR="00C1427D">
        <w:rPr>
          <w:rFonts w:ascii="Garamond" w:hAnsi="Garamond"/>
        </w:rPr>
        <w:t xml:space="preserve"> </w:t>
      </w:r>
      <w:r w:rsidR="00CE6E01" w:rsidRPr="00806384">
        <w:rPr>
          <w:rFonts w:ascii="Garamond" w:hAnsi="Garamond"/>
          <w:lang w:val="en-GB"/>
        </w:rPr>
        <w:t xml:space="preserve">There </w:t>
      </w:r>
      <w:r w:rsidR="003D73A9">
        <w:rPr>
          <w:rFonts w:ascii="Garamond" w:hAnsi="Garamond"/>
          <w:lang w:val="en-GB"/>
        </w:rPr>
        <w:t>is</w:t>
      </w:r>
      <w:r w:rsidR="00CE6E01" w:rsidRPr="00806384">
        <w:rPr>
          <w:rFonts w:ascii="Garamond" w:hAnsi="Garamond"/>
          <w:lang w:val="en-GB"/>
        </w:rPr>
        <w:t xml:space="preserve"> a cl</w:t>
      </w:r>
      <w:r w:rsidR="00CE6E01">
        <w:rPr>
          <w:rFonts w:ascii="Garamond" w:hAnsi="Garamond"/>
          <w:lang w:val="en-GB"/>
        </w:rPr>
        <w:t xml:space="preserve">ear discontinuity </w:t>
      </w:r>
      <w:r w:rsidR="00CE6E01" w:rsidRPr="00806384">
        <w:rPr>
          <w:rFonts w:ascii="Garamond" w:hAnsi="Garamond"/>
          <w:lang w:val="en-GB"/>
        </w:rPr>
        <w:t xml:space="preserve">in school leaving age </w:t>
      </w:r>
      <w:r w:rsidR="003D73A9">
        <w:rPr>
          <w:rFonts w:ascii="Garamond" w:hAnsi="Garamond"/>
          <w:lang w:val="en-GB"/>
        </w:rPr>
        <w:t>induced by</w:t>
      </w:r>
      <w:r w:rsidR="00CE6E01" w:rsidRPr="00806384">
        <w:rPr>
          <w:rFonts w:ascii="Garamond" w:hAnsi="Garamond"/>
          <w:lang w:val="en-GB"/>
        </w:rPr>
        <w:t xml:space="preserve"> </w:t>
      </w:r>
      <w:r w:rsidR="00CE6E01">
        <w:rPr>
          <w:rFonts w:ascii="Garamond" w:hAnsi="Garamond"/>
          <w:lang w:val="en-GB"/>
        </w:rPr>
        <w:t>the reform.</w:t>
      </w:r>
      <w:r w:rsidR="00CE6E01">
        <w:rPr>
          <w:rFonts w:ascii="Garamond" w:hAnsi="Garamond"/>
        </w:rPr>
        <w:t xml:space="preserve"> </w:t>
      </w:r>
      <w:r w:rsidR="00C1427D">
        <w:rPr>
          <w:rFonts w:ascii="Garamond" w:hAnsi="Garamond"/>
        </w:rPr>
        <w:t xml:space="preserve">These results are confirmed in </w:t>
      </w:r>
      <w:r w:rsidR="00CB2916" w:rsidRPr="00515E78">
        <w:rPr>
          <w:rFonts w:ascii="Garamond" w:hAnsi="Garamond"/>
          <w:b/>
        </w:rPr>
        <w:t xml:space="preserve">Table </w:t>
      </w:r>
      <w:r w:rsidR="00991D00">
        <w:rPr>
          <w:rFonts w:ascii="Garamond" w:hAnsi="Garamond"/>
          <w:b/>
        </w:rPr>
        <w:t>2</w:t>
      </w:r>
      <w:r w:rsidR="00F64697" w:rsidRPr="00F64697">
        <w:rPr>
          <w:rFonts w:ascii="Garamond" w:hAnsi="Garamond"/>
        </w:rPr>
        <w:t>,</w:t>
      </w:r>
      <w:r w:rsidR="00F64697">
        <w:rPr>
          <w:rFonts w:ascii="Garamond" w:hAnsi="Garamond"/>
        </w:rPr>
        <w:t xml:space="preserve"> </w:t>
      </w:r>
      <w:r w:rsidR="00C1427D">
        <w:rPr>
          <w:rFonts w:ascii="Garamond" w:hAnsi="Garamond"/>
        </w:rPr>
        <w:t xml:space="preserve">which </w:t>
      </w:r>
      <w:r w:rsidR="00B53A09">
        <w:rPr>
          <w:rFonts w:ascii="Garamond" w:hAnsi="Garamond"/>
        </w:rPr>
        <w:t>summarizes</w:t>
      </w:r>
      <w:r w:rsidR="00C1427D">
        <w:rPr>
          <w:rFonts w:ascii="Garamond" w:hAnsi="Garamond"/>
        </w:rPr>
        <w:t xml:space="preserve"> the </w:t>
      </w:r>
      <w:r w:rsidR="00B53A09">
        <w:rPr>
          <w:rFonts w:ascii="Garamond" w:hAnsi="Garamond"/>
        </w:rPr>
        <w:t xml:space="preserve">impact of </w:t>
      </w:r>
      <w:r w:rsidR="00CE6E01">
        <w:rPr>
          <w:rFonts w:ascii="Garamond" w:hAnsi="Garamond"/>
        </w:rPr>
        <w:t>eligibility to the reform</w:t>
      </w:r>
      <w:r w:rsidR="00CB2916" w:rsidRPr="00515E78">
        <w:rPr>
          <w:rFonts w:ascii="Garamond" w:hAnsi="Garamond"/>
        </w:rPr>
        <w:t xml:space="preserve"> </w:t>
      </w:r>
      <w:r w:rsidR="00B53A09">
        <w:rPr>
          <w:rFonts w:ascii="Garamond" w:hAnsi="Garamond"/>
        </w:rPr>
        <w:t xml:space="preserve">on </w:t>
      </w:r>
      <w:r w:rsidR="00CB2916" w:rsidRPr="00515E78">
        <w:rPr>
          <w:rFonts w:ascii="Garamond" w:hAnsi="Garamond"/>
        </w:rPr>
        <w:t>school leaving age</w:t>
      </w:r>
      <w:r w:rsidR="000F5698">
        <w:rPr>
          <w:rFonts w:ascii="Garamond" w:hAnsi="Garamond"/>
        </w:rPr>
        <w:t xml:space="preserve"> and the odds of living school after the age of 16</w:t>
      </w:r>
      <w:r w:rsidR="00CB2916" w:rsidRPr="00515E78">
        <w:rPr>
          <w:rFonts w:ascii="Garamond" w:hAnsi="Garamond"/>
        </w:rPr>
        <w:t xml:space="preserve">. </w:t>
      </w:r>
      <w:r w:rsidR="00CA7B4F">
        <w:rPr>
          <w:rFonts w:ascii="Garamond" w:hAnsi="Garamond"/>
        </w:rPr>
        <w:t>As anticipated, t</w:t>
      </w:r>
      <w:r w:rsidR="00CB2916" w:rsidRPr="00515E78">
        <w:rPr>
          <w:rFonts w:ascii="Garamond" w:hAnsi="Garamond"/>
        </w:rPr>
        <w:t xml:space="preserve">he impact of the educational reform was concentrated </w:t>
      </w:r>
      <w:r w:rsidR="006548D2">
        <w:rPr>
          <w:rFonts w:ascii="Garamond" w:hAnsi="Garamond"/>
        </w:rPr>
        <w:t>among</w:t>
      </w:r>
      <w:r w:rsidR="00CB2916" w:rsidRPr="00515E78">
        <w:rPr>
          <w:rFonts w:ascii="Garamond" w:hAnsi="Garamond"/>
        </w:rPr>
        <w:t xml:space="preserve"> those</w:t>
      </w:r>
      <w:r w:rsidR="002C7991">
        <w:rPr>
          <w:rFonts w:ascii="Garamond" w:hAnsi="Garamond"/>
        </w:rPr>
        <w:t xml:space="preserve"> coming from </w:t>
      </w:r>
      <w:r w:rsidR="00673768">
        <w:rPr>
          <w:rFonts w:ascii="Garamond" w:hAnsi="Garamond"/>
        </w:rPr>
        <w:t xml:space="preserve">low </w:t>
      </w:r>
      <w:r w:rsidR="003E223B">
        <w:rPr>
          <w:rFonts w:ascii="Garamond" w:hAnsi="Garamond"/>
        </w:rPr>
        <w:t>social class</w:t>
      </w:r>
      <w:r w:rsidR="002C7991">
        <w:rPr>
          <w:rFonts w:ascii="Garamond" w:hAnsi="Garamond"/>
        </w:rPr>
        <w:t xml:space="preserve"> families</w:t>
      </w:r>
      <w:r w:rsidR="00CB2916" w:rsidRPr="00515E78">
        <w:rPr>
          <w:rFonts w:ascii="Garamond" w:hAnsi="Garamond"/>
        </w:rPr>
        <w:t xml:space="preserve">, </w:t>
      </w:r>
      <w:r w:rsidR="00C1427D">
        <w:rPr>
          <w:rFonts w:ascii="Garamond" w:hAnsi="Garamond"/>
        </w:rPr>
        <w:t xml:space="preserve">the group </w:t>
      </w:r>
      <w:r w:rsidR="00CB2916" w:rsidRPr="00515E78">
        <w:rPr>
          <w:rFonts w:ascii="Garamond" w:hAnsi="Garamond"/>
        </w:rPr>
        <w:t xml:space="preserve">most likely to otherwise </w:t>
      </w:r>
      <w:r w:rsidR="002C7991">
        <w:rPr>
          <w:rFonts w:ascii="Garamond" w:hAnsi="Garamond"/>
        </w:rPr>
        <w:t xml:space="preserve">have </w:t>
      </w:r>
      <w:r w:rsidR="003D73A9">
        <w:rPr>
          <w:rFonts w:ascii="Garamond" w:hAnsi="Garamond"/>
        </w:rPr>
        <w:t>dropped</w:t>
      </w:r>
      <w:r w:rsidR="00CB2916" w:rsidRPr="00515E78">
        <w:rPr>
          <w:rFonts w:ascii="Garamond" w:hAnsi="Garamond"/>
        </w:rPr>
        <w:t xml:space="preserve"> </w:t>
      </w:r>
      <w:r w:rsidR="003D73A9">
        <w:rPr>
          <w:rFonts w:ascii="Garamond" w:hAnsi="Garamond"/>
        </w:rPr>
        <w:t>out of school early</w:t>
      </w:r>
      <w:r w:rsidR="00CB2916" w:rsidRPr="00515E78">
        <w:rPr>
          <w:rFonts w:ascii="Garamond" w:hAnsi="Garamond"/>
        </w:rPr>
        <w:t>.</w:t>
      </w:r>
      <w:r w:rsidR="002C7991">
        <w:rPr>
          <w:rFonts w:ascii="Garamond" w:hAnsi="Garamond"/>
        </w:rPr>
        <w:t xml:space="preserve"> In this group, the reform </w:t>
      </w:r>
      <w:r w:rsidR="002C7991">
        <w:rPr>
          <w:rFonts w:ascii="Garamond" w:hAnsi="Garamond"/>
        </w:rPr>
        <w:lastRenderedPageBreak/>
        <w:t xml:space="preserve">increased the average time spent at school by </w:t>
      </w:r>
      <w:r w:rsidR="00B53A09">
        <w:rPr>
          <w:rFonts w:ascii="Garamond" w:hAnsi="Garamond"/>
        </w:rPr>
        <w:t xml:space="preserve">an average of </w:t>
      </w:r>
      <w:r w:rsidR="00C846B1">
        <w:rPr>
          <w:rFonts w:ascii="Garamond" w:hAnsi="Garamond"/>
        </w:rPr>
        <w:t>3.9</w:t>
      </w:r>
      <w:r w:rsidR="000F5698">
        <w:rPr>
          <w:rFonts w:ascii="Garamond" w:hAnsi="Garamond"/>
        </w:rPr>
        <w:t xml:space="preserve"> months (95% CI</w:t>
      </w:r>
      <w:r w:rsidR="00C846B1">
        <w:rPr>
          <w:rFonts w:ascii="Garamond" w:hAnsi="Garamond"/>
        </w:rPr>
        <w:t xml:space="preserve"> 2.448 to 5.364</w:t>
      </w:r>
      <w:r w:rsidR="000F5698">
        <w:rPr>
          <w:rFonts w:ascii="Garamond" w:hAnsi="Garamond"/>
        </w:rPr>
        <w:t xml:space="preserve">) and the odds of leaving school after the age of 16 </w:t>
      </w:r>
      <w:r w:rsidR="00C846B1">
        <w:rPr>
          <w:rFonts w:ascii="Garamond" w:hAnsi="Garamond"/>
        </w:rPr>
        <w:t xml:space="preserve">by </w:t>
      </w:r>
      <w:r w:rsidR="00AE4830">
        <w:rPr>
          <w:rFonts w:ascii="Garamond" w:hAnsi="Garamond"/>
        </w:rPr>
        <w:t xml:space="preserve">87.7% </w:t>
      </w:r>
      <w:r w:rsidR="000F5698">
        <w:rPr>
          <w:rFonts w:ascii="Garamond" w:hAnsi="Garamond"/>
        </w:rPr>
        <w:t>(</w:t>
      </w:r>
      <w:r w:rsidR="00B10480">
        <w:rPr>
          <w:rFonts w:ascii="Garamond" w:hAnsi="Garamond"/>
        </w:rPr>
        <w:t xml:space="preserve">OR=1.877, </w:t>
      </w:r>
      <w:r w:rsidR="000F5698">
        <w:rPr>
          <w:rFonts w:ascii="Garamond" w:hAnsi="Garamond"/>
        </w:rPr>
        <w:t>95% CI</w:t>
      </w:r>
      <w:r w:rsidR="00B10480">
        <w:rPr>
          <w:rFonts w:ascii="Garamond" w:hAnsi="Garamond"/>
        </w:rPr>
        <w:t xml:space="preserve"> 1.697 to 2.077</w:t>
      </w:r>
      <w:r w:rsidR="000F5698">
        <w:rPr>
          <w:rFonts w:ascii="Garamond" w:hAnsi="Garamond"/>
        </w:rPr>
        <w:t>).</w:t>
      </w:r>
    </w:p>
    <w:p w14:paraId="315F2098" w14:textId="6B83AE59" w:rsidR="00F95A8A" w:rsidRDefault="000443EE" w:rsidP="00CA6F42">
      <w:pPr>
        <w:spacing w:line="480" w:lineRule="auto"/>
        <w:contextualSpacing/>
        <w:jc w:val="both"/>
        <w:rPr>
          <w:rFonts w:ascii="Garamond" w:hAnsi="Garamond"/>
        </w:rPr>
      </w:pPr>
      <w:r w:rsidRPr="00741915">
        <w:rPr>
          <w:rFonts w:ascii="Garamond" w:hAnsi="Garamond"/>
          <w:b/>
        </w:rPr>
        <w:t xml:space="preserve">Table </w:t>
      </w:r>
      <w:r w:rsidR="00C12564">
        <w:rPr>
          <w:rFonts w:ascii="Garamond" w:hAnsi="Garamond"/>
          <w:b/>
        </w:rPr>
        <w:t>3</w:t>
      </w:r>
      <w:r w:rsidR="00991D00">
        <w:rPr>
          <w:rFonts w:ascii="Garamond" w:hAnsi="Garamond"/>
          <w:b/>
        </w:rPr>
        <w:t xml:space="preserve"> </w:t>
      </w:r>
      <w:r>
        <w:rPr>
          <w:rFonts w:ascii="Garamond" w:hAnsi="Garamond"/>
        </w:rPr>
        <w:t>displays</w:t>
      </w:r>
      <w:r w:rsidR="00ED6C12">
        <w:rPr>
          <w:rFonts w:ascii="Garamond" w:hAnsi="Garamond"/>
        </w:rPr>
        <w:t xml:space="preserve"> the effect of </w:t>
      </w:r>
      <w:r w:rsidR="000F5698">
        <w:rPr>
          <w:rFonts w:ascii="Garamond" w:hAnsi="Garamond"/>
        </w:rPr>
        <w:t>eligibility to</w:t>
      </w:r>
      <w:r>
        <w:rPr>
          <w:rFonts w:ascii="Garamond" w:hAnsi="Garamond"/>
        </w:rPr>
        <w:t xml:space="preserve"> the reform on </w:t>
      </w:r>
      <w:r w:rsidR="002C7991">
        <w:rPr>
          <w:rFonts w:ascii="Garamond" w:hAnsi="Garamond"/>
        </w:rPr>
        <w:t>individual biomarkers</w:t>
      </w:r>
      <w:r>
        <w:rPr>
          <w:rFonts w:ascii="Garamond" w:hAnsi="Garamond"/>
        </w:rPr>
        <w:t>.</w:t>
      </w:r>
      <w:r w:rsidR="00CA6F42">
        <w:rPr>
          <w:rFonts w:ascii="Garamond" w:hAnsi="Garamond"/>
        </w:rPr>
        <w:t xml:space="preserve"> In </w:t>
      </w:r>
      <w:r w:rsidR="00C12564">
        <w:rPr>
          <w:rFonts w:ascii="Garamond" w:hAnsi="Garamond"/>
        </w:rPr>
        <w:t xml:space="preserve">analyses </w:t>
      </w:r>
      <w:r w:rsidR="00CA6F42">
        <w:rPr>
          <w:rFonts w:ascii="Garamond" w:hAnsi="Garamond"/>
        </w:rPr>
        <w:t xml:space="preserve">for the total sample, as well as for those from intermediate or high parental </w:t>
      </w:r>
      <w:r w:rsidR="003E223B">
        <w:rPr>
          <w:rFonts w:ascii="Garamond" w:hAnsi="Garamond"/>
        </w:rPr>
        <w:t>social class</w:t>
      </w:r>
      <w:r w:rsidR="00CA6F42">
        <w:rPr>
          <w:rFonts w:ascii="Garamond" w:hAnsi="Garamond"/>
        </w:rPr>
        <w:t xml:space="preserve">, the reform had no impact on biomarker profiles. </w:t>
      </w:r>
      <w:r w:rsidR="0019245C">
        <w:rPr>
          <w:rFonts w:ascii="Garamond" w:hAnsi="Garamond"/>
        </w:rPr>
        <w:t xml:space="preserve">Among respondents from </w:t>
      </w:r>
      <w:r w:rsidR="00AC59E6">
        <w:rPr>
          <w:rFonts w:ascii="Garamond" w:hAnsi="Garamond"/>
        </w:rPr>
        <w:t xml:space="preserve">low parental </w:t>
      </w:r>
      <w:r w:rsidR="003E223B">
        <w:rPr>
          <w:rFonts w:ascii="Garamond" w:hAnsi="Garamond"/>
        </w:rPr>
        <w:t>social class</w:t>
      </w:r>
      <w:r w:rsidR="0019245C">
        <w:rPr>
          <w:rFonts w:ascii="Garamond" w:hAnsi="Garamond"/>
        </w:rPr>
        <w:t>, e</w:t>
      </w:r>
      <w:r w:rsidR="00BF7978">
        <w:rPr>
          <w:rFonts w:ascii="Garamond" w:hAnsi="Garamond"/>
        </w:rPr>
        <w:t xml:space="preserve">ligibility </w:t>
      </w:r>
      <w:r w:rsidR="0019245C">
        <w:rPr>
          <w:rFonts w:ascii="Garamond" w:hAnsi="Garamond"/>
        </w:rPr>
        <w:t>to</w:t>
      </w:r>
      <w:r w:rsidR="00BF7978">
        <w:rPr>
          <w:rFonts w:ascii="Garamond" w:hAnsi="Garamond"/>
        </w:rPr>
        <w:t xml:space="preserve"> the reform </w:t>
      </w:r>
      <w:r w:rsidR="0019245C">
        <w:rPr>
          <w:rFonts w:ascii="Garamond" w:hAnsi="Garamond"/>
        </w:rPr>
        <w:t xml:space="preserve">that raised compulsory schooling from age 14 to 16 years led to increased </w:t>
      </w:r>
      <w:r w:rsidR="00BF7978">
        <w:rPr>
          <w:rFonts w:ascii="Garamond" w:hAnsi="Garamond"/>
        </w:rPr>
        <w:t xml:space="preserve">BMI, waist circumference, waist-hip ratio, systolic and diastolic blood pressure, triglycerides, white cell count, and hematocrit, all in the direction of </w:t>
      </w:r>
      <w:r w:rsidR="00BF7978">
        <w:rPr>
          <w:rFonts w:ascii="Garamond" w:hAnsi="Garamond"/>
          <w:i/>
        </w:rPr>
        <w:t>less healthy</w:t>
      </w:r>
      <w:r w:rsidR="00BF7978">
        <w:rPr>
          <w:rFonts w:ascii="Garamond" w:hAnsi="Garamond"/>
        </w:rPr>
        <w:t xml:space="preserve"> profiles for </w:t>
      </w:r>
      <w:r w:rsidR="00C6664D">
        <w:rPr>
          <w:rFonts w:ascii="Garamond" w:hAnsi="Garamond"/>
        </w:rPr>
        <w:t xml:space="preserve">those eligible for the reform. </w:t>
      </w:r>
      <w:r>
        <w:rPr>
          <w:rFonts w:ascii="Garamond" w:hAnsi="Garamond"/>
        </w:rPr>
        <w:t xml:space="preserve">After correction for multiple testing, </w:t>
      </w:r>
      <w:r w:rsidR="00BF7978">
        <w:rPr>
          <w:rFonts w:ascii="Garamond" w:hAnsi="Garamond"/>
        </w:rPr>
        <w:t>eligibility for</w:t>
      </w:r>
      <w:r w:rsidR="00ED6C12">
        <w:rPr>
          <w:rFonts w:ascii="Garamond" w:hAnsi="Garamond"/>
        </w:rPr>
        <w:t xml:space="preserve"> the reform </w:t>
      </w:r>
      <w:r w:rsidR="00BF7978">
        <w:rPr>
          <w:rFonts w:ascii="Garamond" w:hAnsi="Garamond"/>
        </w:rPr>
        <w:t xml:space="preserve">remained </w:t>
      </w:r>
      <w:r w:rsidR="002C7991">
        <w:rPr>
          <w:rFonts w:ascii="Garamond" w:hAnsi="Garamond"/>
        </w:rPr>
        <w:t>associated with a significant increase in diastolic blood pressure (</w:t>
      </w:r>
      <w:r w:rsidR="00673768" w:rsidRPr="00673768">
        <w:rPr>
          <w:color w:val="000000"/>
        </w:rPr>
        <w:t>β</w:t>
      </w:r>
      <w:r w:rsidR="00673768">
        <w:rPr>
          <w:rFonts w:ascii="Garamond" w:hAnsi="Garamond"/>
        </w:rPr>
        <w:t xml:space="preserve"> </w:t>
      </w:r>
      <w:r w:rsidR="002C7991">
        <w:rPr>
          <w:rFonts w:ascii="Garamond" w:hAnsi="Garamond"/>
        </w:rPr>
        <w:t xml:space="preserve">=0.153, </w:t>
      </w:r>
      <w:r w:rsidR="00564637" w:rsidRPr="00564637">
        <w:rPr>
          <w:rFonts w:ascii="Garamond" w:hAnsi="Garamond"/>
        </w:rPr>
        <w:t>95% CI 0.066 to 0.239</w:t>
      </w:r>
      <w:r w:rsidR="002C7991">
        <w:rPr>
          <w:rFonts w:ascii="Garamond" w:hAnsi="Garamond"/>
        </w:rPr>
        <w:t>) and white cells count (</w:t>
      </w:r>
      <w:r w:rsidR="00673768" w:rsidRPr="00673768">
        <w:rPr>
          <w:color w:val="000000"/>
        </w:rPr>
        <w:t>β</w:t>
      </w:r>
      <w:r w:rsidR="00673768">
        <w:rPr>
          <w:rFonts w:ascii="Garamond" w:hAnsi="Garamond"/>
        </w:rPr>
        <w:t xml:space="preserve"> </w:t>
      </w:r>
      <w:r w:rsidR="002C7991">
        <w:rPr>
          <w:rFonts w:ascii="Garamond" w:hAnsi="Garamond"/>
        </w:rPr>
        <w:t xml:space="preserve">=0.146, </w:t>
      </w:r>
      <w:r w:rsidR="00564637" w:rsidRPr="00564637">
        <w:rPr>
          <w:rFonts w:ascii="Garamond" w:hAnsi="Garamond"/>
        </w:rPr>
        <w:t>95% CI 0.052 to 0.240</w:t>
      </w:r>
      <w:r w:rsidR="002C7991">
        <w:rPr>
          <w:rFonts w:ascii="Garamond" w:hAnsi="Garamond"/>
        </w:rPr>
        <w:t xml:space="preserve">) among respondents from </w:t>
      </w:r>
      <w:r w:rsidR="003E223B">
        <w:rPr>
          <w:rFonts w:ascii="Garamond" w:hAnsi="Garamond"/>
        </w:rPr>
        <w:t xml:space="preserve">disadvantaged </w:t>
      </w:r>
      <w:r w:rsidR="00453689">
        <w:rPr>
          <w:rFonts w:ascii="Garamond" w:hAnsi="Garamond"/>
        </w:rPr>
        <w:t>families</w:t>
      </w:r>
      <w:r w:rsidR="006548D2">
        <w:rPr>
          <w:rFonts w:ascii="Garamond" w:hAnsi="Garamond"/>
        </w:rPr>
        <w:t xml:space="preserve">. </w:t>
      </w:r>
      <w:r w:rsidR="002C7991" w:rsidRPr="004B73E3">
        <w:rPr>
          <w:rFonts w:ascii="Garamond" w:hAnsi="Garamond"/>
          <w:b/>
        </w:rPr>
        <w:t>Figure 2</w:t>
      </w:r>
      <w:r w:rsidR="002C7991">
        <w:rPr>
          <w:rFonts w:ascii="Garamond" w:hAnsi="Garamond"/>
        </w:rPr>
        <w:t xml:space="preserve"> </w:t>
      </w:r>
      <w:r w:rsidR="00BF7978">
        <w:rPr>
          <w:rFonts w:ascii="Garamond" w:hAnsi="Garamond"/>
        </w:rPr>
        <w:t>illustrates</w:t>
      </w:r>
      <w:r w:rsidR="002C7991">
        <w:rPr>
          <w:rFonts w:ascii="Garamond" w:hAnsi="Garamond"/>
        </w:rPr>
        <w:t xml:space="preserve"> these results by presenting the </w:t>
      </w:r>
      <w:r w:rsidR="00AB21BF">
        <w:rPr>
          <w:rFonts w:ascii="Garamond" w:hAnsi="Garamond"/>
        </w:rPr>
        <w:t>linear trends</w:t>
      </w:r>
      <w:r w:rsidR="004B73E3">
        <w:rPr>
          <w:rFonts w:ascii="Garamond" w:hAnsi="Garamond"/>
        </w:rPr>
        <w:t xml:space="preserve"> for these two outcomes by </w:t>
      </w:r>
      <w:r w:rsidR="00AB21BF">
        <w:rPr>
          <w:rFonts w:ascii="Garamond" w:hAnsi="Garamond"/>
        </w:rPr>
        <w:t>month</w:t>
      </w:r>
      <w:r w:rsidR="004B73E3">
        <w:rPr>
          <w:rFonts w:ascii="Garamond" w:hAnsi="Garamond"/>
        </w:rPr>
        <w:t xml:space="preserve"> of birth, among respondents from </w:t>
      </w:r>
      <w:r w:rsidR="009E3200">
        <w:rPr>
          <w:rFonts w:ascii="Garamond" w:hAnsi="Garamond"/>
        </w:rPr>
        <w:t xml:space="preserve">low </w:t>
      </w:r>
      <w:r w:rsidR="001A6D16">
        <w:rPr>
          <w:rFonts w:ascii="Garamond" w:hAnsi="Garamond"/>
        </w:rPr>
        <w:t xml:space="preserve">social class </w:t>
      </w:r>
      <w:r w:rsidR="004B73E3">
        <w:rPr>
          <w:rFonts w:ascii="Garamond" w:hAnsi="Garamond"/>
        </w:rPr>
        <w:t>families. For both outcomes, there is an apparent discontinuity for the 1953 cohort, the first cohort affected by the policy.</w:t>
      </w:r>
      <w:r w:rsidR="002C7991">
        <w:rPr>
          <w:rFonts w:ascii="Garamond" w:hAnsi="Garamond"/>
        </w:rPr>
        <w:t xml:space="preserve"> </w:t>
      </w:r>
    </w:p>
    <w:p w14:paraId="56EE2C02" w14:textId="77777777" w:rsidR="00CD7C34" w:rsidRDefault="00CD7C34" w:rsidP="001A6D16">
      <w:pPr>
        <w:spacing w:line="480" w:lineRule="auto"/>
        <w:contextualSpacing/>
        <w:jc w:val="both"/>
        <w:rPr>
          <w:rFonts w:ascii="Garamond" w:hAnsi="Garamond"/>
        </w:rPr>
      </w:pPr>
    </w:p>
    <w:p w14:paraId="44D733E8" w14:textId="22139667" w:rsidR="004B73E3" w:rsidRDefault="00C0791B" w:rsidP="00F95A8A">
      <w:pPr>
        <w:spacing w:line="480" w:lineRule="auto"/>
        <w:ind w:firstLine="720"/>
        <w:contextualSpacing/>
        <w:jc w:val="both"/>
        <w:rPr>
          <w:rFonts w:ascii="Garamond" w:hAnsi="Garamond"/>
        </w:rPr>
      </w:pPr>
      <w:r>
        <w:rPr>
          <w:rFonts w:ascii="Garamond" w:hAnsi="Garamond"/>
        </w:rPr>
        <w:t>In supplementary analyses, we investigated whether the effect of eligibility to the</w:t>
      </w:r>
      <w:r w:rsidR="00E06EE9">
        <w:rPr>
          <w:rFonts w:ascii="Garamond" w:hAnsi="Garamond"/>
        </w:rPr>
        <w:t xml:space="preserve"> reform differed by gender </w:t>
      </w:r>
      <w:r w:rsidR="002D6943">
        <w:rPr>
          <w:rFonts w:ascii="Garamond" w:hAnsi="Garamond"/>
        </w:rPr>
        <w:t xml:space="preserve">for the entire sample </w:t>
      </w:r>
      <w:r w:rsidR="00E06EE9">
        <w:rPr>
          <w:rFonts w:ascii="Garamond" w:hAnsi="Garamond"/>
        </w:rPr>
        <w:t xml:space="preserve">but no clear pattern emerged </w:t>
      </w:r>
      <w:r>
        <w:rPr>
          <w:rFonts w:ascii="Garamond" w:hAnsi="Garamond"/>
        </w:rPr>
        <w:t xml:space="preserve">(see </w:t>
      </w:r>
      <w:r w:rsidRPr="00C0791B">
        <w:rPr>
          <w:rFonts w:ascii="Garamond" w:hAnsi="Garamond"/>
          <w:b/>
        </w:rPr>
        <w:t xml:space="preserve">Appendix Table </w:t>
      </w:r>
      <w:r w:rsidR="00991D00">
        <w:rPr>
          <w:rFonts w:ascii="Garamond" w:hAnsi="Garamond"/>
          <w:b/>
        </w:rPr>
        <w:t>2</w:t>
      </w:r>
      <w:r>
        <w:rPr>
          <w:rFonts w:ascii="Garamond" w:hAnsi="Garamond"/>
        </w:rPr>
        <w:t xml:space="preserve">). </w:t>
      </w:r>
      <w:r w:rsidR="001A6D16">
        <w:rPr>
          <w:rFonts w:ascii="Garamond" w:hAnsi="Garamond"/>
          <w:b/>
        </w:rPr>
        <w:t xml:space="preserve">Appendix Figure </w:t>
      </w:r>
      <w:r w:rsidR="00DB4B8A">
        <w:rPr>
          <w:rFonts w:ascii="Garamond" w:hAnsi="Garamond"/>
          <w:b/>
        </w:rPr>
        <w:t>2</w:t>
      </w:r>
      <w:r w:rsidR="00DB4B8A">
        <w:rPr>
          <w:rFonts w:ascii="Garamond" w:hAnsi="Garamond"/>
        </w:rPr>
        <w:t xml:space="preserve"> </w:t>
      </w:r>
      <w:r w:rsidR="001A6D16">
        <w:rPr>
          <w:rFonts w:ascii="Garamond" w:hAnsi="Garamond"/>
        </w:rPr>
        <w:t>displays the effect of the reform across the diastolic blood pressure and white cells count distributions, estimated by quantile regressions. Each graph displays the estimate of the impact of the reform at accompanying 95% confidence intervals at different quantiles of the distribution of the two biomarkers.  In both cases, results indicate that there are negative effects which are constant throughout the distribution, except in the very lowest and highest deciles.</w:t>
      </w:r>
    </w:p>
    <w:p w14:paraId="775250EA" w14:textId="77777777" w:rsidR="00AC3B1E" w:rsidRDefault="00AC3B1E" w:rsidP="00C278B9">
      <w:pPr>
        <w:spacing w:line="480" w:lineRule="auto"/>
        <w:contextualSpacing/>
        <w:jc w:val="both"/>
        <w:outlineLvl w:val="0"/>
        <w:rPr>
          <w:rFonts w:ascii="Garamond" w:hAnsi="Garamond"/>
          <w:i/>
        </w:rPr>
      </w:pPr>
    </w:p>
    <w:p w14:paraId="052E55BE" w14:textId="5E34CB6B" w:rsidR="004B73E3" w:rsidRDefault="004B73E3" w:rsidP="00C278B9">
      <w:pPr>
        <w:spacing w:line="480" w:lineRule="auto"/>
        <w:contextualSpacing/>
        <w:jc w:val="both"/>
        <w:outlineLvl w:val="0"/>
        <w:rPr>
          <w:rFonts w:ascii="Garamond" w:hAnsi="Garamond"/>
          <w:i/>
        </w:rPr>
      </w:pPr>
      <w:r w:rsidRPr="004B73E3">
        <w:rPr>
          <w:rFonts w:ascii="Garamond" w:hAnsi="Garamond"/>
          <w:i/>
        </w:rPr>
        <w:t>Sensitivity analyses</w:t>
      </w:r>
    </w:p>
    <w:p w14:paraId="1AC4ADD5" w14:textId="41800E6F" w:rsidR="001A2A92" w:rsidRDefault="009E5F46" w:rsidP="001A2A92">
      <w:pPr>
        <w:spacing w:line="480" w:lineRule="auto"/>
        <w:ind w:firstLine="720"/>
        <w:contextualSpacing/>
        <w:jc w:val="both"/>
        <w:outlineLvl w:val="0"/>
        <w:rPr>
          <w:rFonts w:ascii="Garamond" w:hAnsi="Garamond"/>
        </w:rPr>
      </w:pPr>
      <w:r>
        <w:rPr>
          <w:rFonts w:ascii="Garamond" w:hAnsi="Garamond"/>
        </w:rPr>
        <w:t>O</w:t>
      </w:r>
      <w:r w:rsidR="00BE2FC4">
        <w:rPr>
          <w:rFonts w:ascii="Garamond" w:hAnsi="Garamond"/>
        </w:rPr>
        <w:t>ne of</w:t>
      </w:r>
      <w:r>
        <w:rPr>
          <w:rFonts w:ascii="Garamond" w:hAnsi="Garamond"/>
        </w:rPr>
        <w:t xml:space="preserve"> the key assumptions of </w:t>
      </w:r>
      <w:r w:rsidR="00C6664D">
        <w:rPr>
          <w:rFonts w:ascii="Garamond" w:hAnsi="Garamond"/>
        </w:rPr>
        <w:t>RDD</w:t>
      </w:r>
      <w:r>
        <w:rPr>
          <w:rFonts w:ascii="Garamond" w:hAnsi="Garamond"/>
        </w:rPr>
        <w:t xml:space="preserve"> is </w:t>
      </w:r>
      <w:r w:rsidR="00BE2FC4">
        <w:rPr>
          <w:rFonts w:ascii="Garamond" w:hAnsi="Garamond"/>
        </w:rPr>
        <w:t xml:space="preserve">that the outcome probability </w:t>
      </w:r>
      <w:r>
        <w:rPr>
          <w:rFonts w:ascii="Garamond" w:hAnsi="Garamond"/>
        </w:rPr>
        <w:t xml:space="preserve">is </w:t>
      </w:r>
      <w:r w:rsidR="00BE2FC4">
        <w:rPr>
          <w:rFonts w:ascii="Garamond" w:hAnsi="Garamond"/>
        </w:rPr>
        <w:t>continuous at the cut-off in the absence of the reform</w:t>
      </w:r>
      <w:r w:rsidR="00C278B9">
        <w:rPr>
          <w:rFonts w:ascii="Garamond" w:hAnsi="Garamond"/>
        </w:rPr>
        <w:t xml:space="preserve"> </w:t>
      </w:r>
      <w:r w:rsidR="00C278B9">
        <w:rPr>
          <w:rFonts w:ascii="Garamond" w:hAnsi="Garamond"/>
        </w:rPr>
        <w:fldChar w:fldCharType="begin"/>
      </w:r>
      <w:r w:rsidR="00CC2B97">
        <w:rPr>
          <w:rFonts w:ascii="Garamond" w:hAnsi="Garamond"/>
        </w:rPr>
        <w:instrText xml:space="preserve"> ADDIN EN.CITE &lt;EndNote&gt;&lt;Cite&gt;&lt;Author&gt;Smith&lt;/Author&gt;&lt;Year&gt;2016&lt;/Year&gt;&lt;RecNum&gt;48&lt;/RecNum&gt;&lt;DisplayText&gt;(Smith, Levesque, Kaufman, &amp;amp; Strumpf, 2016; Venkataramani et al., 2016)&lt;/DisplayText&gt;&lt;record&gt;&lt;rec-number&gt;48&lt;/rec-number&gt;&lt;foreign-keys&gt;&lt;key app="EN" db-id="p5pavdvzwwdesueaz0rxssxmtd2ext2dvwpd" timestamp="1542656736"&gt;48&lt;/key&gt;&lt;/foreign-keys&gt;&lt;ref-type name="Journal Article"&gt;17&lt;/ref-type&gt;&lt;contributors&gt;&lt;authors&gt;&lt;author&gt;Smith, L.M.&lt;/author&gt;&lt;author&gt;Levesque, L.E.&lt;/author&gt;&lt;author&gt;Kaufman, J.S.&lt;/author&gt;&lt;author&gt;Strumpf, E.C.&lt;/author&gt;&lt;/authors&gt;&lt;/contributors&gt;&lt;titles&gt;&lt;title&gt;Strategies for evaluating the assumptions of the regression discontinuity design: a case study using a human apillomavirus vaccination programme&lt;/title&gt;&lt;secondary-title&gt;International Journal of Epidemiology&lt;/secondary-title&gt;&lt;/titles&gt;&lt;periodical&gt;&lt;full-title&gt;International Journal of Epidemiology&lt;/full-title&gt;&lt;/periodical&gt;&lt;pages&gt;939-949&lt;/pages&gt;&lt;volume&gt;46&lt;/volume&gt;&lt;number&gt;3&lt;/number&gt;&lt;dates&gt;&lt;year&gt;2016&lt;/year&gt;&lt;/dates&gt;&lt;urls&gt;&lt;/urls&gt;&lt;/record&gt;&lt;/Cite&gt;&lt;Cite&gt;&lt;Author&gt;Venkataramani&lt;/Author&gt;&lt;Year&gt;2016&lt;/Year&gt;&lt;RecNum&gt;49&lt;/RecNum&gt;&lt;record&gt;&lt;rec-number&gt;49&lt;/rec-number&gt;&lt;foreign-keys&gt;&lt;key app="EN" db-id="p5pavdvzwwdesueaz0rxssxmtd2ext2dvwpd" timestamp="1542656736"&gt;49&lt;/key&gt;&lt;/foreign-keys&gt;&lt;ref-type name="Journal Article"&gt;17&lt;/ref-type&gt;&lt;contributors&gt;&lt;authors&gt;&lt;author&gt;Venkataramani, A.&lt;/author&gt;&lt;author&gt;Bor, J.&lt;/author&gt;&lt;author&gt;Jena, A.B.&lt;/author&gt;&lt;/authors&gt;&lt;/contributors&gt;&lt;titles&gt;&lt;title&gt;Regression Discontinuity Designs in healthcare research&lt;/title&gt;&lt;secondary-title&gt;British Medical Journal&lt;/secondary-title&gt;&lt;/titles&gt;&lt;periodical&gt;&lt;full-title&gt;British Medical Journal&lt;/full-title&gt;&lt;/periodical&gt;&lt;volume&gt;352&lt;/volume&gt;&lt;dates&gt;&lt;year&gt;2016&lt;/year&gt;&lt;/dates&gt;&lt;urls&gt;&lt;/urls&gt;&lt;/record&gt;&lt;/Cite&gt;&lt;/EndNote&gt;</w:instrText>
      </w:r>
      <w:r w:rsidR="00C278B9">
        <w:rPr>
          <w:rFonts w:ascii="Garamond" w:hAnsi="Garamond"/>
        </w:rPr>
        <w:fldChar w:fldCharType="separate"/>
      </w:r>
      <w:r w:rsidR="00CC2B97">
        <w:rPr>
          <w:rFonts w:ascii="Garamond" w:hAnsi="Garamond"/>
          <w:noProof/>
        </w:rPr>
        <w:t>(</w:t>
      </w:r>
      <w:hyperlink w:anchor="_ENREF_60" w:tooltip="Smith, 2016 #48" w:history="1">
        <w:r w:rsidR="006B1724">
          <w:rPr>
            <w:rFonts w:ascii="Garamond" w:hAnsi="Garamond"/>
            <w:noProof/>
          </w:rPr>
          <w:t>Smith, Levesque, Kaufman, &amp; Strumpf, 2016</w:t>
        </w:r>
      </w:hyperlink>
      <w:r w:rsidR="00CC2B97">
        <w:rPr>
          <w:rFonts w:ascii="Garamond" w:hAnsi="Garamond"/>
          <w:noProof/>
        </w:rPr>
        <w:t xml:space="preserve">; </w:t>
      </w:r>
      <w:hyperlink w:anchor="_ENREF_62" w:tooltip="Venkataramani, 2016 #49" w:history="1">
        <w:r w:rsidR="006B1724">
          <w:rPr>
            <w:rFonts w:ascii="Garamond" w:hAnsi="Garamond"/>
            <w:noProof/>
          </w:rPr>
          <w:t xml:space="preserve">Venkataramani </w:t>
        </w:r>
        <w:r w:rsidR="006B1724">
          <w:rPr>
            <w:rFonts w:ascii="Garamond" w:hAnsi="Garamond"/>
            <w:noProof/>
          </w:rPr>
          <w:lastRenderedPageBreak/>
          <w:t>et al., 2016</w:t>
        </w:r>
      </w:hyperlink>
      <w:r w:rsidR="00CC2B97">
        <w:rPr>
          <w:rFonts w:ascii="Garamond" w:hAnsi="Garamond"/>
          <w:noProof/>
        </w:rPr>
        <w:t>)</w:t>
      </w:r>
      <w:r w:rsidR="00C278B9">
        <w:rPr>
          <w:rFonts w:ascii="Garamond" w:hAnsi="Garamond"/>
        </w:rPr>
        <w:fldChar w:fldCharType="end"/>
      </w:r>
      <w:r w:rsidR="001F7BDC">
        <w:rPr>
          <w:rFonts w:ascii="Garamond" w:hAnsi="Garamond"/>
        </w:rPr>
        <w:t>.</w:t>
      </w:r>
      <w:r w:rsidR="00C278B9">
        <w:rPr>
          <w:rFonts w:ascii="Garamond" w:hAnsi="Garamond"/>
        </w:rPr>
        <w:t xml:space="preserve"> </w:t>
      </w:r>
      <w:r w:rsidR="0001738F">
        <w:rPr>
          <w:rFonts w:ascii="Garamond" w:hAnsi="Garamond"/>
        </w:rPr>
        <w:t xml:space="preserve">To </w:t>
      </w:r>
      <w:r w:rsidR="0084688A">
        <w:rPr>
          <w:rFonts w:ascii="Garamond" w:hAnsi="Garamond"/>
        </w:rPr>
        <w:t xml:space="preserve">confirm that our estimates are driven by the policy change and not by secular trends, we estimate the effect of ‘placebo reforms’, </w:t>
      </w:r>
      <w:r w:rsidR="0084688A" w:rsidRPr="0001738F">
        <w:rPr>
          <w:rFonts w:ascii="Garamond" w:hAnsi="Garamond"/>
          <w:i/>
        </w:rPr>
        <w:t>i.e.</w:t>
      </w:r>
      <w:r w:rsidR="0084688A">
        <w:rPr>
          <w:rFonts w:ascii="Garamond" w:hAnsi="Garamond"/>
        </w:rPr>
        <w:t xml:space="preserve"> estimates for years in which the reform did not take place. </w:t>
      </w:r>
      <w:r w:rsidR="006750CB">
        <w:rPr>
          <w:rFonts w:ascii="Garamond" w:hAnsi="Garamond"/>
          <w:b/>
        </w:rPr>
        <w:t xml:space="preserve">Appendix Figure </w:t>
      </w:r>
      <w:r w:rsidR="00DB4B8A">
        <w:rPr>
          <w:rFonts w:ascii="Garamond" w:hAnsi="Garamond"/>
          <w:b/>
        </w:rPr>
        <w:t>3</w:t>
      </w:r>
      <w:r w:rsidR="00DB4B8A">
        <w:rPr>
          <w:rFonts w:ascii="Garamond" w:hAnsi="Garamond"/>
        </w:rPr>
        <w:t xml:space="preserve"> </w:t>
      </w:r>
      <w:r w:rsidR="0084688A">
        <w:rPr>
          <w:rFonts w:ascii="Garamond" w:hAnsi="Garamond"/>
        </w:rPr>
        <w:t xml:space="preserve">displays </w:t>
      </w:r>
      <w:r w:rsidR="003D6602">
        <w:rPr>
          <w:rFonts w:ascii="Garamond" w:hAnsi="Garamond"/>
        </w:rPr>
        <w:t>estimates of discontinuity for</w:t>
      </w:r>
      <w:r w:rsidR="0084688A">
        <w:rPr>
          <w:rFonts w:ascii="Garamond" w:hAnsi="Garamond"/>
        </w:rPr>
        <w:t xml:space="preserve"> cohorts born between 1947 and 1967. </w:t>
      </w:r>
      <w:r w:rsidR="005129A2">
        <w:rPr>
          <w:rFonts w:ascii="Garamond" w:hAnsi="Garamond"/>
        </w:rPr>
        <w:t xml:space="preserve">Reductions in diastolic blood pressure for </w:t>
      </w:r>
      <w:r w:rsidR="00F91796">
        <w:rPr>
          <w:rFonts w:ascii="Garamond" w:hAnsi="Garamond"/>
        </w:rPr>
        <w:t>the cohort</w:t>
      </w:r>
      <w:r w:rsidR="005129A2">
        <w:rPr>
          <w:rFonts w:ascii="Garamond" w:hAnsi="Garamond"/>
        </w:rPr>
        <w:t xml:space="preserve"> born in </w:t>
      </w:r>
      <w:r w:rsidR="00F91796">
        <w:rPr>
          <w:rFonts w:ascii="Garamond" w:hAnsi="Garamond"/>
        </w:rPr>
        <w:t>1950 might be associated with the May 1968 events</w:t>
      </w:r>
      <w:r w:rsidR="001A2A92">
        <w:rPr>
          <w:rFonts w:ascii="Garamond" w:hAnsi="Garamond"/>
        </w:rPr>
        <w:t xml:space="preserve">. At the time, normal procedures for high school graduation were abandoned and as </w:t>
      </w:r>
      <w:r w:rsidR="00EA79AA">
        <w:rPr>
          <w:rFonts w:ascii="Garamond" w:hAnsi="Garamond"/>
        </w:rPr>
        <w:t xml:space="preserve">a </w:t>
      </w:r>
      <w:r w:rsidR="001A2A92">
        <w:rPr>
          <w:rFonts w:ascii="Garamond" w:hAnsi="Garamond"/>
        </w:rPr>
        <w:t xml:space="preserve">consequence, more students could get a high school diploma and pursue higher education than would have been possible otherwise </w:t>
      </w:r>
      <w:r w:rsidR="001A2A92">
        <w:rPr>
          <w:rFonts w:ascii="Garamond" w:hAnsi="Garamond"/>
        </w:rPr>
        <w:fldChar w:fldCharType="begin"/>
      </w:r>
      <w:r w:rsidR="00CC2B97">
        <w:rPr>
          <w:rFonts w:ascii="Garamond" w:hAnsi="Garamond"/>
        </w:rPr>
        <w:instrText xml:space="preserve"> ADDIN EN.CITE &lt;EndNote&gt;&lt;Cite&gt;&lt;Author&gt;Maurin&lt;/Author&gt;&lt;Year&gt;2008&lt;/Year&gt;&lt;RecNum&gt;50&lt;/RecNum&gt;&lt;DisplayText&gt;(Maurin &amp;amp; McNally, 2008)&lt;/DisplayText&gt;&lt;record&gt;&lt;rec-number&gt;50&lt;/rec-number&gt;&lt;foreign-keys&gt;&lt;key app="EN" db-id="p5pavdvzwwdesueaz0rxssxmtd2ext2dvwpd" timestamp="1542656736"&gt;50&lt;/key&gt;&lt;/foreign-keys&gt;&lt;ref-type name="Journal Article"&gt;17&lt;/ref-type&gt;&lt;contributors&gt;&lt;authors&gt;&lt;author&gt;Maurin, E.&lt;/author&gt;&lt;author&gt;McNally, S.&lt;/author&gt;&lt;/authors&gt;&lt;/contributors&gt;&lt;titles&gt;&lt;title&gt;Vive la revolution! Long-term educational returns of 1968 to the angry students&lt;/title&gt;&lt;secondary-title&gt;Journal of Labor Economics&lt;/secondary-title&gt;&lt;/titles&gt;&lt;periodical&gt;&lt;full-title&gt;Journal of Labor Economics&lt;/full-title&gt;&lt;/periodical&gt;&lt;pages&gt;1-33&lt;/pages&gt;&lt;volume&gt;26&lt;/volume&gt;&lt;number&gt;1&lt;/number&gt;&lt;dates&gt;&lt;year&gt;2008&lt;/year&gt;&lt;/dates&gt;&lt;urls&gt;&lt;/urls&gt;&lt;/record&gt;&lt;/Cite&gt;&lt;/EndNote&gt;</w:instrText>
      </w:r>
      <w:r w:rsidR="001A2A92">
        <w:rPr>
          <w:rFonts w:ascii="Garamond" w:hAnsi="Garamond"/>
        </w:rPr>
        <w:fldChar w:fldCharType="separate"/>
      </w:r>
      <w:r w:rsidR="00C07932">
        <w:rPr>
          <w:rFonts w:ascii="Garamond" w:hAnsi="Garamond"/>
          <w:noProof/>
        </w:rPr>
        <w:t>(</w:t>
      </w:r>
      <w:hyperlink w:anchor="_ENREF_47" w:tooltip="Maurin, 2008 #50" w:history="1">
        <w:r w:rsidR="006B1724">
          <w:rPr>
            <w:rFonts w:ascii="Garamond" w:hAnsi="Garamond"/>
            <w:noProof/>
          </w:rPr>
          <w:t>Maurin &amp; McNally, 2008</w:t>
        </w:r>
      </w:hyperlink>
      <w:r w:rsidR="00C07932">
        <w:rPr>
          <w:rFonts w:ascii="Garamond" w:hAnsi="Garamond"/>
          <w:noProof/>
        </w:rPr>
        <w:t>)</w:t>
      </w:r>
      <w:r w:rsidR="001A2A92">
        <w:rPr>
          <w:rFonts w:ascii="Garamond" w:hAnsi="Garamond"/>
        </w:rPr>
        <w:fldChar w:fldCharType="end"/>
      </w:r>
      <w:r w:rsidR="001A2A92">
        <w:rPr>
          <w:rFonts w:ascii="Garamond" w:hAnsi="Garamond"/>
        </w:rPr>
        <w:t xml:space="preserve">. We speculate that higher graduation rates for this specific cohort might also have positive effects on health later in life. </w:t>
      </w:r>
      <w:r w:rsidR="00B94D60">
        <w:rPr>
          <w:rFonts w:ascii="Garamond" w:hAnsi="Garamond"/>
        </w:rPr>
        <w:t>Three</w:t>
      </w:r>
      <w:r w:rsidR="001A2A92">
        <w:rPr>
          <w:rFonts w:ascii="Garamond" w:hAnsi="Garamond"/>
        </w:rPr>
        <w:t xml:space="preserve"> placebo reforms yielded significant effects for white blood cells counts – our results on this outcome should consequently be interpreted with caution. </w:t>
      </w:r>
    </w:p>
    <w:p w14:paraId="2A6CB1D2" w14:textId="44DCA87B" w:rsidR="004B73E3" w:rsidRPr="004B73E3" w:rsidRDefault="0084688A" w:rsidP="001A2A92">
      <w:pPr>
        <w:spacing w:line="480" w:lineRule="auto"/>
        <w:contextualSpacing/>
        <w:jc w:val="both"/>
        <w:outlineLvl w:val="0"/>
        <w:rPr>
          <w:rFonts w:ascii="Garamond" w:hAnsi="Garamond"/>
        </w:rPr>
      </w:pPr>
      <w:r>
        <w:rPr>
          <w:rFonts w:ascii="Garamond" w:hAnsi="Garamond"/>
        </w:rPr>
        <w:t xml:space="preserve">Our RDD results </w:t>
      </w:r>
      <w:r w:rsidR="001A2A92">
        <w:rPr>
          <w:rFonts w:ascii="Garamond" w:hAnsi="Garamond"/>
        </w:rPr>
        <w:t xml:space="preserve">for blood pressure and white blood cells counts </w:t>
      </w:r>
      <w:r>
        <w:rPr>
          <w:rFonts w:ascii="Garamond" w:hAnsi="Garamond"/>
        </w:rPr>
        <w:t xml:space="preserve">are robust to different </w:t>
      </w:r>
      <w:r w:rsidR="0001738F">
        <w:rPr>
          <w:rFonts w:ascii="Garamond" w:hAnsi="Garamond"/>
        </w:rPr>
        <w:t xml:space="preserve">specifications, including a higher order polynomial </w:t>
      </w:r>
      <w:r w:rsidR="0001738F" w:rsidRPr="0046004E">
        <w:rPr>
          <w:rFonts w:ascii="Garamond" w:hAnsi="Garamond"/>
        </w:rPr>
        <w:t>(</w:t>
      </w:r>
      <w:r w:rsidR="0001738F" w:rsidRPr="0046004E">
        <w:rPr>
          <w:rFonts w:ascii="Garamond" w:hAnsi="Garamond"/>
          <w:b/>
        </w:rPr>
        <w:t xml:space="preserve">Appendix Table </w:t>
      </w:r>
      <w:r w:rsidR="00991D00">
        <w:rPr>
          <w:rFonts w:ascii="Garamond" w:hAnsi="Garamond"/>
          <w:b/>
        </w:rPr>
        <w:t>3</w:t>
      </w:r>
      <w:r w:rsidR="004052F2" w:rsidRPr="0046004E">
        <w:rPr>
          <w:rFonts w:ascii="Garamond" w:hAnsi="Garamond"/>
        </w:rPr>
        <w:t>),</w:t>
      </w:r>
      <w:r w:rsidR="004052F2">
        <w:rPr>
          <w:rFonts w:ascii="Garamond" w:hAnsi="Garamond"/>
        </w:rPr>
        <w:t xml:space="preserve"> </w:t>
      </w:r>
      <w:r w:rsidR="00F714FA">
        <w:rPr>
          <w:rFonts w:ascii="Garamond" w:hAnsi="Garamond"/>
        </w:rPr>
        <w:t xml:space="preserve">the use of triangular kernel weights to give </w:t>
      </w:r>
      <w:r w:rsidR="004052F2">
        <w:rPr>
          <w:rFonts w:ascii="Garamond" w:hAnsi="Garamond"/>
        </w:rPr>
        <w:t>more</w:t>
      </w:r>
      <w:r w:rsidR="00F714FA">
        <w:rPr>
          <w:rFonts w:ascii="Garamond" w:hAnsi="Garamond"/>
        </w:rPr>
        <w:t xml:space="preserve"> weight to observations closer to the eligibility cut-off (</w:t>
      </w:r>
      <w:r w:rsidR="00F714FA" w:rsidRPr="00F74A1B">
        <w:rPr>
          <w:rFonts w:ascii="Garamond" w:hAnsi="Garamond"/>
          <w:b/>
        </w:rPr>
        <w:t xml:space="preserve">Appendix Table </w:t>
      </w:r>
      <w:r w:rsidR="00991D00">
        <w:rPr>
          <w:rFonts w:ascii="Garamond" w:hAnsi="Garamond"/>
          <w:b/>
        </w:rPr>
        <w:t>4</w:t>
      </w:r>
      <w:r w:rsidR="004052F2">
        <w:rPr>
          <w:rFonts w:ascii="Garamond" w:hAnsi="Garamond"/>
        </w:rPr>
        <w:t>), and different bandwidth sizes around the cut-off (</w:t>
      </w:r>
      <w:r w:rsidR="0001738F" w:rsidRPr="0001738F">
        <w:rPr>
          <w:rFonts w:ascii="Garamond" w:hAnsi="Garamond"/>
          <w:b/>
        </w:rPr>
        <w:t xml:space="preserve">Appendix Figure </w:t>
      </w:r>
      <w:r w:rsidR="00DB4B8A">
        <w:rPr>
          <w:rFonts w:ascii="Garamond" w:hAnsi="Garamond"/>
          <w:b/>
        </w:rPr>
        <w:t>4</w:t>
      </w:r>
      <w:r w:rsidR="0001738F">
        <w:rPr>
          <w:rFonts w:ascii="Garamond" w:hAnsi="Garamond"/>
        </w:rPr>
        <w:t>)</w:t>
      </w:r>
      <w:r w:rsidR="00AB7EC9">
        <w:rPr>
          <w:rFonts w:ascii="Garamond" w:hAnsi="Garamond"/>
        </w:rPr>
        <w:t>.</w:t>
      </w:r>
    </w:p>
    <w:p w14:paraId="565244EA" w14:textId="77777777" w:rsidR="00D10EB2" w:rsidRPr="000443EE" w:rsidRDefault="00D10EB2" w:rsidP="00406DEB">
      <w:pPr>
        <w:spacing w:line="480" w:lineRule="auto"/>
        <w:contextualSpacing/>
        <w:jc w:val="both"/>
        <w:rPr>
          <w:rFonts w:ascii="Garamond" w:hAnsi="Garamond"/>
        </w:rPr>
      </w:pPr>
    </w:p>
    <w:p w14:paraId="7600456D" w14:textId="26E99F3E" w:rsidR="00F3652F" w:rsidRDefault="004A4ABC" w:rsidP="00DC607C">
      <w:pPr>
        <w:spacing w:line="480" w:lineRule="auto"/>
        <w:contextualSpacing/>
        <w:jc w:val="both"/>
        <w:outlineLvl w:val="0"/>
        <w:rPr>
          <w:rFonts w:ascii="Garamond" w:hAnsi="Garamond"/>
          <w:b/>
        </w:rPr>
      </w:pPr>
      <w:r w:rsidRPr="004A4ABC">
        <w:rPr>
          <w:rFonts w:ascii="Garamond" w:hAnsi="Garamond"/>
          <w:b/>
        </w:rPr>
        <w:t>Discussion</w:t>
      </w:r>
    </w:p>
    <w:p w14:paraId="1FA6D75D" w14:textId="6E06474D" w:rsidR="00C508E3" w:rsidRDefault="00D15FF9" w:rsidP="0089338C">
      <w:pPr>
        <w:spacing w:line="480" w:lineRule="auto"/>
        <w:ind w:firstLine="720"/>
        <w:jc w:val="both"/>
        <w:rPr>
          <w:rFonts w:ascii="Garamond" w:hAnsi="Garamond"/>
        </w:rPr>
      </w:pPr>
      <w:r>
        <w:rPr>
          <w:rFonts w:ascii="Garamond" w:hAnsi="Garamond"/>
        </w:rPr>
        <w:t>In this paper, w</w:t>
      </w:r>
      <w:r w:rsidR="00E26F70">
        <w:rPr>
          <w:rFonts w:ascii="Garamond" w:hAnsi="Garamond"/>
        </w:rPr>
        <w:t xml:space="preserve">e </w:t>
      </w:r>
      <w:r w:rsidR="00CD5ED8" w:rsidRPr="00310FAF">
        <w:rPr>
          <w:rFonts w:ascii="Garamond" w:hAnsi="Garamond"/>
        </w:rPr>
        <w:t xml:space="preserve">exploit a reform implemented in 1959 in France to estimate the effect of extending compulsory schooling age from 14 to 16 on </w:t>
      </w:r>
      <w:r w:rsidR="009D2E92">
        <w:rPr>
          <w:rFonts w:ascii="Garamond" w:hAnsi="Garamond"/>
        </w:rPr>
        <w:t xml:space="preserve">biological </w:t>
      </w:r>
      <w:r w:rsidR="004052F2">
        <w:rPr>
          <w:rFonts w:ascii="Garamond" w:hAnsi="Garamond"/>
        </w:rPr>
        <w:t>risk profiles</w:t>
      </w:r>
      <w:r w:rsidR="00E11260">
        <w:rPr>
          <w:rFonts w:ascii="Garamond" w:hAnsi="Garamond"/>
        </w:rPr>
        <w:t xml:space="preserve"> decades later</w:t>
      </w:r>
      <w:r>
        <w:rPr>
          <w:rFonts w:ascii="Garamond" w:hAnsi="Garamond"/>
        </w:rPr>
        <w:t>.</w:t>
      </w:r>
      <w:r w:rsidR="00286DD7">
        <w:rPr>
          <w:rFonts w:ascii="Garamond" w:hAnsi="Garamond"/>
        </w:rPr>
        <w:t xml:space="preserve"> </w:t>
      </w:r>
      <w:r w:rsidR="0089338C">
        <w:rPr>
          <w:rFonts w:ascii="Garamond" w:hAnsi="Garamond"/>
        </w:rPr>
        <w:t xml:space="preserve">Although </w:t>
      </w:r>
      <w:r w:rsidR="00C6664D">
        <w:rPr>
          <w:rFonts w:ascii="Garamond" w:hAnsi="Garamond"/>
        </w:rPr>
        <w:t xml:space="preserve">there </w:t>
      </w:r>
      <w:r w:rsidR="00E26F70">
        <w:rPr>
          <w:rFonts w:ascii="Garamond" w:hAnsi="Garamond"/>
        </w:rPr>
        <w:t xml:space="preserve">is a clear </w:t>
      </w:r>
      <w:r>
        <w:rPr>
          <w:rFonts w:ascii="Garamond" w:hAnsi="Garamond"/>
        </w:rPr>
        <w:t>association</w:t>
      </w:r>
      <w:r w:rsidR="009D2E92">
        <w:rPr>
          <w:rFonts w:ascii="Garamond" w:hAnsi="Garamond"/>
        </w:rPr>
        <w:t xml:space="preserve"> </w:t>
      </w:r>
      <w:r w:rsidR="004052F2">
        <w:rPr>
          <w:rFonts w:ascii="Garamond" w:hAnsi="Garamond"/>
        </w:rPr>
        <w:t xml:space="preserve">between higher educational attainment </w:t>
      </w:r>
      <w:r>
        <w:rPr>
          <w:rFonts w:ascii="Garamond" w:hAnsi="Garamond"/>
        </w:rPr>
        <w:t>and lower</w:t>
      </w:r>
      <w:r w:rsidR="009D2E92">
        <w:rPr>
          <w:rFonts w:ascii="Garamond" w:hAnsi="Garamond"/>
        </w:rPr>
        <w:t xml:space="preserve"> biological</w:t>
      </w:r>
      <w:r w:rsidR="00E26F70">
        <w:rPr>
          <w:rFonts w:ascii="Garamond" w:hAnsi="Garamond"/>
        </w:rPr>
        <w:t xml:space="preserve"> risk</w:t>
      </w:r>
      <w:r w:rsidR="004052F2">
        <w:rPr>
          <w:rFonts w:ascii="Garamond" w:hAnsi="Garamond"/>
        </w:rPr>
        <w:t xml:space="preserve"> profiles</w:t>
      </w:r>
      <w:r w:rsidR="00C6664D">
        <w:rPr>
          <w:rFonts w:ascii="Garamond" w:hAnsi="Garamond"/>
        </w:rPr>
        <w:t xml:space="preserve"> in our sample, </w:t>
      </w:r>
      <w:r w:rsidR="00C508E3">
        <w:rPr>
          <w:rFonts w:ascii="Garamond" w:hAnsi="Garamond"/>
        </w:rPr>
        <w:t xml:space="preserve">our results </w:t>
      </w:r>
      <w:r w:rsidR="00C6664D">
        <w:rPr>
          <w:rFonts w:ascii="Garamond" w:hAnsi="Garamond"/>
        </w:rPr>
        <w:t>also indicate</w:t>
      </w:r>
      <w:r w:rsidR="00C508E3">
        <w:rPr>
          <w:rFonts w:ascii="Garamond" w:hAnsi="Garamond"/>
        </w:rPr>
        <w:t xml:space="preserve"> that a</w:t>
      </w:r>
      <w:r w:rsidR="00E11260">
        <w:rPr>
          <w:rFonts w:ascii="Garamond" w:hAnsi="Garamond"/>
        </w:rPr>
        <w:t xml:space="preserve"> </w:t>
      </w:r>
      <w:r w:rsidR="00E26F70">
        <w:rPr>
          <w:rFonts w:ascii="Garamond" w:hAnsi="Garamond"/>
        </w:rPr>
        <w:t xml:space="preserve">policy </w:t>
      </w:r>
      <w:r w:rsidR="00E11260">
        <w:rPr>
          <w:rFonts w:ascii="Garamond" w:hAnsi="Garamond"/>
        </w:rPr>
        <w:t xml:space="preserve">that </w:t>
      </w:r>
      <w:r w:rsidR="00E26F70">
        <w:rPr>
          <w:rFonts w:ascii="Garamond" w:hAnsi="Garamond"/>
        </w:rPr>
        <w:t xml:space="preserve">increased </w:t>
      </w:r>
      <w:r w:rsidR="00C6664D">
        <w:rPr>
          <w:rFonts w:ascii="Garamond" w:hAnsi="Garamond"/>
        </w:rPr>
        <w:t>schooling duration</w:t>
      </w:r>
      <w:r w:rsidR="00E11260">
        <w:rPr>
          <w:rFonts w:ascii="Garamond" w:hAnsi="Garamond"/>
        </w:rPr>
        <w:t xml:space="preserve"> did not translate into </w:t>
      </w:r>
      <w:r w:rsidR="003A7DE0">
        <w:rPr>
          <w:rFonts w:ascii="Garamond" w:hAnsi="Garamond"/>
        </w:rPr>
        <w:t>improved health as measured by biomarkers</w:t>
      </w:r>
      <w:r w:rsidR="00E11260">
        <w:rPr>
          <w:rFonts w:ascii="Garamond" w:hAnsi="Garamond"/>
        </w:rPr>
        <w:t xml:space="preserve">. </w:t>
      </w:r>
      <w:r w:rsidR="0089338C">
        <w:rPr>
          <w:rFonts w:ascii="Garamond" w:hAnsi="Garamond"/>
        </w:rPr>
        <w:t xml:space="preserve">We find no evidence of health benefits for participants from intermediate and high parental </w:t>
      </w:r>
      <w:r w:rsidR="00406DEB">
        <w:rPr>
          <w:rFonts w:ascii="Garamond" w:hAnsi="Garamond"/>
        </w:rPr>
        <w:t>social class</w:t>
      </w:r>
      <w:r w:rsidR="0089338C">
        <w:rPr>
          <w:rFonts w:ascii="Garamond" w:hAnsi="Garamond"/>
        </w:rPr>
        <w:t xml:space="preserve">, and </w:t>
      </w:r>
      <w:r w:rsidR="00E11260">
        <w:rPr>
          <w:rFonts w:ascii="Garamond" w:hAnsi="Garamond"/>
        </w:rPr>
        <w:t xml:space="preserve">we find some evidence that the reform may have had </w:t>
      </w:r>
      <w:r w:rsidR="009D2E92" w:rsidRPr="00337914">
        <w:rPr>
          <w:rFonts w:ascii="Garamond" w:hAnsi="Garamond"/>
          <w:i/>
        </w:rPr>
        <w:t>negative effects</w:t>
      </w:r>
      <w:r w:rsidR="009D2E92">
        <w:rPr>
          <w:rFonts w:ascii="Garamond" w:hAnsi="Garamond"/>
        </w:rPr>
        <w:t xml:space="preserve"> on </w:t>
      </w:r>
      <w:r w:rsidR="0089338C">
        <w:rPr>
          <w:rFonts w:ascii="Garamond" w:hAnsi="Garamond"/>
        </w:rPr>
        <w:t xml:space="preserve">blood pressure and </w:t>
      </w:r>
      <w:r w:rsidR="00406DEB">
        <w:rPr>
          <w:rFonts w:ascii="Garamond" w:hAnsi="Garamond"/>
        </w:rPr>
        <w:t xml:space="preserve">white </w:t>
      </w:r>
      <w:r w:rsidR="0089338C">
        <w:rPr>
          <w:rFonts w:ascii="Garamond" w:hAnsi="Garamond"/>
        </w:rPr>
        <w:t>blood cell</w:t>
      </w:r>
      <w:r w:rsidR="00C117C6">
        <w:rPr>
          <w:rFonts w:ascii="Garamond" w:hAnsi="Garamond"/>
        </w:rPr>
        <w:t>s</w:t>
      </w:r>
      <w:r w:rsidR="0089338C">
        <w:rPr>
          <w:rFonts w:ascii="Garamond" w:hAnsi="Garamond"/>
        </w:rPr>
        <w:t xml:space="preserve"> count</w:t>
      </w:r>
      <w:r w:rsidR="00C117C6">
        <w:rPr>
          <w:rFonts w:ascii="Garamond" w:hAnsi="Garamond"/>
        </w:rPr>
        <w:t>s</w:t>
      </w:r>
      <w:r w:rsidR="0089338C">
        <w:rPr>
          <w:rFonts w:ascii="Garamond" w:hAnsi="Garamond"/>
        </w:rPr>
        <w:t xml:space="preserve"> for respondents from </w:t>
      </w:r>
      <w:r w:rsidR="00406DEB">
        <w:rPr>
          <w:rFonts w:ascii="Garamond" w:hAnsi="Garamond"/>
        </w:rPr>
        <w:t>poorer families</w:t>
      </w:r>
      <w:r w:rsidR="0089338C">
        <w:rPr>
          <w:rFonts w:ascii="Garamond" w:hAnsi="Garamond"/>
        </w:rPr>
        <w:t xml:space="preserve">. </w:t>
      </w:r>
    </w:p>
    <w:p w14:paraId="351E1E68" w14:textId="77777777" w:rsidR="00F642C8" w:rsidRDefault="00F642C8" w:rsidP="00FB751C">
      <w:pPr>
        <w:spacing w:line="480" w:lineRule="auto"/>
        <w:ind w:firstLine="720"/>
        <w:jc w:val="both"/>
        <w:rPr>
          <w:rFonts w:ascii="Garamond" w:hAnsi="Garamond"/>
        </w:rPr>
      </w:pPr>
    </w:p>
    <w:p w14:paraId="0000A377" w14:textId="533AD17E" w:rsidR="00F642C8" w:rsidRDefault="00FB751C" w:rsidP="00933AE2">
      <w:pPr>
        <w:spacing w:line="480" w:lineRule="auto"/>
        <w:ind w:firstLine="720"/>
        <w:jc w:val="both"/>
        <w:rPr>
          <w:rFonts w:ascii="Garamond" w:hAnsi="Garamond"/>
        </w:rPr>
      </w:pPr>
      <w:r w:rsidRPr="00166828">
        <w:rPr>
          <w:rFonts w:ascii="Garamond" w:hAnsi="Garamond"/>
        </w:rPr>
        <w:lastRenderedPageBreak/>
        <w:t xml:space="preserve">Our findings for most biomarkers are consistent with those by </w:t>
      </w:r>
      <w:proofErr w:type="spellStart"/>
      <w:r w:rsidR="00F642C8">
        <w:rPr>
          <w:rFonts w:ascii="Garamond" w:hAnsi="Garamond"/>
        </w:rPr>
        <w:t>Jürges</w:t>
      </w:r>
      <w:proofErr w:type="spellEnd"/>
      <w:r w:rsidR="00F642C8">
        <w:rPr>
          <w:rFonts w:ascii="Garamond" w:hAnsi="Garamond"/>
        </w:rPr>
        <w:t xml:space="preserve"> and colleagues </w:t>
      </w:r>
      <w:r w:rsidR="001A2A92">
        <w:rPr>
          <w:rFonts w:ascii="Garamond" w:hAnsi="Garamond"/>
        </w:rPr>
        <w:fldChar w:fldCharType="begin"/>
      </w:r>
      <w:r w:rsidR="00CC2B97">
        <w:rPr>
          <w:rFonts w:ascii="Garamond" w:hAnsi="Garamond"/>
        </w:rPr>
        <w:instrText xml:space="preserve"> ADDIN EN.CITE &lt;EndNote&gt;&lt;Cite ExcludeAuth="1"&gt;&lt;Author&gt;Jürges&lt;/Author&gt;&lt;Year&gt;2013&lt;/Year&gt;&lt;RecNum&gt;30&lt;/RecNum&gt;&lt;DisplayText&gt;(2013)&lt;/DisplayText&gt;&lt;record&gt;&lt;rec-number&gt;30&lt;/rec-number&gt;&lt;foreign-keys&gt;&lt;key app="EN" db-id="p5pavdvzwwdesueaz0rxssxmtd2ext2dvwpd" timestamp="1542656736"&gt;30&lt;/key&gt;&lt;/foreign-keys&gt;&lt;ref-type name="Journal Article"&gt;17&lt;/ref-type&gt;&lt;contributors&gt;&lt;authors&gt;&lt;author&gt;Jürges, Hendrik&lt;/author&gt;&lt;author&gt;Kruk, Eberhard&lt;/author&gt;&lt;author&gt;Reinhold, Steffen&lt;/author&gt;&lt;/authors&gt;&lt;/contributors&gt;&lt;titles&gt;&lt;title&gt;The effect of compulsory schooling on health—evidence from biomarkers&lt;/title&gt;&lt;secondary-title&gt;Journal of population economics&lt;/secondary-title&gt;&lt;/titles&gt;&lt;periodical&gt;&lt;full-title&gt;Journal of Population Economics&lt;/full-title&gt;&lt;/periodical&gt;&lt;pages&gt;645-672&lt;/pages&gt;&lt;volume&gt;26&lt;/volume&gt;&lt;number&gt;2&lt;/number&gt;&lt;dates&gt;&lt;year&gt;2013&lt;/year&gt;&lt;/dates&gt;&lt;isbn&gt;0933-1433&lt;/isbn&gt;&lt;urls&gt;&lt;/urls&gt;&lt;/record&gt;&lt;/Cite&gt;&lt;/EndNote&gt;</w:instrText>
      </w:r>
      <w:r w:rsidR="001A2A92">
        <w:rPr>
          <w:rFonts w:ascii="Garamond" w:hAnsi="Garamond"/>
        </w:rPr>
        <w:fldChar w:fldCharType="separate"/>
      </w:r>
      <w:r w:rsidR="007C29C4">
        <w:rPr>
          <w:rFonts w:ascii="Garamond" w:hAnsi="Garamond"/>
          <w:noProof/>
        </w:rPr>
        <w:t>(</w:t>
      </w:r>
      <w:hyperlink w:anchor="_ENREF_35" w:tooltip="Jürges, 2013 #30" w:history="1">
        <w:r w:rsidR="006B1724">
          <w:rPr>
            <w:rFonts w:ascii="Garamond" w:hAnsi="Garamond"/>
            <w:noProof/>
          </w:rPr>
          <w:t>2013</w:t>
        </w:r>
      </w:hyperlink>
      <w:r w:rsidR="007C29C4">
        <w:rPr>
          <w:rFonts w:ascii="Garamond" w:hAnsi="Garamond"/>
          <w:noProof/>
        </w:rPr>
        <w:t>)</w:t>
      </w:r>
      <w:r w:rsidR="001A2A92">
        <w:rPr>
          <w:rFonts w:ascii="Garamond" w:hAnsi="Garamond"/>
        </w:rPr>
        <w:fldChar w:fldCharType="end"/>
      </w:r>
      <w:r w:rsidR="00F642C8">
        <w:rPr>
          <w:rFonts w:ascii="Garamond" w:hAnsi="Garamond"/>
        </w:rPr>
        <w:t xml:space="preserve"> </w:t>
      </w:r>
      <w:r w:rsidRPr="00166828">
        <w:rPr>
          <w:rFonts w:ascii="Garamond" w:hAnsi="Garamond"/>
        </w:rPr>
        <w:t xml:space="preserve">who found no significant effect of two </w:t>
      </w:r>
      <w:r w:rsidR="00C34B30">
        <w:rPr>
          <w:rFonts w:ascii="Garamond" w:hAnsi="Garamond"/>
        </w:rPr>
        <w:t>British</w:t>
      </w:r>
      <w:r w:rsidR="00C34B30" w:rsidRPr="00166828">
        <w:rPr>
          <w:rFonts w:ascii="Garamond" w:hAnsi="Garamond"/>
        </w:rPr>
        <w:t xml:space="preserve"> </w:t>
      </w:r>
      <w:r w:rsidRPr="00166828">
        <w:rPr>
          <w:rFonts w:ascii="Garamond" w:hAnsi="Garamond"/>
        </w:rPr>
        <w:t>compulsory schooling reforms on biomarkers of inflammation and chronic stress</w:t>
      </w:r>
      <w:r w:rsidR="00933AE2">
        <w:rPr>
          <w:rFonts w:ascii="Garamond" w:hAnsi="Garamond"/>
        </w:rPr>
        <w:t xml:space="preserve"> for the total population. Their data, however, did not include information on parental social class</w:t>
      </w:r>
      <w:r w:rsidR="00406DEB">
        <w:rPr>
          <w:rFonts w:ascii="Garamond" w:hAnsi="Garamond"/>
        </w:rPr>
        <w:t xml:space="preserve"> – which might have concealed important </w:t>
      </w:r>
      <w:r w:rsidR="00C34B30">
        <w:rPr>
          <w:rFonts w:ascii="Garamond" w:hAnsi="Garamond"/>
        </w:rPr>
        <w:t xml:space="preserve">heterogeneity </w:t>
      </w:r>
      <w:r w:rsidR="00406DEB">
        <w:rPr>
          <w:rFonts w:ascii="Garamond" w:hAnsi="Garamond"/>
        </w:rPr>
        <w:t>in the health effects of the reform considered. In addition, our study covers a wider range of biomarkers</w:t>
      </w:r>
      <w:r w:rsidR="00933AE2">
        <w:rPr>
          <w:rFonts w:ascii="Garamond" w:hAnsi="Garamond"/>
        </w:rPr>
        <w:t>,</w:t>
      </w:r>
      <w:r>
        <w:rPr>
          <w:rFonts w:ascii="Garamond" w:hAnsi="Garamond"/>
        </w:rPr>
        <w:t xml:space="preserve"> </w:t>
      </w:r>
      <w:r w:rsidR="00F642C8">
        <w:rPr>
          <w:rFonts w:ascii="Garamond" w:hAnsi="Garamond"/>
        </w:rPr>
        <w:t xml:space="preserve">spanning metabolic processes, inflammation, anthropometric measures and organ functioning. The suggestion that the </w:t>
      </w:r>
      <w:proofErr w:type="spellStart"/>
      <w:r w:rsidR="00504E29">
        <w:rPr>
          <w:rFonts w:ascii="Garamond" w:hAnsi="Garamond"/>
        </w:rPr>
        <w:t>Berthoin</w:t>
      </w:r>
      <w:proofErr w:type="spellEnd"/>
      <w:r w:rsidR="00504E29">
        <w:rPr>
          <w:rFonts w:ascii="Garamond" w:hAnsi="Garamond"/>
        </w:rPr>
        <w:t xml:space="preserve"> </w:t>
      </w:r>
      <w:r w:rsidR="00F642C8">
        <w:rPr>
          <w:rFonts w:ascii="Garamond" w:hAnsi="Garamond"/>
        </w:rPr>
        <w:t>reform may have had some negative effects on blood pressure is</w:t>
      </w:r>
      <w:r w:rsidR="00D751A1">
        <w:rPr>
          <w:rFonts w:ascii="Garamond" w:hAnsi="Garamond"/>
        </w:rPr>
        <w:t xml:space="preserve"> surprising but </w:t>
      </w:r>
      <w:r w:rsidR="00F642C8">
        <w:rPr>
          <w:rFonts w:ascii="Garamond" w:hAnsi="Garamond"/>
        </w:rPr>
        <w:t xml:space="preserve">in line with recent </w:t>
      </w:r>
      <w:r w:rsidR="00D751A1">
        <w:rPr>
          <w:rFonts w:ascii="Garamond" w:hAnsi="Garamond"/>
        </w:rPr>
        <w:t xml:space="preserve">findings from </w:t>
      </w:r>
      <w:proofErr w:type="spellStart"/>
      <w:r w:rsidR="00F642C8">
        <w:rPr>
          <w:rFonts w:ascii="Garamond" w:hAnsi="Garamond"/>
        </w:rPr>
        <w:t>Barcellos</w:t>
      </w:r>
      <w:proofErr w:type="spellEnd"/>
      <w:r w:rsidR="00F642C8">
        <w:rPr>
          <w:rFonts w:ascii="Garamond" w:hAnsi="Garamond"/>
        </w:rPr>
        <w:t xml:space="preserve"> et al. </w:t>
      </w:r>
      <w:r w:rsidR="00F642C8">
        <w:rPr>
          <w:rFonts w:ascii="Garamond" w:hAnsi="Garamond"/>
        </w:rPr>
        <w:fldChar w:fldCharType="begin"/>
      </w:r>
      <w:r w:rsidR="00CC2B97">
        <w:rPr>
          <w:rFonts w:ascii="Garamond" w:hAnsi="Garamond"/>
        </w:rPr>
        <w:instrText xml:space="preserve"> ADDIN EN.CITE &lt;EndNote&gt;&lt;Cite ExcludeAuth="1"&gt;&lt;Author&gt;Barcellos&lt;/Author&gt;&lt;Year&gt;2018&lt;/Year&gt;&lt;RecNum&gt;32&lt;/RecNum&gt;&lt;DisplayText&gt;(2018)&lt;/DisplayText&gt;&lt;record&gt;&lt;rec-number&gt;32&lt;/rec-number&gt;&lt;foreign-keys&gt;&lt;key app="EN" db-id="p5pavdvzwwdesueaz0rxssxmtd2ext2dvwpd" timestamp="1542656736"&gt;32&lt;/key&gt;&lt;/foreign-keys&gt;&lt;ref-type name="Journal Article"&gt;17&lt;/ref-type&gt;&lt;contributors&gt;&lt;authors&gt;&lt;author&gt;Barcellos, S.H.&lt;/author&gt;&lt;author&gt;Carvalho, L.S.&lt;/author&gt;&lt;author&gt;Turley, P.&lt;/author&gt;&lt;/authors&gt;&lt;/contributors&gt;&lt;titles&gt;&lt;title&gt;Distributional effects of education on health&lt;/title&gt;&lt;secondary-title&gt;Mimeo&lt;/secondary-title&gt;&lt;/titles&gt;&lt;periodical&gt;&lt;full-title&gt;Mimeo&lt;/full-title&gt;&lt;/periodical&gt;&lt;dates&gt;&lt;year&gt;2018&lt;/year&gt;&lt;/dates&gt;&lt;urls&gt;&lt;/urls&gt;&lt;/record&gt;&lt;/Cite&gt;&lt;/EndNote&gt;</w:instrText>
      </w:r>
      <w:r w:rsidR="00F642C8">
        <w:rPr>
          <w:rFonts w:ascii="Garamond" w:hAnsi="Garamond"/>
        </w:rPr>
        <w:fldChar w:fldCharType="separate"/>
      </w:r>
      <w:r w:rsidR="007C29C4">
        <w:rPr>
          <w:rFonts w:ascii="Garamond" w:hAnsi="Garamond"/>
          <w:noProof/>
        </w:rPr>
        <w:t>(</w:t>
      </w:r>
      <w:hyperlink w:anchor="_ENREF_4" w:tooltip="Barcellos, 2018 #32" w:history="1">
        <w:r w:rsidR="006B1724">
          <w:rPr>
            <w:rFonts w:ascii="Garamond" w:hAnsi="Garamond"/>
            <w:noProof/>
          </w:rPr>
          <w:t>2018</w:t>
        </w:r>
      </w:hyperlink>
      <w:r w:rsidR="007C29C4">
        <w:rPr>
          <w:rFonts w:ascii="Garamond" w:hAnsi="Garamond"/>
          <w:noProof/>
        </w:rPr>
        <w:t>)</w:t>
      </w:r>
      <w:r w:rsidR="00F642C8">
        <w:rPr>
          <w:rFonts w:ascii="Garamond" w:hAnsi="Garamond"/>
        </w:rPr>
        <w:fldChar w:fldCharType="end"/>
      </w:r>
      <w:r w:rsidR="00F642C8">
        <w:rPr>
          <w:rFonts w:ascii="Garamond" w:hAnsi="Garamond"/>
        </w:rPr>
        <w:t xml:space="preserve"> in the UK. In their study, eligibility to the 1972 British reform was associated with a </w:t>
      </w:r>
      <w:r w:rsidR="00F869D0">
        <w:rPr>
          <w:rFonts w:ascii="Garamond" w:hAnsi="Garamond"/>
        </w:rPr>
        <w:t xml:space="preserve">significant increase in blood pressure, although it did not increase hypertension prevalence. In additional analyses, we confirm that eligibility to the </w:t>
      </w:r>
      <w:proofErr w:type="spellStart"/>
      <w:r w:rsidR="00F869D0">
        <w:rPr>
          <w:rFonts w:ascii="Garamond" w:hAnsi="Garamond"/>
        </w:rPr>
        <w:t>Berthoin</w:t>
      </w:r>
      <w:proofErr w:type="spellEnd"/>
      <w:r w:rsidR="00F869D0">
        <w:rPr>
          <w:rFonts w:ascii="Garamond" w:hAnsi="Garamond"/>
        </w:rPr>
        <w:t xml:space="preserve"> reform was not associated with increased hypertension (as measured by a diastolic blood pressure higher or equal to 90 mm Hg –</w:t>
      </w:r>
      <w:r w:rsidR="007C29C4">
        <w:rPr>
          <w:rFonts w:ascii="Garamond" w:hAnsi="Garamond"/>
        </w:rPr>
        <w:t xml:space="preserve"> </w:t>
      </w:r>
      <w:r w:rsidR="00F869D0" w:rsidRPr="00D43272">
        <w:rPr>
          <w:rFonts w:ascii="Garamond" w:hAnsi="Garamond"/>
          <w:b/>
        </w:rPr>
        <w:t xml:space="preserve">Appendix Table </w:t>
      </w:r>
      <w:r w:rsidR="00991D00">
        <w:rPr>
          <w:rFonts w:ascii="Garamond" w:hAnsi="Garamond"/>
          <w:b/>
        </w:rPr>
        <w:t>5</w:t>
      </w:r>
      <w:r w:rsidR="00F869D0">
        <w:rPr>
          <w:rFonts w:ascii="Garamond" w:hAnsi="Garamond"/>
        </w:rPr>
        <w:t xml:space="preserve">). </w:t>
      </w:r>
      <w:r w:rsidR="002950A8">
        <w:rPr>
          <w:rFonts w:ascii="Garamond" w:hAnsi="Garamond"/>
        </w:rPr>
        <w:t xml:space="preserve">The </w:t>
      </w:r>
      <w:r w:rsidR="00E51CA4">
        <w:rPr>
          <w:rFonts w:ascii="Garamond" w:hAnsi="Garamond"/>
        </w:rPr>
        <w:t>negative</w:t>
      </w:r>
      <w:r w:rsidR="002950A8">
        <w:rPr>
          <w:rFonts w:ascii="Garamond" w:hAnsi="Garamond"/>
        </w:rPr>
        <w:t xml:space="preserve"> effect of the reform on blood pressure </w:t>
      </w:r>
      <w:r w:rsidR="00E51CA4">
        <w:rPr>
          <w:rFonts w:ascii="Garamond" w:hAnsi="Garamond"/>
        </w:rPr>
        <w:t>remains under the high-risk threshold but might be indicative of underlying physiological processes in the exposed population that may manifest in poor</w:t>
      </w:r>
      <w:r w:rsidR="00586692">
        <w:rPr>
          <w:rFonts w:ascii="Garamond" w:hAnsi="Garamond"/>
        </w:rPr>
        <w:t>er</w:t>
      </w:r>
      <w:r w:rsidR="00E51CA4">
        <w:rPr>
          <w:rFonts w:ascii="Garamond" w:hAnsi="Garamond"/>
        </w:rPr>
        <w:t xml:space="preserve"> health in the long run. Indeed, </w:t>
      </w:r>
      <w:r w:rsidR="00AD33A7">
        <w:rPr>
          <w:rFonts w:ascii="Garamond" w:hAnsi="Garamond"/>
        </w:rPr>
        <w:t xml:space="preserve">clinical evidence shows that pre-high range levels </w:t>
      </w:r>
      <w:r w:rsidR="00E51CA4">
        <w:rPr>
          <w:rFonts w:ascii="Garamond" w:hAnsi="Garamond"/>
        </w:rPr>
        <w:t xml:space="preserve">of diastolic blood pressure </w:t>
      </w:r>
      <w:r w:rsidR="00AD33A7">
        <w:rPr>
          <w:rFonts w:ascii="Garamond" w:hAnsi="Garamond"/>
        </w:rPr>
        <w:t xml:space="preserve">(ranging from 75 mm Hg) are already associated with poor cardiovascular </w:t>
      </w:r>
      <w:r w:rsidR="00AD33A7" w:rsidRPr="00E24AA9">
        <w:rPr>
          <w:rFonts w:ascii="Garamond" w:hAnsi="Garamond"/>
        </w:rPr>
        <w:t xml:space="preserve">outcomes </w:t>
      </w:r>
      <w:r w:rsidR="00F34EA0" w:rsidRPr="00E24AA9">
        <w:rPr>
          <w:rFonts w:ascii="Garamond" w:hAnsi="Garamond"/>
        </w:rPr>
        <w:fldChar w:fldCharType="begin"/>
      </w:r>
      <w:r w:rsidR="00CC2B97">
        <w:rPr>
          <w:rFonts w:ascii="Garamond" w:hAnsi="Garamond"/>
        </w:rPr>
        <w:instrText xml:space="preserve"> ADDIN EN.CITE &lt;EndNote&gt;&lt;Cite&gt;&lt;Author&gt;Vasan&lt;/Author&gt;&lt;Year&gt;2001&lt;/Year&gt;&lt;RecNum&gt;51&lt;/RecNum&gt;&lt;DisplayText&gt;(Vasan et al., 2001)&lt;/DisplayText&gt;&lt;record&gt;&lt;rec-number&gt;51&lt;/rec-number&gt;&lt;foreign-keys&gt;&lt;key app="EN" db-id="p5pavdvzwwdesueaz0rxssxmtd2ext2dvwpd" timestamp="1542656736"&gt;51&lt;/key&gt;&lt;/foreign-keys&gt;&lt;ref-type name="Journal Article"&gt;17&lt;/ref-type&gt;&lt;contributors&gt;&lt;authors&gt;&lt;author&gt;Vasan, R.S.&lt;/author&gt;&lt;author&gt;Larson, M.G.&lt;/author&gt;&lt;author&gt;Leip, E.P.&lt;/author&gt;&lt;author&gt;Evans, J.C.&lt;/author&gt;&lt;author&gt;O&amp;apos;Donnell, C.J.&lt;/author&gt;&lt;author&gt;Kannel, W.B.&lt;/author&gt;&lt;author&gt;Levy, D.&lt;/author&gt;&lt;/authors&gt;&lt;/contributors&gt;&lt;titles&gt;&lt;title&gt;Impact of high-normal blood pressure on the risk of cardiovascular disease&lt;/title&gt;&lt;secondary-title&gt;New England Journal of Medicine&lt;/secondary-title&gt;&lt;/titles&gt;&lt;periodical&gt;&lt;full-title&gt;New England Journal of Medicine&lt;/full-title&gt;&lt;/periodical&gt;&lt;pages&gt;1291-1297&lt;/pages&gt;&lt;volume&gt;345&lt;/volume&gt;&lt;number&gt;18&lt;/number&gt;&lt;dates&gt;&lt;year&gt;2001&lt;/year&gt;&lt;/dates&gt;&lt;urls&gt;&lt;/urls&gt;&lt;/record&gt;&lt;/Cite&gt;&lt;/EndNote&gt;</w:instrText>
      </w:r>
      <w:r w:rsidR="00F34EA0" w:rsidRPr="00E24AA9">
        <w:rPr>
          <w:rFonts w:ascii="Garamond" w:hAnsi="Garamond"/>
        </w:rPr>
        <w:fldChar w:fldCharType="separate"/>
      </w:r>
      <w:r w:rsidR="00E36631">
        <w:rPr>
          <w:rFonts w:ascii="Garamond" w:hAnsi="Garamond"/>
          <w:noProof/>
        </w:rPr>
        <w:t>(</w:t>
      </w:r>
      <w:hyperlink w:anchor="_ENREF_61" w:tooltip="Vasan, 2001 #51" w:history="1">
        <w:r w:rsidR="006B1724">
          <w:rPr>
            <w:rFonts w:ascii="Garamond" w:hAnsi="Garamond"/>
            <w:noProof/>
          </w:rPr>
          <w:t>Vasan et al., 2001</w:t>
        </w:r>
      </w:hyperlink>
      <w:r w:rsidR="00E36631">
        <w:rPr>
          <w:rFonts w:ascii="Garamond" w:hAnsi="Garamond"/>
          <w:noProof/>
        </w:rPr>
        <w:t>)</w:t>
      </w:r>
      <w:r w:rsidR="00F34EA0" w:rsidRPr="00E24AA9">
        <w:rPr>
          <w:rFonts w:ascii="Garamond" w:hAnsi="Garamond"/>
        </w:rPr>
        <w:fldChar w:fldCharType="end"/>
      </w:r>
      <w:r w:rsidR="00E24AA9" w:rsidRPr="00E24AA9">
        <w:rPr>
          <w:rFonts w:ascii="Garamond" w:hAnsi="Garamond"/>
        </w:rPr>
        <w:t>.</w:t>
      </w:r>
    </w:p>
    <w:p w14:paraId="508C20FE" w14:textId="77777777" w:rsidR="00F95CED" w:rsidRDefault="00F95CED" w:rsidP="00933AE2">
      <w:pPr>
        <w:spacing w:line="480" w:lineRule="auto"/>
        <w:ind w:firstLine="720"/>
        <w:jc w:val="both"/>
        <w:rPr>
          <w:rFonts w:ascii="Garamond" w:hAnsi="Garamond"/>
        </w:rPr>
      </w:pPr>
    </w:p>
    <w:p w14:paraId="1BE3185E" w14:textId="3FD8644F" w:rsidR="00F95CED" w:rsidRDefault="00F95CED" w:rsidP="000A4B66">
      <w:pPr>
        <w:spacing w:line="480" w:lineRule="auto"/>
        <w:ind w:firstLine="720"/>
        <w:jc w:val="both"/>
        <w:rPr>
          <w:rFonts w:ascii="Garamond" w:hAnsi="Garamond"/>
          <w:lang w:val="en-GB"/>
        </w:rPr>
      </w:pPr>
      <w:r>
        <w:rPr>
          <w:rFonts w:ascii="Garamond" w:hAnsi="Garamond"/>
        </w:rPr>
        <w:t xml:space="preserve">A first explanation might lie in the fact that the reform impacted mainly one population sub-group: respondents from low parental social class who constitute about 45% of our sample. </w:t>
      </w:r>
      <w:proofErr w:type="spellStart"/>
      <w:r>
        <w:rPr>
          <w:rFonts w:ascii="Garamond" w:hAnsi="Garamond"/>
          <w:lang w:val="en-GB"/>
        </w:rPr>
        <w:t>Galama</w:t>
      </w:r>
      <w:proofErr w:type="spellEnd"/>
      <w:r>
        <w:rPr>
          <w:rFonts w:ascii="Garamond" w:hAnsi="Garamond"/>
          <w:lang w:val="en-GB"/>
        </w:rPr>
        <w:t xml:space="preserve">, et al </w:t>
      </w:r>
      <w:r>
        <w:rPr>
          <w:rFonts w:ascii="Garamond" w:hAnsi="Garamond"/>
          <w:lang w:val="en-GB"/>
        </w:rPr>
        <w:fldChar w:fldCharType="begin"/>
      </w:r>
      <w:r w:rsidR="00CC2B97">
        <w:rPr>
          <w:rFonts w:ascii="Garamond" w:hAnsi="Garamond"/>
          <w:lang w:val="en-GB"/>
        </w:rPr>
        <w:instrText xml:space="preserve"> ADDIN EN.CITE &lt;EndNote&gt;&lt;Cite ExcludeAuth="1"&gt;&lt;Author&gt;Galama&lt;/Author&gt;&lt;Year&gt;2018&lt;/Year&gt;&lt;RecNum&gt;52&lt;/RecNum&gt;&lt;DisplayText&gt;(2018)&lt;/DisplayText&gt;&lt;record&gt;&lt;rec-number&gt;52&lt;/rec-number&gt;&lt;foreign-keys&gt;&lt;key app="EN" db-id="p5pavdvzwwdesueaz0rxssxmtd2ext2dvwpd" timestamp="1542656736"&gt;52&lt;/key&gt;&lt;/foreign-keys&gt;&lt;ref-type name="Book"&gt;6&lt;/ref-type&gt;&lt;contributors&gt;&lt;authors&gt;&lt;author&gt;Galama, Titus J&lt;/author&gt;&lt;author&gt;Lleras-Muney, Adriana&lt;/author&gt;&lt;author&gt;van Kippersluis, Hans&lt;/author&gt;&lt;/authors&gt;&lt;/contributors&gt;&lt;titles&gt;&lt;title&gt;The Effect of Education on Health and Mortality: A Review of Experimental and Quasi-Experimental Evidence&lt;/title&gt;&lt;/titles&gt;&lt;dates&gt;&lt;year&gt;2018&lt;/year&gt;&lt;/dates&gt;&lt;pub-location&gt;Boston, MA&lt;/pub-location&gt;&lt;publisher&gt;National Bureau of Economic Research&lt;/publisher&gt;&lt;urls&gt;&lt;/urls&gt;&lt;/record&gt;&lt;/Cite&gt;&lt;/EndNote&gt;</w:instrText>
      </w:r>
      <w:r>
        <w:rPr>
          <w:rFonts w:ascii="Garamond" w:hAnsi="Garamond"/>
          <w:lang w:val="en-GB"/>
        </w:rPr>
        <w:fldChar w:fldCharType="separate"/>
      </w:r>
      <w:r>
        <w:rPr>
          <w:rFonts w:ascii="Garamond" w:hAnsi="Garamond"/>
          <w:noProof/>
          <w:lang w:val="en-GB"/>
        </w:rPr>
        <w:t>(</w:t>
      </w:r>
      <w:hyperlink w:anchor="_ENREF_23" w:tooltip="Galama, 2018 #52" w:history="1">
        <w:r w:rsidR="006B1724">
          <w:rPr>
            <w:rFonts w:ascii="Garamond" w:hAnsi="Garamond"/>
            <w:noProof/>
            <w:lang w:val="en-GB"/>
          </w:rPr>
          <w:t>2018</w:t>
        </w:r>
      </w:hyperlink>
      <w:r>
        <w:rPr>
          <w:rFonts w:ascii="Garamond" w:hAnsi="Garamond"/>
          <w:noProof/>
          <w:lang w:val="en-GB"/>
        </w:rPr>
        <w:t>)</w:t>
      </w:r>
      <w:r>
        <w:rPr>
          <w:rFonts w:ascii="Garamond" w:hAnsi="Garamond"/>
          <w:lang w:val="en-GB"/>
        </w:rPr>
        <w:fldChar w:fldCharType="end"/>
      </w:r>
      <w:r>
        <w:rPr>
          <w:rFonts w:ascii="Garamond" w:hAnsi="Garamond"/>
          <w:lang w:val="en-GB"/>
        </w:rPr>
        <w:t xml:space="preserve"> recently proposed a theoretical framework which may be useful in understanding why these respondents may have experienced low returns and high costs of longer schooling, potentially leading to negative health outcomes. The authors postulate that a critical pathway through which education affects health is skill formation; and that additional time spent in school following a compulsory schooling reform does not necessarily lead to additional skills. Indeed, the </w:t>
      </w:r>
      <w:proofErr w:type="spellStart"/>
      <w:r>
        <w:rPr>
          <w:rFonts w:ascii="Garamond" w:hAnsi="Garamond"/>
          <w:lang w:val="en-GB"/>
        </w:rPr>
        <w:t>Berthoin</w:t>
      </w:r>
      <w:proofErr w:type="spellEnd"/>
      <w:r>
        <w:rPr>
          <w:rFonts w:ascii="Garamond" w:hAnsi="Garamond"/>
          <w:lang w:val="en-GB"/>
        </w:rPr>
        <w:t xml:space="preserve"> reform </w:t>
      </w:r>
      <w:r w:rsidR="00D751A1">
        <w:rPr>
          <w:rFonts w:ascii="Garamond" w:hAnsi="Garamond"/>
          <w:lang w:val="en-GB"/>
        </w:rPr>
        <w:t xml:space="preserve">did not require students to acquire a new diploma or qualification, </w:t>
      </w:r>
      <w:r w:rsidR="00C34B30">
        <w:rPr>
          <w:rFonts w:ascii="Garamond" w:hAnsi="Garamond"/>
          <w:lang w:val="en-GB"/>
        </w:rPr>
        <w:lastRenderedPageBreak/>
        <w:t xml:space="preserve">which </w:t>
      </w:r>
      <w:r w:rsidR="00D751A1">
        <w:rPr>
          <w:rFonts w:ascii="Garamond" w:hAnsi="Garamond"/>
          <w:lang w:val="en-GB"/>
        </w:rPr>
        <w:t xml:space="preserve">might have led to </w:t>
      </w:r>
      <w:r w:rsidR="00C34B30">
        <w:rPr>
          <w:rFonts w:ascii="Garamond" w:hAnsi="Garamond"/>
          <w:lang w:val="en-GB"/>
        </w:rPr>
        <w:t>a larger transformation of the education system</w:t>
      </w:r>
      <w:r>
        <w:rPr>
          <w:rFonts w:ascii="Garamond" w:hAnsi="Garamond"/>
          <w:lang w:val="en-GB"/>
        </w:rPr>
        <w:t xml:space="preserve"> </w:t>
      </w:r>
      <w:r>
        <w:rPr>
          <w:rFonts w:ascii="Garamond" w:hAnsi="Garamond"/>
          <w:lang w:val="en-GB"/>
        </w:rPr>
        <w:fldChar w:fldCharType="begin"/>
      </w:r>
      <w:r w:rsidR="00CC2B97">
        <w:rPr>
          <w:rFonts w:ascii="Garamond" w:hAnsi="Garamond"/>
          <w:lang w:val="en-GB"/>
        </w:rPr>
        <w:instrText xml:space="preserve"> ADDIN EN.CITE &lt;EndNote&gt;&lt;Cite&gt;&lt;Author&gt;Defresne&lt;/Author&gt;&lt;Year&gt;2016&lt;/Year&gt;&lt;RecNum&gt;38&lt;/RecNum&gt;&lt;DisplayText&gt;(Defresne &amp;amp; Krop, 2016)&lt;/DisplayText&gt;&lt;record&gt;&lt;rec-number&gt;38&lt;/rec-number&gt;&lt;foreign-keys&gt;&lt;key app="EN" db-id="p5pavdvzwwdesueaz0rxssxmtd2ext2dvwpd" timestamp="1542656736"&gt;38&lt;/key&gt;&lt;/foreign-keys&gt;&lt;ref-type name="Book"&gt;6&lt;/ref-type&gt;&lt;contributors&gt;&lt;authors&gt;&lt;author&gt;Defresne, F.&lt;/author&gt;&lt;author&gt;Krop, J.&lt;/author&gt;&lt;/authors&gt;&lt;/contributors&gt;&lt;titles&gt;&lt;title&gt;La massification scolaire sous la Ve république : Une mise en perspective des statistiques de l’Éducation nationale (1958-2014). &lt;/title&gt;&lt;secondary-title&gt;Éducation et formations&lt;/secondary-title&gt;&lt;/titles&gt;&lt;pages&gt;5-20&lt;/pages&gt;&lt;dates&gt;&lt;year&gt;2016&lt;/year&gt;&lt;/dates&gt;&lt;pub-location&gt;Paris&lt;/pub-location&gt;&lt;publisher&gt;Ministère de l’éducation nationale&lt;/publisher&gt;&lt;urls&gt;&lt;/urls&gt;&lt;/record&gt;&lt;/Cite&gt;&lt;/EndNote&gt;</w:instrText>
      </w:r>
      <w:r>
        <w:rPr>
          <w:rFonts w:ascii="Garamond" w:hAnsi="Garamond"/>
          <w:lang w:val="en-GB"/>
        </w:rPr>
        <w:fldChar w:fldCharType="separate"/>
      </w:r>
      <w:r>
        <w:rPr>
          <w:rFonts w:ascii="Garamond" w:hAnsi="Garamond"/>
          <w:noProof/>
          <w:lang w:val="en-GB"/>
        </w:rPr>
        <w:t>(</w:t>
      </w:r>
      <w:hyperlink w:anchor="_ENREF_15" w:tooltip="Defresne, 2016 #38" w:history="1">
        <w:r w:rsidR="006B1724">
          <w:rPr>
            <w:rFonts w:ascii="Garamond" w:hAnsi="Garamond"/>
            <w:noProof/>
            <w:lang w:val="en-GB"/>
          </w:rPr>
          <w:t>Defresne &amp; Krop, 2016</w:t>
        </w:r>
      </w:hyperlink>
      <w:r>
        <w:rPr>
          <w:rFonts w:ascii="Garamond" w:hAnsi="Garamond"/>
          <w:noProof/>
          <w:lang w:val="en-GB"/>
        </w:rPr>
        <w:t>)</w:t>
      </w:r>
      <w:r>
        <w:rPr>
          <w:rFonts w:ascii="Garamond" w:hAnsi="Garamond"/>
          <w:lang w:val="en-GB"/>
        </w:rPr>
        <w:fldChar w:fldCharType="end"/>
      </w:r>
      <w:r>
        <w:rPr>
          <w:rFonts w:ascii="Garamond" w:hAnsi="Garamond"/>
          <w:lang w:val="en-GB"/>
        </w:rPr>
        <w:t xml:space="preserve">. </w:t>
      </w:r>
      <w:r w:rsidRPr="00491F4E">
        <w:rPr>
          <w:rFonts w:ascii="Garamond" w:hAnsi="Garamond"/>
          <w:b/>
          <w:lang w:val="en-GB"/>
        </w:rPr>
        <w:t xml:space="preserve">Appendix Figure </w:t>
      </w:r>
      <w:r>
        <w:rPr>
          <w:rFonts w:ascii="Garamond" w:hAnsi="Garamond"/>
          <w:b/>
          <w:lang w:val="en-GB"/>
        </w:rPr>
        <w:t>5</w:t>
      </w:r>
      <w:r>
        <w:rPr>
          <w:rFonts w:ascii="Garamond" w:hAnsi="Garamond"/>
          <w:lang w:val="en-GB"/>
        </w:rPr>
        <w:t xml:space="preserve"> displays the distributional effects of the reform on school leaving age. It indicates that the reform only impacted the bottom of the distribution (</w:t>
      </w:r>
      <w:r w:rsidRPr="00323B6A">
        <w:rPr>
          <w:rFonts w:ascii="Garamond" w:hAnsi="Garamond"/>
          <w:i/>
          <w:lang w:val="en-GB"/>
        </w:rPr>
        <w:t>i.e.</w:t>
      </w:r>
      <w:r>
        <w:rPr>
          <w:rFonts w:ascii="Garamond" w:hAnsi="Garamond"/>
          <w:lang w:val="en-GB"/>
        </w:rPr>
        <w:t xml:space="preserve"> it reduced the proportion of respondents leaving school before the age of 16) but had no effect on the rest of the distribution, which would have been indicative of a longer-term effect on access to higher education for example. </w:t>
      </w:r>
      <w:r>
        <w:rPr>
          <w:rFonts w:ascii="Garamond" w:hAnsi="Garamond"/>
        </w:rPr>
        <w:t xml:space="preserve">The contrasted effects of the </w:t>
      </w:r>
      <w:proofErr w:type="spellStart"/>
      <w:r>
        <w:rPr>
          <w:rFonts w:ascii="Garamond" w:hAnsi="Garamond"/>
        </w:rPr>
        <w:t>Berthoin</w:t>
      </w:r>
      <w:proofErr w:type="spellEnd"/>
      <w:r>
        <w:rPr>
          <w:rFonts w:ascii="Garamond" w:hAnsi="Garamond"/>
        </w:rPr>
        <w:t xml:space="preserve"> reform suggest that skill formation may be more important than the amount of time spent in school.</w:t>
      </w:r>
      <w:r>
        <w:rPr>
          <w:rFonts w:ascii="Garamond" w:hAnsi="Garamond"/>
          <w:lang w:val="en-GB"/>
        </w:rPr>
        <w:t xml:space="preserve"> </w:t>
      </w:r>
    </w:p>
    <w:p w14:paraId="722A84EB" w14:textId="77777777" w:rsidR="00F95CED" w:rsidRDefault="00F95CED" w:rsidP="00F95CED">
      <w:pPr>
        <w:spacing w:line="480" w:lineRule="auto"/>
        <w:ind w:firstLine="720"/>
        <w:jc w:val="both"/>
        <w:rPr>
          <w:rFonts w:ascii="Garamond" w:hAnsi="Garamond"/>
          <w:lang w:val="en-GB"/>
        </w:rPr>
      </w:pPr>
    </w:p>
    <w:p w14:paraId="643A231B" w14:textId="4182B11E" w:rsidR="00F95CED" w:rsidRDefault="00F95CED" w:rsidP="00C12564">
      <w:pPr>
        <w:spacing w:line="480" w:lineRule="auto"/>
        <w:ind w:firstLine="720"/>
        <w:jc w:val="both"/>
        <w:rPr>
          <w:rFonts w:ascii="Garamond" w:hAnsi="Garamond"/>
        </w:rPr>
      </w:pPr>
      <w:r>
        <w:rPr>
          <w:rFonts w:ascii="Garamond" w:hAnsi="Garamond"/>
        </w:rPr>
        <w:t>A related explanation comes from the limited effects of the reform on educational credentials (</w:t>
      </w:r>
      <w:r w:rsidRPr="00024F7B">
        <w:rPr>
          <w:rFonts w:ascii="Garamond" w:hAnsi="Garamond"/>
          <w:b/>
        </w:rPr>
        <w:t xml:space="preserve">Appendix Table </w:t>
      </w:r>
      <w:r>
        <w:rPr>
          <w:rFonts w:ascii="Garamond" w:hAnsi="Garamond"/>
          <w:b/>
        </w:rPr>
        <w:t>6</w:t>
      </w:r>
      <w:r>
        <w:rPr>
          <w:rFonts w:ascii="Garamond" w:hAnsi="Garamond"/>
        </w:rPr>
        <w:t xml:space="preserve">), which may be more critical than schooling duration to achieve better health outcomes. This would be consistent with the ‘sheepskin effect’, the idea that it is educational credentials which may potentially benefit health, and not the number of years of schooling </w:t>
      </w:r>
      <w:r>
        <w:rPr>
          <w:rFonts w:ascii="Garamond" w:hAnsi="Garamond"/>
        </w:rPr>
        <w:fldChar w:fldCharType="begin"/>
      </w:r>
      <w:r w:rsidR="00CC2B97">
        <w:rPr>
          <w:rFonts w:ascii="Garamond" w:hAnsi="Garamond"/>
        </w:rPr>
        <w:instrText xml:space="preserve"> ADDIN EN.CITE &lt;EndNote&gt;&lt;Cite&gt;&lt;Author&gt;Liu&lt;/Author&gt;&lt;Year&gt;2014&lt;/Year&gt;&lt;RecNum&gt;53&lt;/RecNum&gt;&lt;DisplayText&gt;(Liu et al., 2014)&lt;/DisplayText&gt;&lt;record&gt;&lt;rec-number&gt;53&lt;/rec-number&gt;&lt;foreign-keys&gt;&lt;key app="EN" db-id="p5pavdvzwwdesueaz0rxssxmtd2ext2dvwpd" timestamp="1542656736"&gt;53&lt;/key&gt;&lt;/foreign-keys&gt;&lt;ref-type name="Journal Article"&gt;17&lt;/ref-type&gt;&lt;contributors&gt;&lt;authors&gt;&lt;author&gt;Liu, S.Y.&lt;/author&gt;&lt;author&gt;Buka, S.L.&lt;/author&gt;&lt;author&gt;Kubzansky, L.&lt;/author&gt;&lt;author&gt;Kawachi, I.&lt;/author&gt;&lt;author&gt;Gilman, S.E.&lt;/author&gt;&lt;author&gt;Loucks, E.B.&lt;/author&gt;&lt;/authors&gt;&lt;/contributors&gt;&lt;titles&gt;&lt;title&gt;Sheepskin effects of education in the 10-year Framingham risk of coronary heart disease&lt;/title&gt;&lt;secondary-title&gt;Social Science &amp;amp; Medicine&lt;/secondary-title&gt;&lt;/titles&gt;&lt;periodical&gt;&lt;full-title&gt;Social Science &amp;amp; Medicine&lt;/full-title&gt;&lt;/periodical&gt;&lt;pages&gt;31-36&lt;/pages&gt;&lt;volume&gt;80&lt;/volume&gt;&lt;number&gt;1&lt;/number&gt;&lt;dates&gt;&lt;year&gt;2014&lt;/year&gt;&lt;/dates&gt;&lt;urls&gt;&lt;/urls&gt;&lt;/record&gt;&lt;/Cite&gt;&lt;/EndNote&gt;</w:instrText>
      </w:r>
      <w:r>
        <w:rPr>
          <w:rFonts w:ascii="Garamond" w:hAnsi="Garamond"/>
        </w:rPr>
        <w:fldChar w:fldCharType="separate"/>
      </w:r>
      <w:r>
        <w:rPr>
          <w:rFonts w:ascii="Garamond" w:hAnsi="Garamond"/>
          <w:noProof/>
        </w:rPr>
        <w:t>(</w:t>
      </w:r>
      <w:hyperlink w:anchor="_ENREF_44" w:tooltip="Liu, 2014 #53" w:history="1">
        <w:r w:rsidR="006B1724">
          <w:rPr>
            <w:rFonts w:ascii="Garamond" w:hAnsi="Garamond"/>
            <w:noProof/>
          </w:rPr>
          <w:t>Liu et al., 2014</w:t>
        </w:r>
      </w:hyperlink>
      <w:r>
        <w:rPr>
          <w:rFonts w:ascii="Garamond" w:hAnsi="Garamond"/>
          <w:noProof/>
        </w:rPr>
        <w:t>)</w:t>
      </w:r>
      <w:r>
        <w:rPr>
          <w:rFonts w:ascii="Garamond" w:hAnsi="Garamond"/>
        </w:rPr>
        <w:fldChar w:fldCharType="end"/>
      </w:r>
      <w:r>
        <w:rPr>
          <w:rFonts w:ascii="Garamond" w:hAnsi="Garamond"/>
        </w:rPr>
        <w:t xml:space="preserve">. Two institutional features of the French schooling system in 1959 may explain why the </w:t>
      </w:r>
      <w:proofErr w:type="spellStart"/>
      <w:r>
        <w:rPr>
          <w:rFonts w:ascii="Garamond" w:hAnsi="Garamond"/>
        </w:rPr>
        <w:t>Berthoin</w:t>
      </w:r>
      <w:proofErr w:type="spellEnd"/>
      <w:r>
        <w:rPr>
          <w:rFonts w:ascii="Garamond" w:hAnsi="Garamond"/>
        </w:rPr>
        <w:t xml:space="preserve"> reform had limited effects on education attainment, even if it successfully increased schooling duration</w:t>
      </w:r>
      <w:r>
        <w:rPr>
          <w:rFonts w:ascii="Garamond" w:hAnsi="Garamond"/>
          <w:lang w:val="en-GB"/>
        </w:rPr>
        <w:t xml:space="preserve">. </w:t>
      </w:r>
      <w:r w:rsidR="00C12564">
        <w:rPr>
          <w:rFonts w:ascii="Garamond" w:hAnsi="Garamond"/>
        </w:rPr>
        <w:t xml:space="preserve">First the reform only increased the odds of obtaining a lower secondary schooling certificate, an optional diploma with little value on the job market </w:t>
      </w:r>
      <w:r w:rsidR="00C12564" w:rsidRPr="00E26F70">
        <w:rPr>
          <w:rFonts w:ascii="Garamond" w:hAnsi="Garamond"/>
          <w:lang w:val="en-GB"/>
        </w:rPr>
        <w:fldChar w:fldCharType="begin"/>
      </w:r>
      <w:r w:rsidR="00CC2B97">
        <w:rPr>
          <w:rFonts w:ascii="Garamond" w:hAnsi="Garamond"/>
          <w:lang w:val="en-GB"/>
        </w:rPr>
        <w:instrText xml:space="preserve"> ADDIN EN.CITE &lt;EndNote&gt;&lt;Cite&gt;&lt;Author&gt;Grenet&lt;/Author&gt;&lt;Year&gt;2013&lt;/Year&gt;&lt;RecNum&gt;33&lt;/RecNum&gt;&lt;DisplayText&gt;(Grenet, 2013; Le Rhun &amp;amp; Pollet, 2011)&lt;/DisplayText&gt;&lt;record&gt;&lt;rec-number&gt;33&lt;/rec-number&gt;&lt;foreign-keys&gt;&lt;key app="EN" db-id="p5pavdvzwwdesueaz0rxssxmtd2ext2dvwpd" timestamp="1542656736"&gt;33&lt;/key&gt;&lt;/foreign-keys&gt;&lt;ref-type name="Journal Article"&gt;17&lt;/ref-type&gt;&lt;contributors&gt;&lt;authors&gt;&lt;author&gt;Grenet, J.&lt;/author&gt;&lt;/authors&gt;&lt;/contributors&gt;&lt;titles&gt;&lt;title&gt;Is extending compulsory schooling alone enough to raise earnings? Evidence from French and British compulsory schooling laws&lt;/title&gt;&lt;secondary-title&gt;Scandinavian Journal of Economics&lt;/secondary-title&gt;&lt;/titles&gt;&lt;periodical&gt;&lt;full-title&gt;Scandinavian Journal of Economics&lt;/full-title&gt;&lt;/periodical&gt;&lt;pages&gt;176-210&lt;/pages&gt;&lt;volume&gt;115&lt;/volume&gt;&lt;number&gt;1&lt;/number&gt;&lt;dates&gt;&lt;year&gt;2013&lt;/year&gt;&lt;/dates&gt;&lt;urls&gt;&lt;/urls&gt;&lt;/record&gt;&lt;/Cite&gt;&lt;Cite&gt;&lt;Author&gt;Le Rhun&lt;/Author&gt;&lt;Year&gt;2011&lt;/Year&gt;&lt;RecNum&gt;54&lt;/RecNum&gt;&lt;record&gt;&lt;rec-number&gt;54&lt;/rec-number&gt;&lt;foreign-keys&gt;&lt;key app="EN" db-id="p5pavdvzwwdesueaz0rxssxmtd2ext2dvwpd" timestamp="1542656736"&gt;54&lt;/key&gt;&lt;/foreign-keys&gt;&lt;ref-type name="Book Section"&gt;5&lt;/ref-type&gt;&lt;contributors&gt;&lt;authors&gt;&lt;author&gt;Le Rhun, B.&lt;/author&gt;&lt;author&gt;Pollet, P.&lt;/author&gt;&lt;/authors&gt;&lt;secondary-authors&gt;&lt;author&gt;Institut National de la Statistique et des Etudes Economiques,&lt;/author&gt;&lt;/secondary-authors&gt;&lt;/contributors&gt;&lt;titles&gt;&lt;title&gt;Diplomes et insertion professionnelle&lt;/title&gt;&lt;secondary-title&gt;France, Portrait social&lt;/secondary-title&gt;&lt;/titles&gt;&lt;pages&gt;41-50&lt;/pages&gt;&lt;dates&gt;&lt;year&gt;2011&lt;/year&gt;&lt;/dates&gt;&lt;pub-location&gt;Paris, France&lt;/pub-location&gt;&lt;publisher&gt;Institut National de la Statistique et des Etudes Economiques.&lt;/publisher&gt;&lt;urls&gt;&lt;/urls&gt;&lt;/record&gt;&lt;/Cite&gt;&lt;/EndNote&gt;</w:instrText>
      </w:r>
      <w:r w:rsidR="00C12564" w:rsidRPr="00E26F70">
        <w:rPr>
          <w:rFonts w:ascii="Garamond" w:hAnsi="Garamond"/>
          <w:lang w:val="en-GB"/>
        </w:rPr>
        <w:fldChar w:fldCharType="separate"/>
      </w:r>
      <w:r w:rsidR="00C34B30">
        <w:rPr>
          <w:rFonts w:ascii="Garamond" w:hAnsi="Garamond"/>
          <w:noProof/>
          <w:lang w:val="en-GB"/>
        </w:rPr>
        <w:t>(</w:t>
      </w:r>
      <w:hyperlink w:anchor="_ENREF_28" w:tooltip="Grenet, 2013 #33" w:history="1">
        <w:r w:rsidR="006B1724">
          <w:rPr>
            <w:rFonts w:ascii="Garamond" w:hAnsi="Garamond"/>
            <w:noProof/>
            <w:lang w:val="en-GB"/>
          </w:rPr>
          <w:t>Grenet, 2013</w:t>
        </w:r>
      </w:hyperlink>
      <w:r w:rsidR="00C34B30">
        <w:rPr>
          <w:rFonts w:ascii="Garamond" w:hAnsi="Garamond"/>
          <w:noProof/>
          <w:lang w:val="en-GB"/>
        </w:rPr>
        <w:t xml:space="preserve">; </w:t>
      </w:r>
      <w:hyperlink w:anchor="_ENREF_42" w:tooltip="Le Rhun, 2011 #54" w:history="1">
        <w:r w:rsidR="006B1724">
          <w:rPr>
            <w:rFonts w:ascii="Garamond" w:hAnsi="Garamond"/>
            <w:noProof/>
            <w:lang w:val="en-GB"/>
          </w:rPr>
          <w:t>Le Rhun &amp; Pollet, 2011</w:t>
        </w:r>
      </w:hyperlink>
      <w:r w:rsidR="00C34B30">
        <w:rPr>
          <w:rFonts w:ascii="Garamond" w:hAnsi="Garamond"/>
          <w:noProof/>
          <w:lang w:val="en-GB"/>
        </w:rPr>
        <w:t>)</w:t>
      </w:r>
      <w:r w:rsidR="00C12564" w:rsidRPr="00E26F70">
        <w:rPr>
          <w:rFonts w:ascii="Garamond" w:hAnsi="Garamond"/>
          <w:lang w:val="en-GB"/>
        </w:rPr>
        <w:fldChar w:fldCharType="end"/>
      </w:r>
      <w:r w:rsidR="00C12564">
        <w:rPr>
          <w:rFonts w:ascii="Garamond" w:hAnsi="Garamond"/>
          <w:lang w:val="en-GB"/>
        </w:rPr>
        <w:t xml:space="preserve">. Second, raising the </w:t>
      </w:r>
      <w:r>
        <w:rPr>
          <w:rFonts w:ascii="Garamond" w:eastAsia="Times New Roman" w:hAnsi="Garamond"/>
          <w:color w:val="000000"/>
        </w:rPr>
        <w:t xml:space="preserve">minimum school leaving age </w:t>
      </w:r>
      <w:r w:rsidR="00D751A1">
        <w:rPr>
          <w:rFonts w:ascii="Garamond" w:eastAsia="Times New Roman" w:hAnsi="Garamond"/>
          <w:color w:val="000000"/>
        </w:rPr>
        <w:t xml:space="preserve">did not increase </w:t>
      </w:r>
      <w:r>
        <w:rPr>
          <w:rFonts w:ascii="Garamond" w:eastAsia="Times New Roman" w:hAnsi="Garamond"/>
          <w:color w:val="000000"/>
        </w:rPr>
        <w:t>vocational qualifications</w:t>
      </w:r>
      <w:r w:rsidR="00C12564">
        <w:rPr>
          <w:rFonts w:ascii="Garamond" w:eastAsia="Times New Roman" w:hAnsi="Garamond"/>
          <w:color w:val="000000"/>
        </w:rPr>
        <w:t xml:space="preserve"> – the most common pathway for children from poor families at the time of the reform -</w:t>
      </w:r>
      <w:r>
        <w:rPr>
          <w:rFonts w:ascii="Garamond" w:eastAsia="Times New Roman" w:hAnsi="Garamond"/>
          <w:color w:val="000000"/>
        </w:rPr>
        <w:t xml:space="preserve"> as these </w:t>
      </w:r>
      <w:r w:rsidR="007C29C4">
        <w:rPr>
          <w:rFonts w:ascii="Garamond" w:eastAsia="Times New Roman" w:hAnsi="Garamond"/>
          <w:color w:val="000000"/>
        </w:rPr>
        <w:t>were</w:t>
      </w:r>
      <w:r>
        <w:rPr>
          <w:rFonts w:ascii="Garamond" w:eastAsia="Times New Roman" w:hAnsi="Garamond"/>
          <w:color w:val="000000"/>
        </w:rPr>
        <w:t xml:space="preserve"> only awarded at the end of the three-year vocational school curriculum, two years after the new minimum school leaving age.</w:t>
      </w:r>
      <w:r w:rsidR="00C12564">
        <w:rPr>
          <w:rFonts w:ascii="Garamond" w:eastAsia="Times New Roman" w:hAnsi="Garamond"/>
          <w:color w:val="000000"/>
        </w:rPr>
        <w:t xml:space="preserve"> </w:t>
      </w:r>
      <w:r w:rsidR="00C365CB">
        <w:rPr>
          <w:rFonts w:ascii="Garamond" w:eastAsia="Times New Roman" w:hAnsi="Garamond"/>
          <w:color w:val="000000"/>
        </w:rPr>
        <w:t>I</w:t>
      </w:r>
      <w:r>
        <w:rPr>
          <w:rFonts w:ascii="Garamond" w:eastAsia="Times New Roman" w:hAnsi="Garamond"/>
          <w:color w:val="000000"/>
        </w:rPr>
        <w:t xml:space="preserve">n the French context, where examination-based diplomas validate the completion of upper secondary schooling, education credentials may be an important factor to consider when assessing the health impact of law-mandated increases in compulsory schooling. Health returns on schooling might be higher when these reforms induce a significant increase in graduation rates for diplomas which validate skill acquisition and increase </w:t>
      </w:r>
      <w:r w:rsidR="00D751A1">
        <w:rPr>
          <w:rFonts w:ascii="Garamond" w:eastAsia="Times New Roman" w:hAnsi="Garamond"/>
          <w:color w:val="000000"/>
        </w:rPr>
        <w:t>earnings</w:t>
      </w:r>
      <w:r>
        <w:rPr>
          <w:rFonts w:ascii="Garamond" w:eastAsia="Times New Roman" w:hAnsi="Garamond"/>
          <w:color w:val="000000"/>
        </w:rPr>
        <w:t xml:space="preserve"> </w:t>
      </w:r>
      <w:r w:rsidRPr="00E26F70">
        <w:rPr>
          <w:rFonts w:ascii="Garamond" w:hAnsi="Garamond"/>
          <w:lang w:val="en-GB"/>
        </w:rPr>
        <w:fldChar w:fldCharType="begin"/>
      </w:r>
      <w:r w:rsidR="00CC2B97">
        <w:rPr>
          <w:rFonts w:ascii="Garamond" w:hAnsi="Garamond"/>
          <w:lang w:val="en-GB"/>
        </w:rPr>
        <w:instrText xml:space="preserve"> ADDIN EN.CITE &lt;EndNote&gt;&lt;Cite&gt;&lt;Author&gt;Grenet&lt;/Author&gt;&lt;Year&gt;2013&lt;/Year&gt;&lt;RecNum&gt;33&lt;/RecNum&gt;&lt;DisplayText&gt;(Grenet, 2013)&lt;/DisplayText&gt;&lt;record&gt;&lt;rec-number&gt;33&lt;/rec-number&gt;&lt;foreign-keys&gt;&lt;key app="EN" db-id="p5pavdvzwwdesueaz0rxssxmtd2ext2dvwpd" timestamp="1542656736"&gt;33&lt;/key&gt;&lt;/foreign-keys&gt;&lt;ref-type name="Journal Article"&gt;17&lt;/ref-type&gt;&lt;contributors&gt;&lt;authors&gt;&lt;author&gt;Grenet, J.&lt;/author&gt;&lt;/authors&gt;&lt;/contributors&gt;&lt;titles&gt;&lt;title&gt;Is extending compulsory schooling alone enough to raise earnings? Evidence from French and British compulsory schooling laws&lt;/title&gt;&lt;secondary-title&gt;Scandinavian Journal of Economics&lt;/secondary-title&gt;&lt;/titles&gt;&lt;periodical&gt;&lt;full-title&gt;Scandinavian Journal of Economics&lt;/full-title&gt;&lt;/periodical&gt;&lt;pages&gt;176-210&lt;/pages&gt;&lt;volume&gt;115&lt;/volume&gt;&lt;number&gt;1&lt;/number&gt;&lt;dates&gt;&lt;year&gt;2013&lt;/year&gt;&lt;/dates&gt;&lt;urls&gt;&lt;/urls&gt;&lt;/record&gt;&lt;/Cite&gt;&lt;/EndNote&gt;</w:instrText>
      </w:r>
      <w:r w:rsidRPr="00E26F70">
        <w:rPr>
          <w:rFonts w:ascii="Garamond" w:hAnsi="Garamond"/>
          <w:lang w:val="en-GB"/>
        </w:rPr>
        <w:fldChar w:fldCharType="separate"/>
      </w:r>
      <w:r w:rsidR="00C34B30">
        <w:rPr>
          <w:rFonts w:ascii="Garamond" w:hAnsi="Garamond"/>
          <w:noProof/>
          <w:lang w:val="en-GB"/>
        </w:rPr>
        <w:t>(</w:t>
      </w:r>
      <w:hyperlink w:anchor="_ENREF_28" w:tooltip="Grenet, 2013 #33" w:history="1">
        <w:r w:rsidR="006B1724">
          <w:rPr>
            <w:rFonts w:ascii="Garamond" w:hAnsi="Garamond"/>
            <w:noProof/>
            <w:lang w:val="en-GB"/>
          </w:rPr>
          <w:t>Grenet, 2013</w:t>
        </w:r>
      </w:hyperlink>
      <w:r w:rsidR="00C34B30">
        <w:rPr>
          <w:rFonts w:ascii="Garamond" w:hAnsi="Garamond"/>
          <w:noProof/>
          <w:lang w:val="en-GB"/>
        </w:rPr>
        <w:t>)</w:t>
      </w:r>
      <w:r w:rsidRPr="00E26F70">
        <w:rPr>
          <w:rFonts w:ascii="Garamond" w:hAnsi="Garamond"/>
          <w:lang w:val="en-GB"/>
        </w:rPr>
        <w:fldChar w:fldCharType="end"/>
      </w:r>
      <w:r>
        <w:rPr>
          <w:rFonts w:ascii="Garamond" w:eastAsia="Times New Roman" w:hAnsi="Garamond"/>
          <w:color w:val="000000"/>
        </w:rPr>
        <w:t xml:space="preserve">. </w:t>
      </w:r>
      <w:r w:rsidR="00C365CB">
        <w:rPr>
          <w:rFonts w:ascii="Garamond" w:eastAsia="Times New Roman" w:hAnsi="Garamond"/>
          <w:color w:val="000000"/>
        </w:rPr>
        <w:t xml:space="preserve">It is also possible that the return on education is lower </w:t>
      </w:r>
      <w:r w:rsidR="00D751A1">
        <w:rPr>
          <w:rFonts w:ascii="Garamond" w:eastAsia="Times New Roman" w:hAnsi="Garamond"/>
          <w:color w:val="000000"/>
        </w:rPr>
        <w:t>i</w:t>
      </w:r>
      <w:r w:rsidR="00C365CB">
        <w:rPr>
          <w:rFonts w:ascii="Garamond" w:eastAsia="Times New Roman" w:hAnsi="Garamond"/>
          <w:color w:val="000000"/>
        </w:rPr>
        <w:t xml:space="preserve">n France </w:t>
      </w:r>
      <w:r w:rsidR="00D751A1">
        <w:rPr>
          <w:rFonts w:ascii="Garamond" w:eastAsia="Times New Roman" w:hAnsi="Garamond"/>
          <w:color w:val="000000"/>
        </w:rPr>
        <w:t xml:space="preserve">than in other countries such as the United States </w:t>
      </w:r>
      <w:r w:rsidR="00C365CB">
        <w:rPr>
          <w:rFonts w:ascii="Garamond" w:eastAsia="Times New Roman" w:hAnsi="Garamond"/>
          <w:color w:val="000000"/>
        </w:rPr>
        <w:t xml:space="preserve">because </w:t>
      </w:r>
      <w:r w:rsidR="00D751A1">
        <w:rPr>
          <w:rFonts w:ascii="Garamond" w:eastAsia="Times New Roman" w:hAnsi="Garamond"/>
          <w:color w:val="000000"/>
        </w:rPr>
        <w:t xml:space="preserve">of the </w:t>
      </w:r>
      <w:r w:rsidR="00C365CB">
        <w:rPr>
          <w:rFonts w:ascii="Garamond" w:eastAsia="Times New Roman" w:hAnsi="Garamond"/>
          <w:color w:val="000000"/>
        </w:rPr>
        <w:t xml:space="preserve">generous </w:t>
      </w:r>
      <w:r w:rsidR="00C365CB">
        <w:rPr>
          <w:rFonts w:ascii="Garamond" w:eastAsia="Times New Roman" w:hAnsi="Garamond"/>
          <w:color w:val="000000"/>
        </w:rPr>
        <w:lastRenderedPageBreak/>
        <w:t xml:space="preserve">redistribution and welfare system. </w:t>
      </w:r>
      <w:r>
        <w:rPr>
          <w:rFonts w:ascii="Garamond" w:hAnsi="Garamond"/>
        </w:rPr>
        <w:t xml:space="preserve">Future research should investigate whether policy changes that led to higher graduation rates might have different effects on health </w:t>
      </w:r>
      <w:r>
        <w:rPr>
          <w:rFonts w:ascii="Garamond" w:hAnsi="Garamond"/>
        </w:rPr>
        <w:fldChar w:fldCharType="begin"/>
      </w:r>
      <w:r w:rsidR="00CC2B97">
        <w:rPr>
          <w:rFonts w:ascii="Garamond" w:hAnsi="Garamond"/>
        </w:rPr>
        <w:instrText xml:space="preserve"> ADDIN EN.CITE &lt;EndNote&gt;&lt;Cite&gt;&lt;Author&gt;Etile&lt;/Author&gt;&lt;Year&gt;2011&lt;/Year&gt;&lt;RecNum&gt;55&lt;/RecNum&gt;&lt;DisplayText&gt;(Etile &amp;amp; Jones, 2011)&lt;/DisplayText&gt;&lt;record&gt;&lt;rec-number&gt;55&lt;/rec-number&gt;&lt;foreign-keys&gt;&lt;key app="EN" db-id="p5pavdvzwwdesueaz0rxssxmtd2ext2dvwpd" timestamp="1542656736"&gt;55&lt;/key&gt;&lt;/foreign-keys&gt;&lt;ref-type name="Journal Article"&gt;17&lt;/ref-type&gt;&lt;contributors&gt;&lt;authors&gt;&lt;author&gt;Etile, F.&lt;/author&gt;&lt;author&gt;Jones, A.M.&lt;/author&gt;&lt;/authors&gt;&lt;/contributors&gt;&lt;titles&gt;&lt;title&gt;Schooling and smoking among the baby boomers - An evaluation of the impact of educational expansion in France&lt;/title&gt;&lt;secondary-title&gt;Journal of Health Economics&lt;/secondary-title&gt;&lt;/titles&gt;&lt;periodical&gt;&lt;full-title&gt;Journal of Health Economics&lt;/full-title&gt;&lt;/periodical&gt;&lt;pages&gt;811-831&lt;/pages&gt;&lt;volume&gt;30&lt;/volume&gt;&lt;number&gt;4&lt;/number&gt;&lt;dates&gt;&lt;year&gt;2011&lt;/year&gt;&lt;/dates&gt;&lt;urls&gt;&lt;/urls&gt;&lt;/record&gt;&lt;/Cite&gt;&lt;/EndNote&gt;</w:instrText>
      </w:r>
      <w:r>
        <w:rPr>
          <w:rFonts w:ascii="Garamond" w:hAnsi="Garamond"/>
        </w:rPr>
        <w:fldChar w:fldCharType="separate"/>
      </w:r>
      <w:r>
        <w:rPr>
          <w:rFonts w:ascii="Garamond" w:hAnsi="Garamond"/>
          <w:noProof/>
        </w:rPr>
        <w:t>(</w:t>
      </w:r>
      <w:hyperlink w:anchor="_ENREF_22" w:tooltip="Etile, 2011 #55" w:history="1">
        <w:r w:rsidR="006B1724">
          <w:rPr>
            <w:rFonts w:ascii="Garamond" w:hAnsi="Garamond"/>
            <w:noProof/>
          </w:rPr>
          <w:t>Etile &amp; Jones, 2011</w:t>
        </w:r>
      </w:hyperlink>
      <w:r>
        <w:rPr>
          <w:rFonts w:ascii="Garamond" w:hAnsi="Garamond"/>
          <w:noProof/>
        </w:rPr>
        <w:t>)</w:t>
      </w:r>
      <w:r>
        <w:rPr>
          <w:rFonts w:ascii="Garamond" w:hAnsi="Garamond"/>
        </w:rPr>
        <w:fldChar w:fldCharType="end"/>
      </w:r>
      <w:r>
        <w:rPr>
          <w:rFonts w:ascii="Garamond" w:hAnsi="Garamond"/>
        </w:rPr>
        <w:t>.</w:t>
      </w:r>
    </w:p>
    <w:p w14:paraId="4535F798" w14:textId="77777777" w:rsidR="00504E29" w:rsidRDefault="00504E29" w:rsidP="00F95CED">
      <w:pPr>
        <w:spacing w:line="480" w:lineRule="auto"/>
        <w:jc w:val="both"/>
        <w:rPr>
          <w:rFonts w:ascii="Garamond" w:hAnsi="Garamond"/>
        </w:rPr>
      </w:pPr>
    </w:p>
    <w:p w14:paraId="010B6EEB" w14:textId="4A09EB3E" w:rsidR="008A49AB" w:rsidRDefault="000A60B3" w:rsidP="00BD4B24">
      <w:pPr>
        <w:spacing w:line="480" w:lineRule="auto"/>
        <w:jc w:val="both"/>
        <w:rPr>
          <w:rFonts w:ascii="Garamond" w:hAnsi="Garamond"/>
          <w:lang w:val="en-GB"/>
        </w:rPr>
      </w:pPr>
      <w:r>
        <w:rPr>
          <w:rFonts w:ascii="Garamond" w:hAnsi="Garamond"/>
          <w:lang w:val="en-GB"/>
        </w:rPr>
        <w:t xml:space="preserve">A </w:t>
      </w:r>
      <w:r w:rsidR="00F95CED">
        <w:rPr>
          <w:rFonts w:ascii="Garamond" w:hAnsi="Garamond"/>
          <w:lang w:val="en-GB"/>
        </w:rPr>
        <w:t>third</w:t>
      </w:r>
      <w:r w:rsidR="00F95CED" w:rsidRPr="00E26F70">
        <w:rPr>
          <w:rFonts w:ascii="Garamond" w:hAnsi="Garamond"/>
          <w:lang w:val="en-GB"/>
        </w:rPr>
        <w:t xml:space="preserve"> </w:t>
      </w:r>
      <w:r w:rsidR="00310FAF" w:rsidRPr="00E26F70">
        <w:rPr>
          <w:rFonts w:ascii="Garamond" w:hAnsi="Garamond"/>
          <w:lang w:val="en-GB"/>
        </w:rPr>
        <w:t xml:space="preserve">explanation </w:t>
      </w:r>
      <w:r w:rsidR="00337914">
        <w:rPr>
          <w:rFonts w:ascii="Garamond" w:hAnsi="Garamond"/>
          <w:lang w:val="en-GB"/>
        </w:rPr>
        <w:t>for</w:t>
      </w:r>
      <w:r w:rsidR="00FB751C">
        <w:rPr>
          <w:rFonts w:ascii="Garamond" w:hAnsi="Garamond"/>
          <w:lang w:val="en-GB"/>
        </w:rPr>
        <w:t xml:space="preserve"> the lack of positive health effects </w:t>
      </w:r>
      <w:r w:rsidR="00DC607C">
        <w:rPr>
          <w:rFonts w:ascii="Garamond" w:hAnsi="Garamond"/>
          <w:lang w:val="en-GB"/>
        </w:rPr>
        <w:t>come</w:t>
      </w:r>
      <w:r w:rsidR="00D505C7">
        <w:rPr>
          <w:rFonts w:ascii="Garamond" w:hAnsi="Garamond"/>
          <w:lang w:val="en-GB"/>
        </w:rPr>
        <w:t>s</w:t>
      </w:r>
      <w:r w:rsidR="00DC607C">
        <w:rPr>
          <w:rFonts w:ascii="Garamond" w:hAnsi="Garamond"/>
          <w:lang w:val="en-GB"/>
        </w:rPr>
        <w:t xml:space="preserve"> </w:t>
      </w:r>
      <w:r w:rsidR="008A04D4">
        <w:rPr>
          <w:rFonts w:ascii="Garamond" w:hAnsi="Garamond"/>
          <w:lang w:val="en-GB"/>
        </w:rPr>
        <w:t>from the limited effects of the</w:t>
      </w:r>
      <w:r w:rsidR="00FB751C">
        <w:rPr>
          <w:rFonts w:ascii="Garamond" w:hAnsi="Garamond"/>
          <w:lang w:val="en-GB"/>
        </w:rPr>
        <w:t xml:space="preserve"> reform </w:t>
      </w:r>
      <w:r w:rsidR="00310FAF" w:rsidRPr="00E26F70">
        <w:rPr>
          <w:rFonts w:ascii="Garamond" w:hAnsi="Garamond"/>
          <w:lang w:val="en-GB"/>
        </w:rPr>
        <w:t xml:space="preserve">on labour market outcomes </w:t>
      </w:r>
      <w:r w:rsidR="00310FAF" w:rsidRPr="00E26F70">
        <w:rPr>
          <w:rFonts w:ascii="Garamond" w:hAnsi="Garamond"/>
          <w:lang w:val="en-GB"/>
        </w:rPr>
        <w:fldChar w:fldCharType="begin"/>
      </w:r>
      <w:r w:rsidR="00CC2B97">
        <w:rPr>
          <w:rFonts w:ascii="Garamond" w:hAnsi="Garamond"/>
          <w:lang w:val="en-GB"/>
        </w:rPr>
        <w:instrText xml:space="preserve"> ADDIN EN.CITE &lt;EndNote&gt;&lt;Cite&gt;&lt;Author&gt;Grenet&lt;/Author&gt;&lt;Year&gt;2013&lt;/Year&gt;&lt;RecNum&gt;33&lt;/RecNum&gt;&lt;DisplayText&gt;(Grenet, 2013)&lt;/DisplayText&gt;&lt;record&gt;&lt;rec-number&gt;33&lt;/rec-number&gt;&lt;foreign-keys&gt;&lt;key app="EN" db-id="p5pavdvzwwdesueaz0rxssxmtd2ext2dvwpd" timestamp="1542656736"&gt;33&lt;/key&gt;&lt;/foreign-keys&gt;&lt;ref-type name="Journal Article"&gt;17&lt;/ref-type&gt;&lt;contributors&gt;&lt;authors&gt;&lt;author&gt;Grenet, J.&lt;/author&gt;&lt;/authors&gt;&lt;/contributors&gt;&lt;titles&gt;&lt;title&gt;Is extending compulsory schooling alone enough to raise earnings? Evidence from French and British compulsory schooling laws&lt;/title&gt;&lt;secondary-title&gt;Scandinavian Journal of Economics&lt;/secondary-title&gt;&lt;/titles&gt;&lt;periodical&gt;&lt;full-title&gt;Scandinavian Journal of Economics&lt;/full-title&gt;&lt;/periodical&gt;&lt;pages&gt;176-210&lt;/pages&gt;&lt;volume&gt;115&lt;/volume&gt;&lt;number&gt;1&lt;/number&gt;&lt;dates&gt;&lt;year&gt;2013&lt;/year&gt;&lt;/dates&gt;&lt;urls&gt;&lt;/urls&gt;&lt;/record&gt;&lt;/Cite&gt;&lt;/EndNote&gt;</w:instrText>
      </w:r>
      <w:r w:rsidR="00310FAF" w:rsidRPr="00E26F70">
        <w:rPr>
          <w:rFonts w:ascii="Garamond" w:hAnsi="Garamond"/>
          <w:lang w:val="en-GB"/>
        </w:rPr>
        <w:fldChar w:fldCharType="separate"/>
      </w:r>
      <w:r w:rsidR="00C34B30">
        <w:rPr>
          <w:rFonts w:ascii="Garamond" w:hAnsi="Garamond"/>
          <w:noProof/>
          <w:lang w:val="en-GB"/>
        </w:rPr>
        <w:t>(</w:t>
      </w:r>
      <w:hyperlink w:anchor="_ENREF_28" w:tooltip="Grenet, 2013 #33" w:history="1">
        <w:r w:rsidR="006B1724">
          <w:rPr>
            <w:rFonts w:ascii="Garamond" w:hAnsi="Garamond"/>
            <w:noProof/>
            <w:lang w:val="en-GB"/>
          </w:rPr>
          <w:t>Grenet, 2013</w:t>
        </w:r>
      </w:hyperlink>
      <w:r w:rsidR="00C34B30">
        <w:rPr>
          <w:rFonts w:ascii="Garamond" w:hAnsi="Garamond"/>
          <w:noProof/>
          <w:lang w:val="en-GB"/>
        </w:rPr>
        <w:t>)</w:t>
      </w:r>
      <w:r w:rsidR="00310FAF" w:rsidRPr="00E26F70">
        <w:rPr>
          <w:rFonts w:ascii="Garamond" w:hAnsi="Garamond"/>
          <w:lang w:val="en-GB"/>
        </w:rPr>
        <w:fldChar w:fldCharType="end"/>
      </w:r>
      <w:r w:rsidR="00310FAF" w:rsidRPr="00E26F70">
        <w:rPr>
          <w:rFonts w:ascii="Garamond" w:hAnsi="Garamond"/>
          <w:lang w:val="en-GB"/>
        </w:rPr>
        <w:t xml:space="preserve">. Education is hypothesized to influence health partly by enhancing access to health-promoting resources such as knowledge, social networks and better jobs and earnings. </w:t>
      </w:r>
      <w:r w:rsidR="00FB751C">
        <w:rPr>
          <w:rFonts w:ascii="Garamond" w:hAnsi="Garamond"/>
          <w:lang w:val="en-GB"/>
        </w:rPr>
        <w:t xml:space="preserve">Previous </w:t>
      </w:r>
      <w:r w:rsidR="00586692">
        <w:rPr>
          <w:rFonts w:ascii="Garamond" w:hAnsi="Garamond"/>
          <w:lang w:val="en-GB"/>
        </w:rPr>
        <w:t>evidence</w:t>
      </w:r>
      <w:r w:rsidR="00310FAF" w:rsidRPr="00E26F70">
        <w:rPr>
          <w:rFonts w:ascii="Garamond" w:hAnsi="Garamond"/>
          <w:lang w:val="en-GB"/>
        </w:rPr>
        <w:t xml:space="preserve"> suggests that the reform did not lead to substantive improvements in these social and economic outcomes </w:t>
      </w:r>
      <w:r w:rsidR="00310FAF" w:rsidRPr="00E26F70">
        <w:rPr>
          <w:rFonts w:ascii="Garamond" w:hAnsi="Garamond"/>
          <w:lang w:val="en-GB"/>
        </w:rPr>
        <w:fldChar w:fldCharType="begin"/>
      </w:r>
      <w:r w:rsidR="00CC2B97">
        <w:rPr>
          <w:rFonts w:ascii="Garamond" w:hAnsi="Garamond"/>
          <w:lang w:val="en-GB"/>
        </w:rPr>
        <w:instrText xml:space="preserve"> ADDIN EN.CITE &lt;EndNote&gt;&lt;Cite&gt;&lt;Author&gt;Grenet&lt;/Author&gt;&lt;Year&gt;2013&lt;/Year&gt;&lt;RecNum&gt;33&lt;/RecNum&gt;&lt;DisplayText&gt;(Grenet, 2013)&lt;/DisplayText&gt;&lt;record&gt;&lt;rec-number&gt;33&lt;/rec-number&gt;&lt;foreign-keys&gt;&lt;key app="EN" db-id="p5pavdvzwwdesueaz0rxssxmtd2ext2dvwpd" timestamp="1542656736"&gt;33&lt;/key&gt;&lt;/foreign-keys&gt;&lt;ref-type name="Journal Article"&gt;17&lt;/ref-type&gt;&lt;contributors&gt;&lt;authors&gt;&lt;author&gt;Grenet, J.&lt;/author&gt;&lt;/authors&gt;&lt;/contributors&gt;&lt;titles&gt;&lt;title&gt;Is extending compulsory schooling alone enough to raise earnings? Evidence from French and British compulsory schooling laws&lt;/title&gt;&lt;secondary-title&gt;Scandinavian Journal of Economics&lt;/secondary-title&gt;&lt;/titles&gt;&lt;periodical&gt;&lt;full-title&gt;Scandinavian Journal of Economics&lt;/full-title&gt;&lt;/periodical&gt;&lt;pages&gt;176-210&lt;/pages&gt;&lt;volume&gt;115&lt;/volume&gt;&lt;number&gt;1&lt;/number&gt;&lt;dates&gt;&lt;year&gt;2013&lt;/year&gt;&lt;/dates&gt;&lt;urls&gt;&lt;/urls&gt;&lt;/record&gt;&lt;/Cite&gt;&lt;/EndNote&gt;</w:instrText>
      </w:r>
      <w:r w:rsidR="00310FAF" w:rsidRPr="00E26F70">
        <w:rPr>
          <w:rFonts w:ascii="Garamond" w:hAnsi="Garamond"/>
          <w:lang w:val="en-GB"/>
        </w:rPr>
        <w:fldChar w:fldCharType="separate"/>
      </w:r>
      <w:r w:rsidR="00C34B30">
        <w:rPr>
          <w:rFonts w:ascii="Garamond" w:hAnsi="Garamond"/>
          <w:noProof/>
          <w:lang w:val="en-GB"/>
        </w:rPr>
        <w:t>(</w:t>
      </w:r>
      <w:hyperlink w:anchor="_ENREF_28" w:tooltip="Grenet, 2013 #33" w:history="1">
        <w:r w:rsidR="006B1724">
          <w:rPr>
            <w:rFonts w:ascii="Garamond" w:hAnsi="Garamond"/>
            <w:noProof/>
            <w:lang w:val="en-GB"/>
          </w:rPr>
          <w:t>Grenet, 2013</w:t>
        </w:r>
      </w:hyperlink>
      <w:r w:rsidR="00C34B30">
        <w:rPr>
          <w:rFonts w:ascii="Garamond" w:hAnsi="Garamond"/>
          <w:noProof/>
          <w:lang w:val="en-GB"/>
        </w:rPr>
        <w:t>)</w:t>
      </w:r>
      <w:r w:rsidR="00310FAF" w:rsidRPr="00E26F70">
        <w:rPr>
          <w:rFonts w:ascii="Garamond" w:hAnsi="Garamond"/>
          <w:lang w:val="en-GB"/>
        </w:rPr>
        <w:fldChar w:fldCharType="end"/>
      </w:r>
      <w:r w:rsidR="00310FAF" w:rsidRPr="00E26F70">
        <w:rPr>
          <w:rFonts w:ascii="Garamond" w:hAnsi="Garamond"/>
          <w:lang w:val="en-GB"/>
        </w:rPr>
        <w:t>. Supplementary analyses confirm that longer schooling did not translate into better wages (</w:t>
      </w:r>
      <w:r w:rsidR="00EB78E1">
        <w:rPr>
          <w:rFonts w:ascii="Garamond" w:hAnsi="Garamond"/>
          <w:b/>
          <w:lang w:val="en-GB"/>
        </w:rPr>
        <w:t>Appendix</w:t>
      </w:r>
      <w:r w:rsidR="00310FAF" w:rsidRPr="00E26F70">
        <w:rPr>
          <w:rFonts w:ascii="Garamond" w:hAnsi="Garamond"/>
          <w:b/>
          <w:lang w:val="en-GB"/>
        </w:rPr>
        <w:t xml:space="preserve"> Table </w:t>
      </w:r>
      <w:r w:rsidR="00F95CED">
        <w:rPr>
          <w:rFonts w:ascii="Garamond" w:hAnsi="Garamond"/>
          <w:b/>
          <w:lang w:val="en-GB"/>
        </w:rPr>
        <w:t>6</w:t>
      </w:r>
      <w:r w:rsidR="00337914">
        <w:rPr>
          <w:rFonts w:ascii="Garamond" w:hAnsi="Garamond"/>
          <w:lang w:val="en-GB"/>
        </w:rPr>
        <w:t xml:space="preserve">), </w:t>
      </w:r>
      <w:r w:rsidR="009179B8">
        <w:rPr>
          <w:rFonts w:ascii="Garamond" w:hAnsi="Garamond"/>
          <w:lang w:val="en-GB"/>
        </w:rPr>
        <w:t>indicating</w:t>
      </w:r>
      <w:r w:rsidR="00310FAF" w:rsidRPr="00E26F70">
        <w:rPr>
          <w:rFonts w:ascii="Garamond" w:hAnsi="Garamond"/>
          <w:lang w:val="en-GB"/>
        </w:rPr>
        <w:t xml:space="preserve"> that those who were </w:t>
      </w:r>
      <w:r w:rsidR="00DC4A6A">
        <w:rPr>
          <w:rFonts w:ascii="Garamond" w:hAnsi="Garamond"/>
          <w:lang w:val="en-GB"/>
        </w:rPr>
        <w:t>required</w:t>
      </w:r>
      <w:r w:rsidR="00DC4A6A" w:rsidRPr="00E26F70">
        <w:rPr>
          <w:rFonts w:ascii="Garamond" w:hAnsi="Garamond"/>
          <w:lang w:val="en-GB"/>
        </w:rPr>
        <w:t xml:space="preserve"> </w:t>
      </w:r>
      <w:r w:rsidR="00310FAF" w:rsidRPr="00E26F70">
        <w:rPr>
          <w:rFonts w:ascii="Garamond" w:hAnsi="Garamond"/>
          <w:lang w:val="en-GB"/>
        </w:rPr>
        <w:t xml:space="preserve">to remain longer at school may not have benefitted </w:t>
      </w:r>
      <w:r w:rsidR="00AF0560">
        <w:rPr>
          <w:rFonts w:ascii="Garamond" w:hAnsi="Garamond"/>
          <w:lang w:val="en-GB"/>
        </w:rPr>
        <w:t xml:space="preserve">economically </w:t>
      </w:r>
      <w:r w:rsidR="00310FAF" w:rsidRPr="00E26F70">
        <w:rPr>
          <w:rFonts w:ascii="Garamond" w:hAnsi="Garamond"/>
          <w:lang w:val="en-GB"/>
        </w:rPr>
        <w:t>from these additional years of schooling in the long run.</w:t>
      </w:r>
      <w:r w:rsidR="00F97FB4">
        <w:rPr>
          <w:rFonts w:ascii="Garamond" w:hAnsi="Garamond"/>
          <w:lang w:val="en-GB"/>
        </w:rPr>
        <w:t xml:space="preserve"> </w:t>
      </w:r>
      <w:r w:rsidR="00FB751C">
        <w:rPr>
          <w:rFonts w:ascii="Garamond" w:hAnsi="Garamond"/>
          <w:lang w:val="en-GB"/>
        </w:rPr>
        <w:t xml:space="preserve">In fact, </w:t>
      </w:r>
      <w:r w:rsidR="00481D18">
        <w:rPr>
          <w:rFonts w:ascii="Garamond" w:hAnsi="Garamond"/>
          <w:lang w:val="en-GB"/>
        </w:rPr>
        <w:t xml:space="preserve">for children from </w:t>
      </w:r>
      <w:r w:rsidR="00684434">
        <w:rPr>
          <w:rFonts w:ascii="Garamond" w:hAnsi="Garamond"/>
          <w:lang w:val="en-GB"/>
        </w:rPr>
        <w:t xml:space="preserve">low parental </w:t>
      </w:r>
      <w:r w:rsidR="00491F4E">
        <w:rPr>
          <w:rFonts w:ascii="Garamond" w:hAnsi="Garamond"/>
          <w:lang w:val="en-GB"/>
        </w:rPr>
        <w:t>social class</w:t>
      </w:r>
      <w:r w:rsidR="00AF0560">
        <w:rPr>
          <w:rFonts w:ascii="Garamond" w:hAnsi="Garamond"/>
          <w:lang w:val="en-GB"/>
        </w:rPr>
        <w:t>,</w:t>
      </w:r>
      <w:r w:rsidR="00481D18">
        <w:rPr>
          <w:rFonts w:ascii="Garamond" w:hAnsi="Garamond"/>
          <w:lang w:val="en-GB"/>
        </w:rPr>
        <w:t xml:space="preserve"> </w:t>
      </w:r>
      <w:r w:rsidR="00586692">
        <w:rPr>
          <w:rFonts w:ascii="Garamond" w:hAnsi="Garamond"/>
          <w:lang w:val="en-GB"/>
        </w:rPr>
        <w:t>longer schooling duration</w:t>
      </w:r>
      <w:r w:rsidR="00481D18">
        <w:rPr>
          <w:rFonts w:ascii="Garamond" w:hAnsi="Garamond"/>
          <w:lang w:val="en-GB"/>
        </w:rPr>
        <w:t xml:space="preserve"> </w:t>
      </w:r>
      <w:r w:rsidR="00FB751C">
        <w:rPr>
          <w:rFonts w:ascii="Garamond" w:hAnsi="Garamond"/>
          <w:lang w:val="en-GB"/>
        </w:rPr>
        <w:t xml:space="preserve">may have represented a loss of work experience, which may have </w:t>
      </w:r>
      <w:r w:rsidR="00586692">
        <w:rPr>
          <w:rFonts w:ascii="Garamond" w:hAnsi="Garamond"/>
          <w:lang w:val="en-GB"/>
        </w:rPr>
        <w:t>led to mismatched expectations</w:t>
      </w:r>
      <w:r w:rsidR="00307CF1">
        <w:rPr>
          <w:rFonts w:ascii="Garamond" w:hAnsi="Garamond"/>
          <w:lang w:val="en-GB"/>
        </w:rPr>
        <w:t xml:space="preserve"> </w:t>
      </w:r>
      <w:r w:rsidR="00684434">
        <w:rPr>
          <w:rFonts w:ascii="Garamond" w:hAnsi="Garamond"/>
          <w:lang w:val="en-GB"/>
        </w:rPr>
        <w:t xml:space="preserve">on the </w:t>
      </w:r>
      <w:r w:rsidR="00491F4E">
        <w:rPr>
          <w:rFonts w:ascii="Garamond" w:hAnsi="Garamond"/>
          <w:lang w:val="en-GB"/>
        </w:rPr>
        <w:t xml:space="preserve">potential </w:t>
      </w:r>
      <w:r w:rsidR="00307CF1">
        <w:rPr>
          <w:rFonts w:ascii="Garamond" w:hAnsi="Garamond"/>
          <w:lang w:val="en-GB"/>
        </w:rPr>
        <w:t>return</w:t>
      </w:r>
      <w:r w:rsidR="00491F4E">
        <w:rPr>
          <w:rFonts w:ascii="Garamond" w:hAnsi="Garamond"/>
          <w:lang w:val="en-GB"/>
        </w:rPr>
        <w:t>s</w:t>
      </w:r>
      <w:r w:rsidR="00307CF1">
        <w:rPr>
          <w:rFonts w:ascii="Garamond" w:hAnsi="Garamond"/>
          <w:lang w:val="en-GB"/>
        </w:rPr>
        <w:t xml:space="preserve"> </w:t>
      </w:r>
      <w:r w:rsidR="00491F4E">
        <w:rPr>
          <w:rFonts w:ascii="Garamond" w:hAnsi="Garamond"/>
          <w:lang w:val="en-GB"/>
        </w:rPr>
        <w:t>on these</w:t>
      </w:r>
      <w:r w:rsidR="00684434">
        <w:rPr>
          <w:rFonts w:ascii="Garamond" w:hAnsi="Garamond"/>
          <w:lang w:val="en-GB"/>
        </w:rPr>
        <w:t xml:space="preserve"> additional years of schooling</w:t>
      </w:r>
      <w:r w:rsidR="00307CF1">
        <w:rPr>
          <w:rFonts w:ascii="Garamond" w:hAnsi="Garamond"/>
          <w:lang w:val="en-GB"/>
        </w:rPr>
        <w:t xml:space="preserve">. This </w:t>
      </w:r>
      <w:r w:rsidR="009179B8">
        <w:rPr>
          <w:rFonts w:ascii="Garamond" w:hAnsi="Garamond"/>
          <w:lang w:val="en-GB"/>
        </w:rPr>
        <w:t xml:space="preserve">discrepancy might ultimately </w:t>
      </w:r>
      <w:r w:rsidR="00684434">
        <w:rPr>
          <w:rFonts w:ascii="Garamond" w:hAnsi="Garamond"/>
          <w:lang w:val="en-GB"/>
        </w:rPr>
        <w:t xml:space="preserve">have led </w:t>
      </w:r>
      <w:r w:rsidR="009179B8">
        <w:rPr>
          <w:rFonts w:ascii="Garamond" w:hAnsi="Garamond"/>
          <w:lang w:val="en-GB"/>
        </w:rPr>
        <w:t xml:space="preserve">to increased levels of stress and poorer biomarker profiles in adulthood. </w:t>
      </w:r>
    </w:p>
    <w:p w14:paraId="59C0D26F" w14:textId="77777777" w:rsidR="00263315" w:rsidRDefault="00263315" w:rsidP="00024F7B">
      <w:pPr>
        <w:spacing w:line="480" w:lineRule="auto"/>
        <w:ind w:firstLine="720"/>
        <w:jc w:val="both"/>
        <w:rPr>
          <w:rFonts w:ascii="Garamond" w:hAnsi="Garamond"/>
        </w:rPr>
      </w:pPr>
    </w:p>
    <w:p w14:paraId="308E0F07" w14:textId="13CD596B" w:rsidR="00504E29" w:rsidRDefault="007F4258" w:rsidP="002D5806">
      <w:pPr>
        <w:spacing w:line="480" w:lineRule="auto"/>
        <w:ind w:firstLine="720"/>
        <w:jc w:val="both"/>
        <w:rPr>
          <w:rFonts w:ascii="Garamond" w:eastAsia="Times New Roman" w:hAnsi="Garamond"/>
          <w:color w:val="000000"/>
        </w:rPr>
      </w:pPr>
      <w:r>
        <w:rPr>
          <w:rFonts w:ascii="Garamond" w:hAnsi="Garamond"/>
        </w:rPr>
        <w:t>O</w:t>
      </w:r>
      <w:r w:rsidR="00263315">
        <w:rPr>
          <w:rFonts w:ascii="Garamond" w:hAnsi="Garamond"/>
        </w:rPr>
        <w:t xml:space="preserve">ur findings on diastolic blood pressure are in line with a recent study showing the detrimental effect of additional schooling on systolic blood pressure in England </w:t>
      </w:r>
      <w:r w:rsidR="00A67039">
        <w:rPr>
          <w:rFonts w:ascii="Garamond" w:hAnsi="Garamond"/>
        </w:rPr>
        <w:t>using</w:t>
      </w:r>
      <w:r w:rsidR="00263315">
        <w:rPr>
          <w:rFonts w:ascii="Garamond" w:hAnsi="Garamond"/>
        </w:rPr>
        <w:t xml:space="preserve"> a similar research design</w:t>
      </w:r>
      <w:r w:rsidR="0018033F">
        <w:rPr>
          <w:rFonts w:ascii="Garamond" w:hAnsi="Garamond"/>
        </w:rPr>
        <w:t xml:space="preserve"> </w:t>
      </w:r>
      <w:r w:rsidR="0018033F">
        <w:rPr>
          <w:rFonts w:ascii="Garamond" w:hAnsi="Garamond"/>
        </w:rPr>
        <w:fldChar w:fldCharType="begin"/>
      </w:r>
      <w:r w:rsidR="00CC2B97">
        <w:rPr>
          <w:rFonts w:ascii="Garamond" w:hAnsi="Garamond"/>
        </w:rPr>
        <w:instrText xml:space="preserve"> ADDIN EN.CITE &lt;EndNote&gt;&lt;Cite&gt;&lt;Author&gt;Barcellos&lt;/Author&gt;&lt;Year&gt;2018&lt;/Year&gt;&lt;RecNum&gt;32&lt;/RecNum&gt;&lt;DisplayText&gt;(Barcellos et al., 2018)&lt;/DisplayText&gt;&lt;record&gt;&lt;rec-number&gt;32&lt;/rec-number&gt;&lt;foreign-keys&gt;&lt;key app="EN" db-id="p5pavdvzwwdesueaz0rxssxmtd2ext2dvwpd" timestamp="1542656736"&gt;32&lt;/key&gt;&lt;/foreign-keys&gt;&lt;ref-type name="Journal Article"&gt;17&lt;/ref-type&gt;&lt;contributors&gt;&lt;authors&gt;&lt;author&gt;Barcellos, S.H.&lt;/author&gt;&lt;author&gt;Carvalho, L.S.&lt;/author&gt;&lt;author&gt;Turley, P.&lt;/author&gt;&lt;/authors&gt;&lt;/contributors&gt;&lt;titles&gt;&lt;title&gt;Distributional effects of education on health&lt;/title&gt;&lt;secondary-title&gt;Mimeo&lt;/secondary-title&gt;&lt;/titles&gt;&lt;periodical&gt;&lt;full-title&gt;Mimeo&lt;/full-title&gt;&lt;/periodical&gt;&lt;dates&gt;&lt;year&gt;2018&lt;/year&gt;&lt;/dates&gt;&lt;urls&gt;&lt;/urls&gt;&lt;/record&gt;&lt;/Cite&gt;&lt;/EndNote&gt;</w:instrText>
      </w:r>
      <w:r w:rsidR="0018033F">
        <w:rPr>
          <w:rFonts w:ascii="Garamond" w:hAnsi="Garamond"/>
        </w:rPr>
        <w:fldChar w:fldCharType="separate"/>
      </w:r>
      <w:r w:rsidR="00C07932">
        <w:rPr>
          <w:rFonts w:ascii="Garamond" w:hAnsi="Garamond"/>
          <w:noProof/>
        </w:rPr>
        <w:t>(</w:t>
      </w:r>
      <w:hyperlink w:anchor="_ENREF_4" w:tooltip="Barcellos, 2018 #32" w:history="1">
        <w:r w:rsidR="006B1724">
          <w:rPr>
            <w:rFonts w:ascii="Garamond" w:hAnsi="Garamond"/>
            <w:noProof/>
          </w:rPr>
          <w:t>Barcellos et al., 2018</w:t>
        </w:r>
      </w:hyperlink>
      <w:r w:rsidR="00C07932">
        <w:rPr>
          <w:rFonts w:ascii="Garamond" w:hAnsi="Garamond"/>
          <w:noProof/>
        </w:rPr>
        <w:t>)</w:t>
      </w:r>
      <w:r w:rsidR="0018033F">
        <w:rPr>
          <w:rFonts w:ascii="Garamond" w:hAnsi="Garamond"/>
        </w:rPr>
        <w:fldChar w:fldCharType="end"/>
      </w:r>
      <w:r w:rsidR="00263315">
        <w:rPr>
          <w:rFonts w:ascii="Garamond" w:hAnsi="Garamond"/>
        </w:rPr>
        <w:t xml:space="preserve">. It is also worth mentioning that the effect </w:t>
      </w:r>
      <w:r w:rsidR="003D6602">
        <w:rPr>
          <w:rFonts w:ascii="Garamond" w:hAnsi="Garamond"/>
        </w:rPr>
        <w:t>is</w:t>
      </w:r>
      <w:r w:rsidR="00263315">
        <w:rPr>
          <w:rFonts w:ascii="Garamond" w:hAnsi="Garamond"/>
        </w:rPr>
        <w:t xml:space="preserve"> similar in direction and magnitude for systolic blood pressure in our sample (</w:t>
      </w:r>
      <w:r w:rsidR="00263315" w:rsidRPr="00263315">
        <w:rPr>
          <w:color w:val="000000"/>
        </w:rPr>
        <w:t>β</w:t>
      </w:r>
      <w:r w:rsidR="00263315" w:rsidRPr="00263315">
        <w:rPr>
          <w:rFonts w:ascii="Garamond" w:hAnsi="Garamond"/>
          <w:color w:val="000000"/>
        </w:rPr>
        <w:t>=0.128, 95% CI</w:t>
      </w:r>
      <w:r w:rsidR="00263315">
        <w:rPr>
          <w:color w:val="000000"/>
        </w:rPr>
        <w:t xml:space="preserve"> </w:t>
      </w:r>
      <w:r w:rsidR="00263315" w:rsidRPr="00263315">
        <w:rPr>
          <w:rFonts w:ascii="Garamond" w:eastAsia="Times New Roman" w:hAnsi="Garamond"/>
          <w:color w:val="000000"/>
        </w:rPr>
        <w:t>0.038 to 0.217</w:t>
      </w:r>
      <w:r w:rsidR="00263315">
        <w:rPr>
          <w:rFonts w:ascii="Garamond" w:eastAsia="Times New Roman" w:hAnsi="Garamond"/>
          <w:color w:val="000000"/>
        </w:rPr>
        <w:t xml:space="preserve">), although it </w:t>
      </w:r>
      <w:r w:rsidR="001149AF">
        <w:rPr>
          <w:rFonts w:ascii="Garamond" w:eastAsia="Times New Roman" w:hAnsi="Garamond"/>
          <w:color w:val="000000"/>
        </w:rPr>
        <w:t xml:space="preserve">did not </w:t>
      </w:r>
      <w:r w:rsidR="00263315">
        <w:rPr>
          <w:rFonts w:ascii="Garamond" w:eastAsia="Times New Roman" w:hAnsi="Garamond"/>
          <w:color w:val="000000"/>
        </w:rPr>
        <w:t xml:space="preserve">remain significant once we account for multiple testing. </w:t>
      </w:r>
      <w:r w:rsidR="0018033F">
        <w:rPr>
          <w:rFonts w:ascii="Garamond" w:eastAsia="Times New Roman" w:hAnsi="Garamond"/>
          <w:color w:val="000000"/>
        </w:rPr>
        <w:t xml:space="preserve">A possible explanation could be blood pressure ‘tracking’ </w:t>
      </w:r>
      <w:r w:rsidR="00673768">
        <w:rPr>
          <w:rFonts w:ascii="Garamond" w:eastAsia="Times New Roman" w:hAnsi="Garamond"/>
          <w:color w:val="000000"/>
        </w:rPr>
        <w:t>over the life course</w:t>
      </w:r>
      <w:r w:rsidR="0018033F">
        <w:rPr>
          <w:rFonts w:ascii="Garamond" w:eastAsia="Times New Roman" w:hAnsi="Garamond"/>
          <w:color w:val="000000"/>
        </w:rPr>
        <w:t xml:space="preserve">, </w:t>
      </w:r>
      <w:r w:rsidR="0018033F" w:rsidRPr="0018033F">
        <w:rPr>
          <w:rFonts w:ascii="Garamond" w:eastAsia="Times New Roman" w:hAnsi="Garamond"/>
          <w:i/>
          <w:color w:val="000000"/>
        </w:rPr>
        <w:t>i.e.</w:t>
      </w:r>
      <w:r w:rsidR="0018033F">
        <w:rPr>
          <w:rFonts w:ascii="Garamond" w:eastAsia="Times New Roman" w:hAnsi="Garamond"/>
          <w:color w:val="000000"/>
        </w:rPr>
        <w:t xml:space="preserve"> the hypothesis that high blood pressure in adulthood is a result of high blood pressure in childhood </w:t>
      </w:r>
      <w:r w:rsidR="0018033F">
        <w:rPr>
          <w:rFonts w:ascii="Garamond" w:eastAsia="Times New Roman" w:hAnsi="Garamond"/>
          <w:color w:val="000000"/>
        </w:rPr>
        <w:fldChar w:fldCharType="begin"/>
      </w:r>
      <w:r w:rsidR="00CC2B97">
        <w:rPr>
          <w:rFonts w:ascii="Garamond" w:eastAsia="Times New Roman" w:hAnsi="Garamond"/>
          <w:color w:val="000000"/>
        </w:rPr>
        <w:instrText xml:space="preserve"> ADDIN EN.CITE &lt;EndNote&gt;&lt;Cite&gt;&lt;Author&gt;Chen&lt;/Author&gt;&lt;Year&gt;2008&lt;/Year&gt;&lt;RecNum&gt;56&lt;/RecNum&gt;&lt;DisplayText&gt;(Chen &amp;amp; Wang, 2008)&lt;/DisplayText&gt;&lt;record&gt;&lt;rec-number&gt;56&lt;/rec-number&gt;&lt;foreign-keys&gt;&lt;key app="EN" db-id="p5pavdvzwwdesueaz0rxssxmtd2ext2dvwpd" timestamp="1542656736"&gt;56&lt;/key&gt;&lt;/foreign-keys&gt;&lt;ref-type name="Journal Article"&gt;17&lt;/ref-type&gt;&lt;contributors&gt;&lt;authors&gt;&lt;author&gt;Chen, X.&lt;/author&gt;&lt;author&gt;Wang, Y.&lt;/author&gt;&lt;/authors&gt;&lt;/contributors&gt;&lt;titles&gt;&lt;title&gt;Tracking of blood pressure from childhood to adulthood&lt;/title&gt;&lt;secondary-title&gt;Circulation&lt;/secondary-title&gt;&lt;/titles&gt;&lt;periodical&gt;&lt;full-title&gt;Circulation&lt;/full-title&gt;&lt;/periodical&gt;&lt;pages&gt;3171-3180&lt;/pages&gt;&lt;volume&gt;117&lt;/volume&gt;&lt;number&gt;25&lt;/number&gt;&lt;dates&gt;&lt;year&gt;2008&lt;/year&gt;&lt;/dates&gt;&lt;urls&gt;&lt;/urls&gt;&lt;/record&gt;&lt;/Cite&gt;&lt;/EndNote&gt;</w:instrText>
      </w:r>
      <w:r w:rsidR="0018033F">
        <w:rPr>
          <w:rFonts w:ascii="Garamond" w:eastAsia="Times New Roman" w:hAnsi="Garamond"/>
          <w:color w:val="000000"/>
        </w:rPr>
        <w:fldChar w:fldCharType="separate"/>
      </w:r>
      <w:r w:rsidR="00C07932">
        <w:rPr>
          <w:rFonts w:ascii="Garamond" w:eastAsia="Times New Roman" w:hAnsi="Garamond"/>
          <w:noProof/>
          <w:color w:val="000000"/>
        </w:rPr>
        <w:t>(</w:t>
      </w:r>
      <w:hyperlink w:anchor="_ENREF_9" w:tooltip="Chen, 2008 #56" w:history="1">
        <w:r w:rsidR="006B1724">
          <w:rPr>
            <w:rFonts w:ascii="Garamond" w:eastAsia="Times New Roman" w:hAnsi="Garamond"/>
            <w:noProof/>
            <w:color w:val="000000"/>
          </w:rPr>
          <w:t>Chen &amp; Wang, 2008</w:t>
        </w:r>
      </w:hyperlink>
      <w:r w:rsidR="00C07932">
        <w:rPr>
          <w:rFonts w:ascii="Garamond" w:eastAsia="Times New Roman" w:hAnsi="Garamond"/>
          <w:noProof/>
          <w:color w:val="000000"/>
        </w:rPr>
        <w:t>)</w:t>
      </w:r>
      <w:r w:rsidR="0018033F">
        <w:rPr>
          <w:rFonts w:ascii="Garamond" w:eastAsia="Times New Roman" w:hAnsi="Garamond"/>
          <w:color w:val="000000"/>
        </w:rPr>
        <w:fldChar w:fldCharType="end"/>
      </w:r>
      <w:r w:rsidR="0018033F">
        <w:rPr>
          <w:rFonts w:ascii="Garamond" w:eastAsia="Times New Roman" w:hAnsi="Garamond"/>
          <w:color w:val="000000"/>
        </w:rPr>
        <w:t xml:space="preserve">. </w:t>
      </w:r>
      <w:r w:rsidR="00673768">
        <w:rPr>
          <w:rFonts w:ascii="Garamond" w:eastAsia="Times New Roman" w:hAnsi="Garamond"/>
          <w:color w:val="000000"/>
        </w:rPr>
        <w:t xml:space="preserve">Our distributional analyses do not provide support to this hypothesis: quantile regressions showed that the effect of the reform was consistent over the health distribution for both blood pressure and white blood cells. </w:t>
      </w:r>
      <w:r w:rsidR="0018033F">
        <w:rPr>
          <w:rFonts w:ascii="Garamond" w:hAnsi="Garamond"/>
        </w:rPr>
        <w:t xml:space="preserve">The exact biological mechanism linking compulsory schooling to </w:t>
      </w:r>
      <w:r w:rsidR="00673768">
        <w:rPr>
          <w:rFonts w:ascii="Garamond" w:hAnsi="Garamond"/>
        </w:rPr>
        <w:t xml:space="preserve">poorer </w:t>
      </w:r>
      <w:r w:rsidR="00673768">
        <w:rPr>
          <w:rFonts w:ascii="Garamond" w:hAnsi="Garamond"/>
        </w:rPr>
        <w:lastRenderedPageBreak/>
        <w:t>health</w:t>
      </w:r>
      <w:r w:rsidR="0018033F">
        <w:rPr>
          <w:rFonts w:ascii="Garamond" w:hAnsi="Garamond"/>
        </w:rPr>
        <w:t xml:space="preserve"> remains unclear and should be the subject of future research.</w:t>
      </w:r>
      <w:r w:rsidR="00673768">
        <w:rPr>
          <w:rFonts w:ascii="Garamond" w:hAnsi="Garamond"/>
        </w:rPr>
        <w:t xml:space="preserve"> Our findings relate to </w:t>
      </w:r>
      <w:r w:rsidR="002D5806">
        <w:rPr>
          <w:rFonts w:ascii="Garamond" w:hAnsi="Garamond"/>
        </w:rPr>
        <w:t>research</w:t>
      </w:r>
      <w:r w:rsidR="00673768">
        <w:rPr>
          <w:rFonts w:ascii="Garamond" w:hAnsi="Garamond"/>
        </w:rPr>
        <w:t xml:space="preserve"> in the United States showing that </w:t>
      </w:r>
      <w:r w:rsidR="00B40A78">
        <w:rPr>
          <w:rFonts w:ascii="Garamond" w:hAnsi="Garamond"/>
        </w:rPr>
        <w:t>disadvantaged</w:t>
      </w:r>
      <w:r w:rsidR="002D5806">
        <w:rPr>
          <w:rFonts w:ascii="Garamond" w:hAnsi="Garamond"/>
        </w:rPr>
        <w:t xml:space="preserve"> </w:t>
      </w:r>
      <w:r w:rsidR="00B40A78">
        <w:rPr>
          <w:rFonts w:ascii="Garamond" w:hAnsi="Garamond"/>
        </w:rPr>
        <w:t>minorities with higher education</w:t>
      </w:r>
      <w:r w:rsidR="002D5806">
        <w:rPr>
          <w:rFonts w:ascii="Garamond" w:hAnsi="Garamond"/>
        </w:rPr>
        <w:t xml:space="preserve"> reported higher allostatic load and cardiovascular biomarkers than their less educated counterparts </w:t>
      </w:r>
      <w:r w:rsidR="002D5806">
        <w:rPr>
          <w:rFonts w:ascii="Garamond" w:hAnsi="Garamond"/>
        </w:rPr>
        <w:fldChar w:fldCharType="begin">
          <w:fldData xml:space="preserve">PEVuZE5vdGU+PENpdGU+PEF1dGhvcj5NaWxsZXI8L0F1dGhvcj48WWVhcj4yMDE1PC9ZZWFyPjxS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</w:fldData>
        </w:fldChar>
      </w:r>
      <w:r w:rsidR="00CC2B97">
        <w:rPr>
          <w:rFonts w:ascii="Garamond" w:hAnsi="Garamond"/>
        </w:rPr>
        <w:instrText xml:space="preserve"> ADDIN EN.CITE </w:instrText>
      </w:r>
      <w:r w:rsidR="00CC2B97">
        <w:rPr>
          <w:rFonts w:ascii="Garamond" w:hAnsi="Garamond"/>
        </w:rPr>
        <w:fldChar w:fldCharType="begin">
          <w:fldData xml:space="preserve">PEVuZE5vdGU+PENpdGU+PEF1dGhvcj5NaWxsZXI8L0F1dGhvcj48WWVhcj4yMDE1PC9ZZWFyPjxS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</w:fldData>
        </w:fldChar>
      </w:r>
      <w:r w:rsidR="00CC2B97">
        <w:rPr>
          <w:rFonts w:ascii="Garamond" w:hAnsi="Garamond"/>
        </w:rPr>
        <w:instrText xml:space="preserve"> ADDIN EN.CITE.DATA </w:instrText>
      </w:r>
      <w:r w:rsidR="00CC2B97">
        <w:rPr>
          <w:rFonts w:ascii="Garamond" w:hAnsi="Garamond"/>
        </w:rPr>
      </w:r>
      <w:r w:rsidR="00CC2B97">
        <w:rPr>
          <w:rFonts w:ascii="Garamond" w:hAnsi="Garamond"/>
        </w:rPr>
        <w:fldChar w:fldCharType="end"/>
      </w:r>
      <w:r w:rsidR="002D5806">
        <w:rPr>
          <w:rFonts w:ascii="Garamond" w:hAnsi="Garamond"/>
        </w:rPr>
      </w:r>
      <w:r w:rsidR="002D5806">
        <w:rPr>
          <w:rFonts w:ascii="Garamond" w:hAnsi="Garamond"/>
        </w:rPr>
        <w:fldChar w:fldCharType="separate"/>
      </w:r>
      <w:r w:rsidR="00C07932">
        <w:rPr>
          <w:rFonts w:ascii="Garamond" w:hAnsi="Garamond"/>
          <w:noProof/>
        </w:rPr>
        <w:t>(</w:t>
      </w:r>
      <w:hyperlink w:anchor="_ENREF_6" w:tooltip="Brody, 2013 #58" w:history="1">
        <w:r w:rsidR="006B1724">
          <w:rPr>
            <w:rFonts w:ascii="Garamond" w:hAnsi="Garamond"/>
            <w:noProof/>
          </w:rPr>
          <w:t>Brody et al., 2013</w:t>
        </w:r>
      </w:hyperlink>
      <w:r w:rsidR="00C07932">
        <w:rPr>
          <w:rFonts w:ascii="Garamond" w:hAnsi="Garamond"/>
          <w:noProof/>
        </w:rPr>
        <w:t xml:space="preserve">; </w:t>
      </w:r>
      <w:hyperlink w:anchor="_ENREF_25" w:tooltip="Gaydosh, 2018 #59" w:history="1">
        <w:r w:rsidR="006B1724">
          <w:rPr>
            <w:rFonts w:ascii="Garamond" w:hAnsi="Garamond"/>
            <w:noProof/>
          </w:rPr>
          <w:t>Gaydosh, Schorpp, Chen, Miller, &amp; Mullan Harris, 2018</w:t>
        </w:r>
      </w:hyperlink>
      <w:r w:rsidR="00C07932">
        <w:rPr>
          <w:rFonts w:ascii="Garamond" w:hAnsi="Garamond"/>
          <w:noProof/>
        </w:rPr>
        <w:t xml:space="preserve">; </w:t>
      </w:r>
      <w:hyperlink w:anchor="_ENREF_48" w:tooltip="Miller, 2015 #57" w:history="1">
        <w:r w:rsidR="006B1724">
          <w:rPr>
            <w:rFonts w:ascii="Garamond" w:hAnsi="Garamond"/>
            <w:noProof/>
          </w:rPr>
          <w:t>Miller, Yu, Chen, &amp; Brody, 2015</w:t>
        </w:r>
      </w:hyperlink>
      <w:r w:rsidR="00C07932">
        <w:rPr>
          <w:rFonts w:ascii="Garamond" w:hAnsi="Garamond"/>
          <w:noProof/>
        </w:rPr>
        <w:t>)</w:t>
      </w:r>
      <w:r w:rsidR="002D5806">
        <w:rPr>
          <w:rFonts w:ascii="Garamond" w:hAnsi="Garamond"/>
        </w:rPr>
        <w:fldChar w:fldCharType="end"/>
      </w:r>
      <w:r w:rsidR="002D5806">
        <w:rPr>
          <w:rFonts w:ascii="Garamond" w:hAnsi="Garamond"/>
        </w:rPr>
        <w:t xml:space="preserve">. </w:t>
      </w:r>
    </w:p>
    <w:p w14:paraId="1067D695" w14:textId="77777777" w:rsidR="002D5806" w:rsidRPr="002D5806" w:rsidRDefault="002D5806" w:rsidP="002D5806">
      <w:pPr>
        <w:spacing w:line="480" w:lineRule="auto"/>
        <w:ind w:firstLine="720"/>
        <w:jc w:val="both"/>
        <w:rPr>
          <w:rFonts w:ascii="Garamond" w:eastAsia="Times New Roman" w:hAnsi="Garamond"/>
          <w:color w:val="000000"/>
        </w:rPr>
      </w:pPr>
    </w:p>
    <w:p w14:paraId="5F78BE2C" w14:textId="26E93B20" w:rsidR="00AA3B3E" w:rsidRDefault="00BC41F3" w:rsidP="00AA3B3E">
      <w:pPr>
        <w:spacing w:line="480" w:lineRule="auto"/>
        <w:ind w:firstLine="720"/>
        <w:jc w:val="both"/>
        <w:rPr>
          <w:rFonts w:ascii="Garamond" w:hAnsi="Garamond"/>
        </w:rPr>
      </w:pPr>
      <w:r>
        <w:rPr>
          <w:rFonts w:ascii="Garamond" w:hAnsi="Garamond"/>
          <w:lang w:val="en-GB"/>
        </w:rPr>
        <w:t xml:space="preserve">This study has </w:t>
      </w:r>
      <w:r w:rsidR="00673768">
        <w:rPr>
          <w:rFonts w:ascii="Garamond" w:hAnsi="Garamond"/>
          <w:lang w:val="en-GB"/>
        </w:rPr>
        <w:t xml:space="preserve">several </w:t>
      </w:r>
      <w:r>
        <w:rPr>
          <w:rFonts w:ascii="Garamond" w:hAnsi="Garamond"/>
          <w:lang w:val="en-GB"/>
        </w:rPr>
        <w:t>strengths and limitations. A major strength</w:t>
      </w:r>
      <w:r w:rsidR="00310FAF" w:rsidRPr="000E5D82">
        <w:rPr>
          <w:rFonts w:ascii="Garamond" w:hAnsi="Garamond"/>
          <w:lang w:val="en-GB"/>
        </w:rPr>
        <w:t xml:space="preserve"> of our study i</w:t>
      </w:r>
      <w:r>
        <w:rPr>
          <w:rFonts w:ascii="Garamond" w:hAnsi="Garamond"/>
          <w:lang w:val="en-GB"/>
        </w:rPr>
        <w:t>s</w:t>
      </w:r>
      <w:r w:rsidR="00310FAF" w:rsidRPr="000E5D82">
        <w:rPr>
          <w:rFonts w:ascii="Garamond" w:hAnsi="Garamond"/>
          <w:lang w:val="en-GB"/>
        </w:rPr>
        <w:t xml:space="preserve"> the use of a quasi-experimental design in a</w:t>
      </w:r>
      <w:r>
        <w:rPr>
          <w:rFonts w:ascii="Garamond" w:hAnsi="Garamond"/>
          <w:lang w:val="en-GB"/>
        </w:rPr>
        <w:t xml:space="preserve"> </w:t>
      </w:r>
      <w:r w:rsidR="0039742C">
        <w:rPr>
          <w:rFonts w:ascii="Garamond" w:hAnsi="Garamond"/>
          <w:lang w:val="en-GB"/>
        </w:rPr>
        <w:t>large population-based cohort. First, t</w:t>
      </w:r>
      <w:r>
        <w:rPr>
          <w:rFonts w:ascii="Garamond" w:hAnsi="Garamond"/>
          <w:lang w:val="en-GB"/>
        </w:rPr>
        <w:t xml:space="preserve">he data included a </w:t>
      </w:r>
      <w:r w:rsidR="009E5D8E">
        <w:rPr>
          <w:rFonts w:ascii="Garamond" w:hAnsi="Garamond"/>
          <w:lang w:val="en-GB"/>
        </w:rPr>
        <w:t>wide</w:t>
      </w:r>
      <w:r>
        <w:rPr>
          <w:rFonts w:ascii="Garamond" w:hAnsi="Garamond"/>
          <w:lang w:val="en-GB"/>
        </w:rPr>
        <w:t xml:space="preserve"> number of anthropometric and blood-based </w:t>
      </w:r>
      <w:r w:rsidR="004636E4">
        <w:rPr>
          <w:rFonts w:ascii="Garamond" w:hAnsi="Garamond"/>
          <w:lang w:val="en-GB"/>
        </w:rPr>
        <w:t>biomar</w:t>
      </w:r>
      <w:r w:rsidR="009E5D8E">
        <w:rPr>
          <w:rFonts w:ascii="Garamond" w:hAnsi="Garamond"/>
          <w:lang w:val="en-GB"/>
        </w:rPr>
        <w:t>kers for a large sample, which remains</w:t>
      </w:r>
      <w:r w:rsidR="004636E4">
        <w:rPr>
          <w:rFonts w:ascii="Garamond" w:hAnsi="Garamond"/>
          <w:lang w:val="en-GB"/>
        </w:rPr>
        <w:t xml:space="preserve"> unusual for quasi-experimental designs.</w:t>
      </w:r>
      <w:r w:rsidR="00196356">
        <w:rPr>
          <w:rFonts w:ascii="Garamond" w:hAnsi="Garamond"/>
          <w:lang w:val="en-GB"/>
        </w:rPr>
        <w:t xml:space="preserve"> </w:t>
      </w:r>
      <w:r w:rsidR="009E5D8E">
        <w:rPr>
          <w:rFonts w:ascii="Garamond" w:hAnsi="Garamond"/>
          <w:lang w:val="en-GB"/>
        </w:rPr>
        <w:t>The</w:t>
      </w:r>
      <w:r w:rsidR="004636E4">
        <w:rPr>
          <w:rFonts w:ascii="Garamond" w:hAnsi="Garamond"/>
          <w:lang w:val="en-GB"/>
        </w:rPr>
        <w:t xml:space="preserve"> biological markers </w:t>
      </w:r>
      <w:r w:rsidR="009E5D8E">
        <w:rPr>
          <w:rFonts w:ascii="Garamond" w:hAnsi="Garamond"/>
          <w:lang w:val="en-GB"/>
        </w:rPr>
        <w:t>used in this paper are objective health measures, likely to be</w:t>
      </w:r>
      <w:r w:rsidR="004636E4">
        <w:rPr>
          <w:rFonts w:ascii="Garamond" w:hAnsi="Garamond"/>
          <w:lang w:val="en-GB"/>
        </w:rPr>
        <w:t xml:space="preserve"> more sensitive to subclinical changes in health risk than traditional measures of </w:t>
      </w:r>
      <w:r w:rsidR="00950BE2">
        <w:rPr>
          <w:rFonts w:ascii="Garamond" w:hAnsi="Garamond"/>
          <w:lang w:val="en-GB"/>
        </w:rPr>
        <w:t xml:space="preserve">chronic health conditions or mortality. </w:t>
      </w:r>
      <w:r w:rsidR="0039742C">
        <w:rPr>
          <w:rFonts w:ascii="Garamond" w:hAnsi="Garamond"/>
        </w:rPr>
        <w:t>Second, a</w:t>
      </w:r>
      <w:r w:rsidR="00AA3B3E">
        <w:rPr>
          <w:rFonts w:ascii="Garamond" w:hAnsi="Garamond"/>
        </w:rPr>
        <w:t>lthough schooling reforms are often conceptualized in previous studies as an instrumental variable (IV) for increases in educational attainment, changes in mandatory schooling may influence other aspects of child</w:t>
      </w:r>
      <w:r w:rsidR="005D51A4">
        <w:rPr>
          <w:rFonts w:ascii="Garamond" w:hAnsi="Garamond"/>
        </w:rPr>
        <w:t>ren</w:t>
      </w:r>
      <w:r w:rsidR="00AA3B3E">
        <w:rPr>
          <w:rFonts w:ascii="Garamond" w:hAnsi="Garamond"/>
        </w:rPr>
        <w:t>’s experience, such as income prospects, peer networks or school quality. Using a</w:t>
      </w:r>
      <w:r w:rsidR="00D10A8A">
        <w:rPr>
          <w:rFonts w:ascii="Garamond" w:hAnsi="Garamond"/>
        </w:rPr>
        <w:t>n</w:t>
      </w:r>
      <w:r w:rsidR="00AA3B3E">
        <w:rPr>
          <w:rFonts w:ascii="Garamond" w:hAnsi="Garamond"/>
        </w:rPr>
        <w:t xml:space="preserve"> RDD, we estimate the overall effect of the reform, which would </w:t>
      </w:r>
      <w:r w:rsidR="00D10A8A">
        <w:rPr>
          <w:rFonts w:ascii="Garamond" w:hAnsi="Garamond"/>
        </w:rPr>
        <w:t xml:space="preserve">capture the overall effect of </w:t>
      </w:r>
      <w:r w:rsidR="00AA3B3E">
        <w:rPr>
          <w:rFonts w:ascii="Garamond" w:hAnsi="Garamond"/>
        </w:rPr>
        <w:t xml:space="preserve">the policy, not </w:t>
      </w:r>
      <w:r w:rsidR="00D10A8A">
        <w:rPr>
          <w:rFonts w:ascii="Garamond" w:hAnsi="Garamond"/>
        </w:rPr>
        <w:t xml:space="preserve">only </w:t>
      </w:r>
      <w:r w:rsidR="00AA3B3E">
        <w:rPr>
          <w:rFonts w:ascii="Garamond" w:hAnsi="Garamond"/>
        </w:rPr>
        <w:t xml:space="preserve">effects operating via increases in years of schooling. Based on the exogenous sharp increase in minimum school leaving age induced by the schooling reform, its causal effect on health can be estimated with fewer assumptions compared to other quasi-experimental designs </w:t>
      </w:r>
      <w:r w:rsidR="00AA3B3E">
        <w:rPr>
          <w:rFonts w:ascii="Garamond" w:hAnsi="Garamond"/>
        </w:rPr>
        <w:fldChar w:fldCharType="begin"/>
      </w:r>
      <w:r w:rsidR="00CC2B97">
        <w:rPr>
          <w:rFonts w:ascii="Garamond" w:hAnsi="Garamond"/>
        </w:rPr>
        <w:instrText xml:space="preserve"> ADDIN EN.CITE &lt;EndNote&gt;&lt;Cite&gt;&lt;Author&gt;Moscoe&lt;/Author&gt;&lt;Year&gt;2015&lt;/Year&gt;&lt;RecNum&gt;44&lt;/RecNum&gt;&lt;DisplayText&gt;(Moscoe et al., 2015; Venkataramani et al., 2016)&lt;/DisplayText&gt;&lt;record&gt;&lt;rec-number&gt;44&lt;/rec-number&gt;&lt;foreign-keys&gt;&lt;key app="EN" db-id="p5pavdvzwwdesueaz0rxssxmtd2ext2dvwpd" timestamp="1542656736"&gt;44&lt;/key&gt;&lt;/foreign-keys&gt;&lt;ref-type name="Journal Article"&gt;17&lt;/ref-type&gt;&lt;contributors&gt;&lt;authors&gt;&lt;author&gt;Moscoe, E.&lt;/author&gt;&lt;author&gt;Bor, J.&lt;/author&gt;&lt;author&gt;Barnighausen, T.&lt;/author&gt;&lt;/authors&gt;&lt;/contributors&gt;&lt;titles&gt;&lt;title&gt;Regression discontinuity designs are underutilised in medicine, epidemiology, and public health: a review of current and best practice&lt;/title&gt;&lt;secondary-title&gt;Journal of Clinical Epidemiology&lt;/secondary-title&gt;&lt;/titles&gt;&lt;periodical&gt;&lt;full-title&gt;Journal of Clinical Epidemiology&lt;/full-title&gt;&lt;/periodical&gt;&lt;pages&gt;132-143&lt;/pages&gt;&lt;volume&gt;68&lt;/volume&gt;&lt;dates&gt;&lt;year&gt;2015&lt;/year&gt;&lt;/dates&gt;&lt;urls&gt;&lt;/urls&gt;&lt;/record&gt;&lt;/Cite&gt;&lt;Cite&gt;&lt;Author&gt;Venkataramani&lt;/Author&gt;&lt;Year&gt;2016&lt;/Year&gt;&lt;RecNum&gt;49&lt;/RecNum&gt;&lt;record&gt;&lt;rec-number&gt;49&lt;/rec-number&gt;&lt;foreign-keys&gt;&lt;key app="EN" db-id="p5pavdvzwwdesueaz0rxssxmtd2ext2dvwpd" timestamp="1542656736"&gt;49&lt;/key&gt;&lt;/foreign-keys&gt;&lt;ref-type name="Journal Article"&gt;17&lt;/ref-type&gt;&lt;contributors&gt;&lt;authors&gt;&lt;author&gt;Venkataramani, A.&lt;/author&gt;&lt;author&gt;Bor, J.&lt;/author&gt;&lt;author&gt;Jena, A.B.&lt;/author&gt;&lt;/authors&gt;&lt;/contributors&gt;&lt;titles&gt;&lt;title&gt;Regression Discontinuity Designs in healthcare research&lt;/title&gt;&lt;secondary-title&gt;British Medical Journal&lt;/secondary-title&gt;&lt;/titles&gt;&lt;periodical&gt;&lt;full-title&gt;British Medical Journal&lt;/full-title&gt;&lt;/periodical&gt;&lt;volume&gt;352&lt;/volume&gt;&lt;dates&gt;&lt;year&gt;2016&lt;/year&gt;&lt;/dates&gt;&lt;urls&gt;&lt;/urls&gt;&lt;/record&gt;&lt;/Cite&gt;&lt;/EndNote&gt;</w:instrText>
      </w:r>
      <w:r w:rsidR="00AA3B3E">
        <w:rPr>
          <w:rFonts w:ascii="Garamond" w:hAnsi="Garamond"/>
        </w:rPr>
        <w:fldChar w:fldCharType="separate"/>
      </w:r>
      <w:r w:rsidR="00C07932">
        <w:rPr>
          <w:rFonts w:ascii="Garamond" w:hAnsi="Garamond"/>
          <w:noProof/>
        </w:rPr>
        <w:t>(</w:t>
      </w:r>
      <w:hyperlink w:anchor="_ENREF_49" w:tooltip="Moscoe, 2015 #44" w:history="1">
        <w:r w:rsidR="006B1724">
          <w:rPr>
            <w:rFonts w:ascii="Garamond" w:hAnsi="Garamond"/>
            <w:noProof/>
          </w:rPr>
          <w:t>Moscoe et al., 2015</w:t>
        </w:r>
      </w:hyperlink>
      <w:r w:rsidR="00C07932">
        <w:rPr>
          <w:rFonts w:ascii="Garamond" w:hAnsi="Garamond"/>
          <w:noProof/>
        </w:rPr>
        <w:t xml:space="preserve">; </w:t>
      </w:r>
      <w:hyperlink w:anchor="_ENREF_62" w:tooltip="Venkataramani, 2016 #49" w:history="1">
        <w:r w:rsidR="006B1724">
          <w:rPr>
            <w:rFonts w:ascii="Garamond" w:hAnsi="Garamond"/>
            <w:noProof/>
          </w:rPr>
          <w:t>Venkataramani et al., 2016</w:t>
        </w:r>
      </w:hyperlink>
      <w:r w:rsidR="00C07932">
        <w:rPr>
          <w:rFonts w:ascii="Garamond" w:hAnsi="Garamond"/>
          <w:noProof/>
        </w:rPr>
        <w:t>)</w:t>
      </w:r>
      <w:r w:rsidR="00AA3B3E">
        <w:rPr>
          <w:rFonts w:ascii="Garamond" w:hAnsi="Garamond"/>
        </w:rPr>
        <w:fldChar w:fldCharType="end"/>
      </w:r>
      <w:r w:rsidR="00AA3B3E">
        <w:rPr>
          <w:rFonts w:ascii="Garamond" w:hAnsi="Garamond"/>
        </w:rPr>
        <w:t>.</w:t>
      </w:r>
    </w:p>
    <w:p w14:paraId="17060A5E" w14:textId="5A225334" w:rsidR="00FF19F7" w:rsidRPr="001538BA" w:rsidRDefault="0039742C" w:rsidP="005305AA">
      <w:pPr>
        <w:spacing w:line="480" w:lineRule="auto"/>
        <w:ind w:firstLine="720"/>
        <w:jc w:val="both"/>
        <w:rPr>
          <w:rFonts w:ascii="Garamond" w:eastAsia="Times New Roman" w:hAnsi="Garamond"/>
          <w:color w:val="000000"/>
        </w:rPr>
      </w:pPr>
      <w:r>
        <w:rPr>
          <w:rFonts w:ascii="Garamond" w:hAnsi="Garamond"/>
          <w:lang w:val="en-GB"/>
        </w:rPr>
        <w:t xml:space="preserve">A </w:t>
      </w:r>
      <w:r w:rsidR="007F4C0C">
        <w:rPr>
          <w:rFonts w:ascii="Garamond" w:hAnsi="Garamond"/>
          <w:lang w:val="en-GB"/>
        </w:rPr>
        <w:t xml:space="preserve">first </w:t>
      </w:r>
      <w:r>
        <w:rPr>
          <w:rFonts w:ascii="Garamond" w:hAnsi="Garamond"/>
          <w:lang w:val="en-GB"/>
        </w:rPr>
        <w:t xml:space="preserve">limitation is that our data are cross-sectional. However, </w:t>
      </w:r>
      <w:r w:rsidR="00900150">
        <w:rPr>
          <w:rFonts w:ascii="Garamond" w:hAnsi="Garamond"/>
          <w:lang w:val="en-GB"/>
        </w:rPr>
        <w:t xml:space="preserve">our estimates focus on the impact of a </w:t>
      </w:r>
      <w:r>
        <w:rPr>
          <w:rFonts w:ascii="Garamond" w:hAnsi="Garamond"/>
          <w:lang w:val="en-GB"/>
        </w:rPr>
        <w:t xml:space="preserve">reform </w:t>
      </w:r>
      <w:r w:rsidR="00900150">
        <w:rPr>
          <w:rFonts w:ascii="Garamond" w:hAnsi="Garamond"/>
          <w:lang w:val="en-GB"/>
        </w:rPr>
        <w:t xml:space="preserve">affecting participants at a young age, </w:t>
      </w:r>
      <w:r>
        <w:rPr>
          <w:rFonts w:ascii="Garamond" w:hAnsi="Garamond"/>
          <w:lang w:val="en-GB"/>
        </w:rPr>
        <w:t>long before biomarkers were collected</w:t>
      </w:r>
      <w:r w:rsidR="00900150">
        <w:rPr>
          <w:rFonts w:ascii="Garamond" w:hAnsi="Garamond"/>
          <w:lang w:val="en-GB"/>
        </w:rPr>
        <w:t xml:space="preserve"> in adulthood</w:t>
      </w:r>
      <w:r>
        <w:rPr>
          <w:rFonts w:ascii="Garamond" w:hAnsi="Garamond"/>
          <w:lang w:val="en-GB"/>
        </w:rPr>
        <w:t xml:space="preserve">. </w:t>
      </w:r>
      <w:r w:rsidR="007F4C0C">
        <w:rPr>
          <w:rFonts w:ascii="Garamond" w:eastAsia="Times New Roman" w:hAnsi="Garamond"/>
          <w:color w:val="000000"/>
        </w:rPr>
        <w:t>Second, p</w:t>
      </w:r>
      <w:r w:rsidR="00E163B7">
        <w:rPr>
          <w:rFonts w:ascii="Garamond" w:eastAsia="Times New Roman" w:hAnsi="Garamond"/>
          <w:color w:val="000000"/>
        </w:rPr>
        <w:t xml:space="preserve">revious research has shown that a number of </w:t>
      </w:r>
      <w:r w:rsidR="00E163B7" w:rsidRPr="00636672">
        <w:rPr>
          <w:rFonts w:ascii="Garamond" w:eastAsia="Times New Roman" w:hAnsi="Garamond"/>
          <w:color w:val="000000"/>
        </w:rPr>
        <w:t xml:space="preserve">individual demographic, socioeconomic and health characteristics are associated with participation in the </w:t>
      </w:r>
      <w:proofErr w:type="spellStart"/>
      <w:r w:rsidR="00E163B7" w:rsidRPr="00636672">
        <w:rPr>
          <w:rFonts w:ascii="Garamond" w:eastAsia="Times New Roman" w:hAnsi="Garamond"/>
          <w:color w:val="000000"/>
        </w:rPr>
        <w:t>Constances</w:t>
      </w:r>
      <w:proofErr w:type="spellEnd"/>
      <w:r w:rsidR="00E163B7" w:rsidRPr="00636672">
        <w:rPr>
          <w:rFonts w:ascii="Garamond" w:eastAsia="Times New Roman" w:hAnsi="Garamond"/>
          <w:color w:val="000000"/>
        </w:rPr>
        <w:t xml:space="preserve"> cohort </w:t>
      </w:r>
      <w:r w:rsidR="00E163B7">
        <w:rPr>
          <w:rFonts w:ascii="Garamond" w:eastAsia="Times New Roman" w:hAnsi="Garamond"/>
          <w:color w:val="000000"/>
        </w:rPr>
        <w:fldChar w:fldCharType="begin"/>
      </w:r>
      <w:r w:rsidR="00CC2B97">
        <w:rPr>
          <w:rFonts w:ascii="Garamond" w:eastAsia="Times New Roman" w:hAnsi="Garamond"/>
          <w:color w:val="000000"/>
        </w:rPr>
        <w:instrText xml:space="preserve"> ADDIN EN.CITE &lt;EndNote&gt;&lt;Cite&gt;&lt;Author&gt;Santin&lt;/Author&gt;&lt;Year&gt;2016&lt;/Year&gt;&lt;RecNum&gt;60&lt;/RecNum&gt;&lt;DisplayText&gt;(Santin et al., 2016)&lt;/DisplayText&gt;&lt;record&gt;&lt;rec-number&gt;60&lt;/rec-number&gt;&lt;foreign-keys&gt;&lt;key app="EN" db-id="p5pavdvzwwdesueaz0rxssxmtd2ext2dvwpd" timestamp="1542656737"&gt;60&lt;/key&gt;&lt;/foreign-keys&gt;&lt;ref-type name="Journal Article"&gt;17&lt;/ref-type&gt;&lt;contributors&gt;&lt;authors&gt;&lt;author&gt;Santin, G.&lt;/author&gt;&lt;author&gt;Herquelot, E.&lt;/author&gt;&lt;author&gt;Gueguen, A.&lt;/author&gt;&lt;author&gt;Carton, M.&lt;/author&gt;&lt;author&gt;Cyr, D.&lt;/author&gt;&lt;author&gt;Genreau, M.&lt;/author&gt;&lt;author&gt;Goldberg, S.&lt;/author&gt;&lt;author&gt;Gourmelen, J.&lt;/author&gt;&lt;author&gt;Hourani, I.&lt;/author&gt;&lt;author&gt;Ozguler, A.&lt;/author&gt;&lt;author&gt;Pascal, P.&lt;/author&gt;&lt;author&gt;Ribet, C.&lt;/author&gt;&lt;author&gt;Salem, E.&lt;/author&gt;&lt;author&gt;Goldberg, M.&lt;/author&gt;&lt;author&gt;Zins, M.&lt;/author&gt;&lt;/authors&gt;&lt;/contributors&gt;&lt;titles&gt;&lt;title&gt;Estimation de prevalences dans Constances: premieres explorations&lt;/title&gt;&lt;secondary-title&gt;Bulletin Epidemiologique Hebdomadaire&lt;/secondary-title&gt;&lt;/titles&gt;&lt;periodical&gt;&lt;full-title&gt;Bulletin Epidemiologique Hebdomadaire&lt;/full-title&gt;&lt;/periodical&gt;&lt;pages&gt;622-629&lt;/pages&gt;&lt;volume&gt;35-36&lt;/volume&gt;&lt;dates&gt;&lt;year&gt;2016&lt;/year&gt;&lt;/dates&gt;&lt;urls&gt;&lt;/urls&gt;&lt;/record&gt;&lt;/Cite&gt;&lt;/EndNote&gt;</w:instrText>
      </w:r>
      <w:r w:rsidR="00E163B7">
        <w:rPr>
          <w:rFonts w:ascii="Garamond" w:eastAsia="Times New Roman" w:hAnsi="Garamond"/>
          <w:color w:val="000000"/>
        </w:rPr>
        <w:fldChar w:fldCharType="separate"/>
      </w:r>
      <w:r w:rsidR="00C07932">
        <w:rPr>
          <w:rFonts w:ascii="Garamond" w:eastAsia="Times New Roman" w:hAnsi="Garamond"/>
          <w:noProof/>
          <w:color w:val="000000"/>
        </w:rPr>
        <w:t>(</w:t>
      </w:r>
      <w:hyperlink w:anchor="_ENREF_55" w:tooltip="Santin, 2016 #60" w:history="1">
        <w:r w:rsidR="006B1724">
          <w:rPr>
            <w:rFonts w:ascii="Garamond" w:eastAsia="Times New Roman" w:hAnsi="Garamond"/>
            <w:noProof/>
            <w:color w:val="000000"/>
          </w:rPr>
          <w:t>Santin et al., 2016</w:t>
        </w:r>
      </w:hyperlink>
      <w:r w:rsidR="00C07932">
        <w:rPr>
          <w:rFonts w:ascii="Garamond" w:eastAsia="Times New Roman" w:hAnsi="Garamond"/>
          <w:noProof/>
          <w:color w:val="000000"/>
        </w:rPr>
        <w:t>)</w:t>
      </w:r>
      <w:r w:rsidR="00E163B7">
        <w:rPr>
          <w:rFonts w:ascii="Garamond" w:eastAsia="Times New Roman" w:hAnsi="Garamond"/>
          <w:color w:val="000000"/>
        </w:rPr>
        <w:fldChar w:fldCharType="end"/>
      </w:r>
      <w:r w:rsidR="00E163B7" w:rsidRPr="00636672">
        <w:rPr>
          <w:rFonts w:ascii="Garamond" w:eastAsia="Times New Roman" w:hAnsi="Garamond"/>
          <w:color w:val="000000"/>
        </w:rPr>
        <w:t xml:space="preserve">. </w:t>
      </w:r>
      <w:r w:rsidR="007C6277">
        <w:rPr>
          <w:rFonts w:ascii="Garamond" w:eastAsia="Times New Roman" w:hAnsi="Garamond"/>
          <w:color w:val="000000"/>
        </w:rPr>
        <w:t xml:space="preserve">In supplementary analyses, we </w:t>
      </w:r>
      <w:r w:rsidR="00A52265">
        <w:rPr>
          <w:rFonts w:ascii="Garamond" w:eastAsia="Times New Roman" w:hAnsi="Garamond"/>
          <w:color w:val="000000"/>
        </w:rPr>
        <w:t>showed</w:t>
      </w:r>
      <w:r w:rsidR="007C6277">
        <w:rPr>
          <w:rFonts w:ascii="Garamond" w:eastAsia="Times New Roman" w:hAnsi="Garamond"/>
          <w:color w:val="000000"/>
        </w:rPr>
        <w:t xml:space="preserve"> that our estimates were robust to the inclusion of calibrated weights based on population totals from the LFS (results available upon request). Differential response rate</w:t>
      </w:r>
      <w:r w:rsidR="0073607E">
        <w:rPr>
          <w:rFonts w:ascii="Garamond" w:eastAsia="Times New Roman" w:hAnsi="Garamond"/>
          <w:color w:val="000000"/>
        </w:rPr>
        <w:t>s</w:t>
      </w:r>
      <w:r w:rsidR="007C6277">
        <w:rPr>
          <w:rFonts w:ascii="Garamond" w:eastAsia="Times New Roman" w:hAnsi="Garamond"/>
          <w:color w:val="000000"/>
        </w:rPr>
        <w:t xml:space="preserve"> by month of birth – the key variable on which eligibility </w:t>
      </w:r>
      <w:r w:rsidR="007C6277">
        <w:rPr>
          <w:rFonts w:ascii="Garamond" w:eastAsia="Times New Roman" w:hAnsi="Garamond"/>
          <w:color w:val="000000"/>
        </w:rPr>
        <w:lastRenderedPageBreak/>
        <w:t xml:space="preserve">to the reform is defined – would be a potential threat to the internal validity of our results. </w:t>
      </w:r>
      <w:r w:rsidR="006A3E93">
        <w:rPr>
          <w:rFonts w:ascii="Garamond" w:eastAsia="Times New Roman" w:hAnsi="Garamond"/>
          <w:color w:val="000000"/>
        </w:rPr>
        <w:t xml:space="preserve">We found no evidence of significant differences in response rates between the eligible and ineligible cohorts </w:t>
      </w:r>
      <w:r w:rsidR="007C6277">
        <w:rPr>
          <w:rFonts w:ascii="Garamond" w:eastAsia="Times New Roman" w:hAnsi="Garamond"/>
          <w:color w:val="000000"/>
        </w:rPr>
        <w:t xml:space="preserve">(results available upon request). </w:t>
      </w:r>
      <w:r w:rsidR="00AC16DE">
        <w:rPr>
          <w:rFonts w:ascii="Garamond" w:eastAsia="Times New Roman" w:hAnsi="Garamond"/>
          <w:color w:val="000000"/>
        </w:rPr>
        <w:t xml:space="preserve">Another potential concern is that we cannot observe the effect of the reform on school leaving age in </w:t>
      </w:r>
      <w:proofErr w:type="spellStart"/>
      <w:r w:rsidR="00AC16DE">
        <w:rPr>
          <w:rFonts w:ascii="Garamond" w:eastAsia="Times New Roman" w:hAnsi="Garamond"/>
          <w:color w:val="000000"/>
        </w:rPr>
        <w:t>Constances</w:t>
      </w:r>
      <w:proofErr w:type="spellEnd"/>
      <w:r w:rsidR="005F1378">
        <w:rPr>
          <w:rFonts w:ascii="Garamond" w:eastAsia="Times New Roman" w:hAnsi="Garamond"/>
          <w:color w:val="000000"/>
        </w:rPr>
        <w:t>.</w:t>
      </w:r>
      <w:r w:rsidR="00AC16DE">
        <w:rPr>
          <w:rFonts w:ascii="Garamond" w:eastAsia="Times New Roman" w:hAnsi="Garamond"/>
          <w:color w:val="000000"/>
        </w:rPr>
        <w:t xml:space="preserve"> </w:t>
      </w:r>
      <w:r w:rsidR="00DF0A36">
        <w:rPr>
          <w:rFonts w:ascii="Garamond" w:eastAsia="Times New Roman" w:hAnsi="Garamond"/>
          <w:color w:val="000000"/>
        </w:rPr>
        <w:t xml:space="preserve">However, we carried out additional analyses that compared the impact of the reform on educational attainment between </w:t>
      </w:r>
      <w:proofErr w:type="spellStart"/>
      <w:r w:rsidR="00DF0A36">
        <w:rPr>
          <w:rFonts w:ascii="Garamond" w:eastAsia="Times New Roman" w:hAnsi="Garamond"/>
          <w:color w:val="000000"/>
        </w:rPr>
        <w:t>Constances</w:t>
      </w:r>
      <w:proofErr w:type="spellEnd"/>
      <w:r w:rsidR="00DF0A36">
        <w:rPr>
          <w:rFonts w:ascii="Garamond" w:eastAsia="Times New Roman" w:hAnsi="Garamond"/>
          <w:color w:val="000000"/>
        </w:rPr>
        <w:t xml:space="preserve"> and the French LFS</w:t>
      </w:r>
      <w:r w:rsidR="005F1378">
        <w:rPr>
          <w:rFonts w:ascii="Garamond" w:eastAsia="Times New Roman" w:hAnsi="Garamond"/>
          <w:color w:val="000000"/>
        </w:rPr>
        <w:t xml:space="preserve">. Results presented in </w:t>
      </w:r>
      <w:r w:rsidR="005F1378" w:rsidRPr="005F1378">
        <w:rPr>
          <w:rFonts w:ascii="Garamond" w:eastAsia="Times New Roman" w:hAnsi="Garamond"/>
          <w:b/>
          <w:color w:val="000000"/>
        </w:rPr>
        <w:t>Appendix Table 6</w:t>
      </w:r>
      <w:r w:rsidR="005F1378">
        <w:rPr>
          <w:rFonts w:ascii="Garamond" w:eastAsia="Times New Roman" w:hAnsi="Garamond"/>
          <w:color w:val="000000"/>
        </w:rPr>
        <w:t xml:space="preserve"> indicate that the reform had nearly identical effects in </w:t>
      </w:r>
      <w:r w:rsidR="0071731D">
        <w:rPr>
          <w:rFonts w:ascii="Garamond" w:eastAsia="Times New Roman" w:hAnsi="Garamond"/>
          <w:color w:val="000000"/>
        </w:rPr>
        <w:t>the two surveys</w:t>
      </w:r>
      <w:r w:rsidR="005F1378">
        <w:rPr>
          <w:rFonts w:ascii="Garamond" w:eastAsia="Times New Roman" w:hAnsi="Garamond"/>
          <w:color w:val="000000"/>
        </w:rPr>
        <w:t>.</w:t>
      </w:r>
      <w:r w:rsidR="007C29C4">
        <w:rPr>
          <w:rFonts w:ascii="Garamond" w:hAnsi="Garamond"/>
          <w:lang w:val="en-GB"/>
        </w:rPr>
        <w:t xml:space="preserve"> </w:t>
      </w:r>
      <w:r w:rsidR="0021031F">
        <w:rPr>
          <w:rFonts w:ascii="Garamond" w:hAnsi="Garamond"/>
        </w:rPr>
        <w:t xml:space="preserve">Fourth, our RDD estimates should be understood as the long-term effects of a reform which only impacted respondents from low parental social class and those who would have left school earlier in the absence of the reform. These estimates cannot be extended to other cohorts or respondents whose time spent in school was not affected by the </w:t>
      </w:r>
      <w:proofErr w:type="spellStart"/>
      <w:r w:rsidR="0021031F">
        <w:rPr>
          <w:rFonts w:ascii="Garamond" w:hAnsi="Garamond"/>
        </w:rPr>
        <w:t>Berthoin</w:t>
      </w:r>
      <w:proofErr w:type="spellEnd"/>
      <w:r w:rsidR="0021031F">
        <w:rPr>
          <w:rFonts w:ascii="Garamond" w:hAnsi="Garamond"/>
        </w:rPr>
        <w:t xml:space="preserve"> reform. </w:t>
      </w:r>
      <w:r w:rsidR="002F16D5">
        <w:rPr>
          <w:rFonts w:ascii="Garamond" w:hAnsi="Garamond"/>
        </w:rPr>
        <w:t xml:space="preserve">They also </w:t>
      </w:r>
      <w:r w:rsidR="006E3A67">
        <w:rPr>
          <w:rFonts w:ascii="Garamond" w:hAnsi="Garamond"/>
        </w:rPr>
        <w:t xml:space="preserve">provide no information about other policies </w:t>
      </w:r>
      <w:r w:rsidR="00D751F7">
        <w:rPr>
          <w:rFonts w:ascii="Garamond" w:hAnsi="Garamond"/>
        </w:rPr>
        <w:t xml:space="preserve">that may be more effective to </w:t>
      </w:r>
      <w:r w:rsidR="00460ECF">
        <w:rPr>
          <w:rFonts w:ascii="Garamond" w:hAnsi="Garamond"/>
        </w:rPr>
        <w:t xml:space="preserve">shift the educational distribution towards higher educational attainment </w:t>
      </w:r>
      <w:r w:rsidR="00E84AC8">
        <w:rPr>
          <w:rFonts w:ascii="Garamond" w:hAnsi="Garamond"/>
        </w:rPr>
        <w:fldChar w:fldCharType="begin"/>
      </w:r>
      <w:r w:rsidR="00CC2B97">
        <w:rPr>
          <w:rFonts w:ascii="Garamond" w:hAnsi="Garamond"/>
        </w:rPr>
        <w:instrText xml:space="preserve"> ADDIN EN.CITE &lt;EndNote&gt;&lt;Cite&gt;&lt;Author&gt;Deaton&lt;/Author&gt;&lt;Year&gt;2010&lt;/Year&gt;&lt;RecNum&gt;61&lt;/RecNum&gt;&lt;DisplayText&gt;(Deaton, 2010; Heckman &amp;amp; Urzua, 2010)&lt;/DisplayText&gt;&lt;record&gt;&lt;rec-number&gt;61&lt;/rec-number&gt;&lt;foreign-keys&gt;&lt;key app="EN" db-id="p5pavdvzwwdesueaz0rxssxmtd2ext2dvwpd" timestamp="1542656737"&gt;61&lt;/key&gt;&lt;/foreign-keys&gt;&lt;ref-type name="Journal Article"&gt;17&lt;/ref-type&gt;&lt;contributors&gt;&lt;authors&gt;&lt;author&gt;Deaton, A.&lt;/author&gt;&lt;/authors&gt;&lt;/contributors&gt;&lt;titles&gt;&lt;title&gt;Instruments, randomization and learning about development&lt;/title&gt;&lt;secondary-title&gt;Journal of Economic Literature&lt;/secondary-title&gt;&lt;/titles&gt;&lt;periodical&gt;&lt;full-title&gt;Journal of Economic Literature&lt;/full-title&gt;&lt;/periodical&gt;&lt;pages&gt;424-455&lt;/pages&gt;&lt;volume&gt;48&lt;/volume&gt;&lt;dates&gt;&lt;year&gt;2010&lt;/year&gt;&lt;/dates&gt;&lt;urls&gt;&lt;/urls&gt;&lt;/record&gt;&lt;/Cite&gt;&lt;Cite&gt;&lt;Author&gt;Heckman&lt;/Author&gt;&lt;Year&gt;2010&lt;/Year&gt;&lt;RecNum&gt;62&lt;/RecNum&gt;&lt;record&gt;&lt;rec-number&gt;62&lt;/rec-number&gt;&lt;foreign-keys&gt;&lt;key app="EN" db-id="p5pavdvzwwdesueaz0rxssxmtd2ext2dvwpd" timestamp="1542656737"&gt;62&lt;/key&gt;&lt;/foreign-keys&gt;&lt;ref-type name="Journal Article"&gt;17&lt;/ref-type&gt;&lt;contributors&gt;&lt;authors&gt;&lt;author&gt;Heckman, J.J.&lt;/author&gt;&lt;author&gt;Urzua, S.&lt;/author&gt;&lt;/authors&gt;&lt;/contributors&gt;&lt;titles&gt;&lt;title&gt;Comparing IV with structural models: What simple IV can and cannot identify&lt;/title&gt;&lt;secondary-title&gt;Journal of Econometrics&lt;/secondary-title&gt;&lt;/titles&gt;&lt;periodical&gt;&lt;full-title&gt;Journal of Econometrics&lt;/full-title&gt;&lt;/periodical&gt;&lt;pages&gt;27-37&lt;/pages&gt;&lt;volume&gt;156&lt;/volume&gt;&lt;number&gt;1&lt;/number&gt;&lt;dates&gt;&lt;year&gt;2010&lt;/year&gt;&lt;/dates&gt;&lt;urls&gt;&lt;/urls&gt;&lt;/record&gt;&lt;/Cite&gt;&lt;/EndNote&gt;</w:instrText>
      </w:r>
      <w:r w:rsidR="00E84AC8">
        <w:rPr>
          <w:rFonts w:ascii="Garamond" w:hAnsi="Garamond"/>
        </w:rPr>
        <w:fldChar w:fldCharType="separate"/>
      </w:r>
      <w:r w:rsidR="00C07932">
        <w:rPr>
          <w:rFonts w:ascii="Garamond" w:hAnsi="Garamond"/>
          <w:noProof/>
        </w:rPr>
        <w:t>(</w:t>
      </w:r>
      <w:hyperlink w:anchor="_ENREF_14" w:tooltip="Deaton, 2010 #61" w:history="1">
        <w:r w:rsidR="006B1724">
          <w:rPr>
            <w:rFonts w:ascii="Garamond" w:hAnsi="Garamond"/>
            <w:noProof/>
          </w:rPr>
          <w:t>Deaton, 2010</w:t>
        </w:r>
      </w:hyperlink>
      <w:r w:rsidR="00C07932">
        <w:rPr>
          <w:rFonts w:ascii="Garamond" w:hAnsi="Garamond"/>
          <w:noProof/>
        </w:rPr>
        <w:t xml:space="preserve">; </w:t>
      </w:r>
      <w:hyperlink w:anchor="_ENREF_30" w:tooltip="Heckman, 2010 #62" w:history="1">
        <w:r w:rsidR="006B1724">
          <w:rPr>
            <w:rFonts w:ascii="Garamond" w:hAnsi="Garamond"/>
            <w:noProof/>
          </w:rPr>
          <w:t>Heckman &amp; Urzua, 2010</w:t>
        </w:r>
      </w:hyperlink>
      <w:r w:rsidR="00C07932">
        <w:rPr>
          <w:rFonts w:ascii="Garamond" w:hAnsi="Garamond"/>
          <w:noProof/>
        </w:rPr>
        <w:t>)</w:t>
      </w:r>
      <w:r w:rsidR="00E84AC8">
        <w:rPr>
          <w:rFonts w:ascii="Garamond" w:hAnsi="Garamond"/>
        </w:rPr>
        <w:fldChar w:fldCharType="end"/>
      </w:r>
      <w:r w:rsidR="0045247A">
        <w:rPr>
          <w:rFonts w:ascii="Garamond" w:hAnsi="Garamond"/>
        </w:rPr>
        <w:t>.</w:t>
      </w:r>
      <w:r w:rsidR="00416150">
        <w:rPr>
          <w:rFonts w:ascii="Garamond" w:hAnsi="Garamond"/>
        </w:rPr>
        <w:t xml:space="preserve"> </w:t>
      </w:r>
      <w:r w:rsidR="001149AF">
        <w:rPr>
          <w:rFonts w:ascii="Garamond" w:hAnsi="Garamond"/>
        </w:rPr>
        <w:t xml:space="preserve">Finally, </w:t>
      </w:r>
      <w:r w:rsidR="00460ECF">
        <w:rPr>
          <w:rFonts w:ascii="Garamond" w:hAnsi="Garamond"/>
        </w:rPr>
        <w:t>recent review</w:t>
      </w:r>
      <w:r w:rsidR="001149AF">
        <w:rPr>
          <w:rFonts w:ascii="Garamond" w:hAnsi="Garamond"/>
        </w:rPr>
        <w:t>s</w:t>
      </w:r>
      <w:r w:rsidR="00460ECF">
        <w:rPr>
          <w:rFonts w:ascii="Garamond" w:hAnsi="Garamond"/>
        </w:rPr>
        <w:t xml:space="preserve"> outlined that the health effects of compulsory schooling laws are context- and time-dependent</w:t>
      </w:r>
      <w:r w:rsidR="0056492B">
        <w:rPr>
          <w:rFonts w:ascii="Garamond" w:hAnsi="Garamond"/>
        </w:rPr>
        <w:t xml:space="preserve"> </w:t>
      </w:r>
      <w:r w:rsidR="0056492B">
        <w:rPr>
          <w:rFonts w:ascii="Garamond" w:hAnsi="Garamond"/>
        </w:rPr>
        <w:fldChar w:fldCharType="begin"/>
      </w:r>
      <w:r w:rsidR="00CC2B97">
        <w:rPr>
          <w:rFonts w:ascii="Garamond" w:hAnsi="Garamond"/>
        </w:rPr>
        <w:instrText xml:space="preserve"> ADDIN EN.CITE &lt;EndNote&gt;&lt;Cite&gt;&lt;Author&gt;Galama&lt;/Author&gt;&lt;Year&gt;2018&lt;/Year&gt;&lt;RecNum&gt;52&lt;/RecNum&gt;&lt;DisplayText&gt;(Galama et al., 2018; Hamad et al., 2018)&lt;/DisplayText&gt;&lt;record&gt;&lt;rec-number&gt;52&lt;/rec-number&gt;&lt;foreign-keys&gt;&lt;key app="EN" db-id="p5pavdvzwwdesueaz0rxssxmtd2ext2dvwpd" timestamp="1542656736"&gt;52&lt;/key&gt;&lt;/foreign-keys&gt;&lt;ref-type name="Book"&gt;6&lt;/ref-type&gt;&lt;contributors&gt;&lt;authors&gt;&lt;author&gt;Galama, Titus J&lt;/author&gt;&lt;author&gt;Lleras-Muney, Adriana&lt;/author&gt;&lt;author&gt;van Kippersluis, Hans&lt;/author&gt;&lt;/authors&gt;&lt;/contributors&gt;&lt;titles&gt;&lt;title&gt;The Effect of Education on Health and Mortality: A Review of Experimental and Quasi-Experimental Evidence&lt;/title&gt;&lt;/titles&gt;&lt;dates&gt;&lt;year&gt;2018&lt;/year&gt;&lt;/dates&gt;&lt;pub-location&gt;Boston, MA&lt;/pub-location&gt;&lt;publisher&gt;National Bureau of Economic Research&lt;/publisher&gt;&lt;urls&gt;&lt;/urls&gt;&lt;/record&gt;&lt;/Cite&gt;&lt;Cite&gt;&lt;Author&gt;Hamad&lt;/Author&gt;&lt;Year&gt;2018&lt;/Year&gt;&lt;RecNum&gt;29&lt;/RecNum&gt;&lt;record&gt;&lt;rec-number&gt;29&lt;/rec-number&gt;&lt;foreign-keys&gt;&lt;key app="EN" db-id="p5pavdvzwwdesueaz0rxssxmtd2ext2dvwpd" timestamp="1542656736"&gt;29&lt;/key&gt;&lt;/foreign-keys&gt;&lt;ref-type name="Journal Article"&gt;17&lt;/ref-type&gt;&lt;contributors&gt;&lt;authors&gt;&lt;author&gt;Hamad, R.&lt;/author&gt;&lt;author&gt;Elser, H.&lt;/author&gt;&lt;author&gt;Tran, D.C.&lt;/author&gt;&lt;author&gt;Rehkopf, D.H.&lt;/author&gt;&lt;author&gt;Goodman, S.N.&lt;/author&gt;&lt;/authors&gt;&lt;/contributors&gt;&lt;titles&gt;&lt;title&gt;How and why studies disagree about the effects of education on health: a systematic review and meta-analysis of studies of compulsory schooling laws&lt;/title&gt;&lt;secondary-title&gt;Social Science &amp;amp; Medicine&lt;/secondary-title&gt;&lt;/titles&gt;&lt;periodical&gt;&lt;full-title&gt;Social Science &amp;amp; Medicine&lt;/full-title&gt;&lt;/periodical&gt;&lt;pages&gt;168-178&lt;/pages&gt;&lt;volume&gt;212&lt;/volume&gt;&lt;dates&gt;&lt;year&gt;2018&lt;/year&gt;&lt;/dates&gt;&lt;urls&gt;&lt;/urls&gt;&lt;/record&gt;&lt;/Cite&gt;&lt;/EndNote&gt;</w:instrText>
      </w:r>
      <w:r w:rsidR="0056492B">
        <w:rPr>
          <w:rFonts w:ascii="Garamond" w:hAnsi="Garamond"/>
        </w:rPr>
        <w:fldChar w:fldCharType="separate"/>
      </w:r>
      <w:r w:rsidR="00C07932">
        <w:rPr>
          <w:rFonts w:ascii="Garamond" w:hAnsi="Garamond"/>
          <w:noProof/>
        </w:rPr>
        <w:t>(</w:t>
      </w:r>
      <w:hyperlink w:anchor="_ENREF_23" w:tooltip="Galama, 2018 #52" w:history="1">
        <w:r w:rsidR="006B1724">
          <w:rPr>
            <w:rFonts w:ascii="Garamond" w:hAnsi="Garamond"/>
            <w:noProof/>
          </w:rPr>
          <w:t>Galama et al., 2018</w:t>
        </w:r>
      </w:hyperlink>
      <w:r w:rsidR="00C07932">
        <w:rPr>
          <w:rFonts w:ascii="Garamond" w:hAnsi="Garamond"/>
          <w:noProof/>
        </w:rPr>
        <w:t xml:space="preserve">; </w:t>
      </w:r>
      <w:hyperlink w:anchor="_ENREF_29" w:tooltip="Hamad, 2018 #29" w:history="1">
        <w:r w:rsidR="006B1724">
          <w:rPr>
            <w:rFonts w:ascii="Garamond" w:hAnsi="Garamond"/>
            <w:noProof/>
          </w:rPr>
          <w:t>Hamad et al., 2018</w:t>
        </w:r>
      </w:hyperlink>
      <w:r w:rsidR="00C07932">
        <w:rPr>
          <w:rFonts w:ascii="Garamond" w:hAnsi="Garamond"/>
          <w:noProof/>
        </w:rPr>
        <w:t>)</w:t>
      </w:r>
      <w:r w:rsidR="0056492B">
        <w:rPr>
          <w:rFonts w:ascii="Garamond" w:hAnsi="Garamond"/>
        </w:rPr>
        <w:fldChar w:fldCharType="end"/>
      </w:r>
      <w:r w:rsidR="00460ECF">
        <w:rPr>
          <w:rFonts w:ascii="Garamond" w:hAnsi="Garamond"/>
        </w:rPr>
        <w:t>: reforms implemented in other countries earlier in the 20</w:t>
      </w:r>
      <w:r w:rsidR="00460ECF" w:rsidRPr="00460ECF">
        <w:rPr>
          <w:rFonts w:ascii="Garamond" w:hAnsi="Garamond"/>
          <w:vertAlign w:val="superscript"/>
        </w:rPr>
        <w:t>th</w:t>
      </w:r>
      <w:r w:rsidR="00460ECF">
        <w:rPr>
          <w:rFonts w:ascii="Garamond" w:hAnsi="Garamond"/>
        </w:rPr>
        <w:t xml:space="preserve"> century have </w:t>
      </w:r>
      <w:r w:rsidR="0056492B">
        <w:rPr>
          <w:rFonts w:ascii="Garamond" w:hAnsi="Garamond"/>
        </w:rPr>
        <w:t xml:space="preserve">often </w:t>
      </w:r>
      <w:r w:rsidR="00460ECF">
        <w:rPr>
          <w:rFonts w:ascii="Garamond" w:hAnsi="Garamond"/>
        </w:rPr>
        <w:t xml:space="preserve">been more successful </w:t>
      </w:r>
      <w:r w:rsidR="00F64697">
        <w:rPr>
          <w:rFonts w:ascii="Garamond" w:hAnsi="Garamond"/>
        </w:rPr>
        <w:t xml:space="preserve">than the </w:t>
      </w:r>
      <w:proofErr w:type="spellStart"/>
      <w:r w:rsidR="00F64697">
        <w:rPr>
          <w:rFonts w:ascii="Garamond" w:hAnsi="Garamond"/>
        </w:rPr>
        <w:t>Berthoin</w:t>
      </w:r>
      <w:proofErr w:type="spellEnd"/>
      <w:r w:rsidR="00F64697">
        <w:rPr>
          <w:rFonts w:ascii="Garamond" w:hAnsi="Garamond"/>
        </w:rPr>
        <w:t xml:space="preserve"> reform </w:t>
      </w:r>
      <w:r w:rsidR="00460ECF">
        <w:rPr>
          <w:rFonts w:ascii="Garamond" w:hAnsi="Garamond"/>
        </w:rPr>
        <w:t>in raising educat</w:t>
      </w:r>
      <w:r w:rsidR="00F64697">
        <w:rPr>
          <w:rFonts w:ascii="Garamond" w:hAnsi="Garamond"/>
        </w:rPr>
        <w:t>ional attainment, improving socioeconom</w:t>
      </w:r>
      <w:r w:rsidR="0056492B">
        <w:rPr>
          <w:rFonts w:ascii="Garamond" w:hAnsi="Garamond"/>
        </w:rPr>
        <w:t xml:space="preserve">ic outcomes and ultimately health. </w:t>
      </w:r>
      <w:r w:rsidR="00E77763">
        <w:rPr>
          <w:rFonts w:ascii="Garamond" w:hAnsi="Garamond"/>
        </w:rPr>
        <w:t>These differences</w:t>
      </w:r>
      <w:r w:rsidR="00CE7522">
        <w:rPr>
          <w:rFonts w:ascii="Garamond" w:hAnsi="Garamond"/>
        </w:rPr>
        <w:t xml:space="preserve"> in the way compulsory reforms affect key intermediate outcomes </w:t>
      </w:r>
      <w:r w:rsidR="001149AF">
        <w:rPr>
          <w:rFonts w:ascii="Garamond" w:hAnsi="Garamond"/>
        </w:rPr>
        <w:t xml:space="preserve">should be </w:t>
      </w:r>
      <w:r w:rsidR="005D51A4">
        <w:rPr>
          <w:rFonts w:ascii="Garamond" w:hAnsi="Garamond"/>
        </w:rPr>
        <w:t>considered</w:t>
      </w:r>
      <w:r w:rsidR="00CE7522">
        <w:rPr>
          <w:rFonts w:ascii="Garamond" w:hAnsi="Garamond"/>
        </w:rPr>
        <w:t xml:space="preserve"> when comparing estimates across countries. </w:t>
      </w:r>
    </w:p>
    <w:p w14:paraId="54E33F62" w14:textId="77777777" w:rsidR="00504E29" w:rsidRDefault="00504E29" w:rsidP="00FF19F7">
      <w:pPr>
        <w:spacing w:line="480" w:lineRule="auto"/>
        <w:ind w:firstLine="720"/>
        <w:jc w:val="both"/>
        <w:rPr>
          <w:rFonts w:ascii="Garamond" w:hAnsi="Garamond"/>
        </w:rPr>
      </w:pPr>
    </w:p>
    <w:p w14:paraId="7977CCFD" w14:textId="790A8512" w:rsidR="00D6538C" w:rsidRDefault="00FF19F7" w:rsidP="00D6538C">
      <w:pPr>
        <w:spacing w:line="480" w:lineRule="auto"/>
        <w:ind w:firstLine="720"/>
        <w:jc w:val="both"/>
        <w:rPr>
          <w:rFonts w:ascii="Garamond" w:hAnsi="Garamond"/>
        </w:rPr>
      </w:pPr>
      <w:r>
        <w:rPr>
          <w:rFonts w:ascii="Garamond" w:hAnsi="Garamond"/>
        </w:rPr>
        <w:t xml:space="preserve">Overall, our study contributes to </w:t>
      </w:r>
      <w:r w:rsidR="006F661B">
        <w:rPr>
          <w:rFonts w:ascii="Garamond" w:hAnsi="Garamond"/>
        </w:rPr>
        <w:t xml:space="preserve">a </w:t>
      </w:r>
      <w:r>
        <w:rPr>
          <w:rFonts w:ascii="Garamond" w:hAnsi="Garamond"/>
        </w:rPr>
        <w:t xml:space="preserve">growing literature that </w:t>
      </w:r>
      <w:r w:rsidR="006F661B">
        <w:rPr>
          <w:rFonts w:ascii="Garamond" w:hAnsi="Garamond"/>
        </w:rPr>
        <w:t>uses</w:t>
      </w:r>
      <w:r>
        <w:rPr>
          <w:rFonts w:ascii="Garamond" w:hAnsi="Garamond"/>
        </w:rPr>
        <w:t xml:space="preserve"> quasi-experimental design</w:t>
      </w:r>
      <w:r w:rsidR="001149AF">
        <w:rPr>
          <w:rFonts w:ascii="Garamond" w:hAnsi="Garamond"/>
        </w:rPr>
        <w:t>s</w:t>
      </w:r>
      <w:r>
        <w:rPr>
          <w:rFonts w:ascii="Garamond" w:hAnsi="Garamond"/>
        </w:rPr>
        <w:t xml:space="preserve"> to estimate the impact of changes in </w:t>
      </w:r>
      <w:r w:rsidR="001538BA">
        <w:rPr>
          <w:rFonts w:ascii="Garamond" w:hAnsi="Garamond"/>
        </w:rPr>
        <w:t>schooling duration</w:t>
      </w:r>
      <w:r w:rsidR="00A67039">
        <w:rPr>
          <w:rFonts w:ascii="Garamond" w:hAnsi="Garamond"/>
        </w:rPr>
        <w:t xml:space="preserve"> </w:t>
      </w:r>
      <w:r>
        <w:rPr>
          <w:rFonts w:ascii="Garamond" w:hAnsi="Garamond"/>
        </w:rPr>
        <w:t>on health</w:t>
      </w:r>
      <w:r w:rsidR="00460ECF">
        <w:rPr>
          <w:rFonts w:ascii="Garamond" w:hAnsi="Garamond"/>
        </w:rPr>
        <w:t>;</w:t>
      </w:r>
      <w:r>
        <w:rPr>
          <w:rFonts w:ascii="Garamond" w:hAnsi="Garamond"/>
        </w:rPr>
        <w:t xml:space="preserve"> </w:t>
      </w:r>
      <w:r w:rsidR="00481F12">
        <w:rPr>
          <w:rFonts w:ascii="Garamond" w:hAnsi="Garamond"/>
        </w:rPr>
        <w:t>and</w:t>
      </w:r>
      <w:r w:rsidR="001149AF">
        <w:rPr>
          <w:rFonts w:ascii="Garamond" w:hAnsi="Garamond"/>
        </w:rPr>
        <w:t xml:space="preserve"> </w:t>
      </w:r>
      <w:r>
        <w:rPr>
          <w:rFonts w:ascii="Garamond" w:hAnsi="Garamond"/>
        </w:rPr>
        <w:t xml:space="preserve">is one of the first to estimate the impacts of such reform on </w:t>
      </w:r>
      <w:r w:rsidR="00A67039">
        <w:rPr>
          <w:rFonts w:ascii="Garamond" w:hAnsi="Garamond"/>
        </w:rPr>
        <w:t xml:space="preserve">a wide range of </w:t>
      </w:r>
      <w:r w:rsidR="0098533B">
        <w:rPr>
          <w:rFonts w:ascii="Garamond" w:hAnsi="Garamond"/>
        </w:rPr>
        <w:t>biomarkers</w:t>
      </w:r>
      <w:r>
        <w:rPr>
          <w:rFonts w:ascii="Garamond" w:hAnsi="Garamond"/>
        </w:rPr>
        <w:t xml:space="preserve">. We found no evidence of positive </w:t>
      </w:r>
      <w:r w:rsidR="0098533B">
        <w:rPr>
          <w:rFonts w:ascii="Garamond" w:hAnsi="Garamond"/>
        </w:rPr>
        <w:t xml:space="preserve">health </w:t>
      </w:r>
      <w:r>
        <w:rPr>
          <w:rFonts w:ascii="Garamond" w:hAnsi="Garamond"/>
        </w:rPr>
        <w:t xml:space="preserve">benefits of </w:t>
      </w:r>
      <w:r w:rsidR="0098533B">
        <w:rPr>
          <w:rFonts w:ascii="Garamond" w:hAnsi="Garamond"/>
        </w:rPr>
        <w:t xml:space="preserve">increased schooling </w:t>
      </w:r>
      <w:r>
        <w:rPr>
          <w:rFonts w:ascii="Garamond" w:hAnsi="Garamond"/>
        </w:rPr>
        <w:t xml:space="preserve">on </w:t>
      </w:r>
      <w:r w:rsidR="0098533B">
        <w:rPr>
          <w:rFonts w:ascii="Garamond" w:hAnsi="Garamond"/>
        </w:rPr>
        <w:t>biological markers</w:t>
      </w:r>
      <w:r>
        <w:rPr>
          <w:rFonts w:ascii="Garamond" w:hAnsi="Garamond"/>
        </w:rPr>
        <w:t xml:space="preserve"> of health, and some evidence of</w:t>
      </w:r>
      <w:r w:rsidR="008F3E83">
        <w:rPr>
          <w:rFonts w:ascii="Garamond" w:hAnsi="Garamond"/>
        </w:rPr>
        <w:t xml:space="preserve"> worsening blood pressure and </w:t>
      </w:r>
      <w:r w:rsidR="00BB6205">
        <w:rPr>
          <w:rFonts w:ascii="Garamond" w:hAnsi="Garamond"/>
        </w:rPr>
        <w:t>inflammation</w:t>
      </w:r>
      <w:r>
        <w:rPr>
          <w:rFonts w:ascii="Garamond" w:hAnsi="Garamond"/>
        </w:rPr>
        <w:t xml:space="preserve"> for </w:t>
      </w:r>
      <w:r w:rsidR="00EE7F1B">
        <w:rPr>
          <w:rFonts w:ascii="Garamond" w:hAnsi="Garamond"/>
        </w:rPr>
        <w:t xml:space="preserve">participants from lower </w:t>
      </w:r>
      <w:r w:rsidR="001149AF">
        <w:rPr>
          <w:rFonts w:ascii="Garamond" w:hAnsi="Garamond"/>
        </w:rPr>
        <w:t xml:space="preserve">parental </w:t>
      </w:r>
      <w:r w:rsidR="00EE7F1B">
        <w:rPr>
          <w:rFonts w:ascii="Garamond" w:hAnsi="Garamond"/>
        </w:rPr>
        <w:t>social class</w:t>
      </w:r>
      <w:r w:rsidR="008C2F58">
        <w:rPr>
          <w:rFonts w:ascii="Garamond" w:hAnsi="Garamond"/>
        </w:rPr>
        <w:t xml:space="preserve">. </w:t>
      </w:r>
      <w:r w:rsidR="007C29C4">
        <w:rPr>
          <w:rFonts w:ascii="Garamond" w:hAnsi="Garamond"/>
        </w:rPr>
        <w:t>L</w:t>
      </w:r>
      <w:r w:rsidR="00C34B30">
        <w:rPr>
          <w:rFonts w:ascii="Garamond" w:hAnsi="Garamond"/>
        </w:rPr>
        <w:t xml:space="preserve">aw-mandated increases in schooling may not bring health benefits to respondents from disadvantaged backgrounds if longer </w:t>
      </w:r>
      <w:r w:rsidR="0036166E">
        <w:rPr>
          <w:rFonts w:ascii="Garamond" w:hAnsi="Garamond"/>
        </w:rPr>
        <w:t>schooling is not translated in</w:t>
      </w:r>
      <w:r w:rsidR="00A97FC9">
        <w:rPr>
          <w:rFonts w:ascii="Garamond" w:hAnsi="Garamond"/>
        </w:rPr>
        <w:t xml:space="preserve">to improved intermediate socioeconomic </w:t>
      </w:r>
      <w:r w:rsidR="00A97FC9">
        <w:rPr>
          <w:rFonts w:ascii="Garamond" w:hAnsi="Garamond"/>
        </w:rPr>
        <w:lastRenderedPageBreak/>
        <w:t>outcomes.</w:t>
      </w:r>
      <w:r w:rsidR="0036166E">
        <w:rPr>
          <w:rFonts w:ascii="Garamond" w:hAnsi="Garamond"/>
        </w:rPr>
        <w:t xml:space="preserve"> </w:t>
      </w:r>
      <w:r w:rsidR="00BB6205">
        <w:rPr>
          <w:rFonts w:ascii="Garamond" w:hAnsi="Garamond"/>
        </w:rPr>
        <w:t xml:space="preserve">Our findings </w:t>
      </w:r>
      <w:r w:rsidR="003831AF">
        <w:rPr>
          <w:rFonts w:ascii="Garamond" w:hAnsi="Garamond"/>
        </w:rPr>
        <w:t>do not necessarily question the notion that education lead</w:t>
      </w:r>
      <w:r w:rsidR="00B80B65">
        <w:rPr>
          <w:rFonts w:ascii="Garamond" w:hAnsi="Garamond"/>
        </w:rPr>
        <w:t>s</w:t>
      </w:r>
      <w:r w:rsidR="003831AF">
        <w:rPr>
          <w:rFonts w:ascii="Garamond" w:hAnsi="Garamond"/>
        </w:rPr>
        <w:t xml:space="preserve"> to bet</w:t>
      </w:r>
      <w:r w:rsidR="00CE7522">
        <w:rPr>
          <w:rFonts w:ascii="Garamond" w:hAnsi="Garamond"/>
        </w:rPr>
        <w:t xml:space="preserve">ter health, </w:t>
      </w:r>
      <w:r w:rsidR="006A3E93">
        <w:rPr>
          <w:rFonts w:ascii="Garamond" w:hAnsi="Garamond"/>
        </w:rPr>
        <w:t xml:space="preserve">but they suggest that law-mandated increases in schooling duration alone may not be sufficient to improve the health of disadvantaged groups. </w:t>
      </w:r>
    </w:p>
    <w:p w14:paraId="1E328D27" w14:textId="77777777" w:rsidR="00D6538C" w:rsidRDefault="00D6538C">
      <w:pPr>
        <w:rPr>
          <w:rFonts w:ascii="Garamond" w:hAnsi="Garamond"/>
        </w:rPr>
      </w:pPr>
      <w:r>
        <w:rPr>
          <w:rFonts w:ascii="Garamond" w:hAnsi="Garamond"/>
        </w:rPr>
        <w:br w:type="page"/>
      </w:r>
    </w:p>
    <w:p w14:paraId="1E2CC63D" w14:textId="26936AFB" w:rsidR="000443EE" w:rsidRDefault="000443EE" w:rsidP="00C278B9">
      <w:pPr>
        <w:jc w:val="both"/>
        <w:outlineLvl w:val="0"/>
        <w:rPr>
          <w:b/>
        </w:rPr>
      </w:pPr>
      <w:r w:rsidRPr="00B2313C">
        <w:rPr>
          <w:b/>
        </w:rPr>
        <w:lastRenderedPageBreak/>
        <w:t>References</w:t>
      </w:r>
    </w:p>
    <w:p w14:paraId="36BDD8D2" w14:textId="77777777" w:rsidR="000443EE" w:rsidRPr="00B2313C" w:rsidRDefault="000443EE" w:rsidP="000443EE">
      <w:pPr>
        <w:jc w:val="both"/>
        <w:rPr>
          <w:b/>
        </w:rPr>
      </w:pPr>
    </w:p>
    <w:p w14:paraId="4D35F998" w14:textId="77777777" w:rsidR="006B1724" w:rsidRPr="006B1724" w:rsidRDefault="000443EE" w:rsidP="006B1724">
      <w:pPr>
        <w:pStyle w:val="EndNoteBibliography"/>
        <w:spacing w:after="0"/>
      </w:pPr>
      <w:r>
        <w:fldChar w:fldCharType="begin"/>
      </w:r>
      <w:r>
        <w:instrText xml:space="preserve"> ADDIN EN.REFLIST </w:instrText>
      </w:r>
      <w:r>
        <w:fldChar w:fldCharType="separate"/>
      </w:r>
      <w:bookmarkStart w:id="0" w:name="_ENREF_1"/>
      <w:r w:rsidR="006B1724" w:rsidRPr="006B1724">
        <w:t xml:space="preserve">Albouy, V., &amp; Lequien, L. (2009). Does compulsory education lower mortality? </w:t>
      </w:r>
      <w:r w:rsidR="006B1724" w:rsidRPr="006B1724">
        <w:rPr>
          <w:i/>
        </w:rPr>
        <w:t>Journal of Health Economics, 28</w:t>
      </w:r>
      <w:r w:rsidR="006B1724" w:rsidRPr="006B1724">
        <w:t xml:space="preserve">, 155-168. </w:t>
      </w:r>
      <w:bookmarkEnd w:id="0"/>
    </w:p>
    <w:p w14:paraId="08585F01" w14:textId="77777777" w:rsidR="006B1724" w:rsidRPr="006B1724" w:rsidRDefault="006B1724" w:rsidP="006B1724">
      <w:pPr>
        <w:pStyle w:val="EndNoteBibliography"/>
        <w:spacing w:after="0"/>
      </w:pPr>
      <w:bookmarkStart w:id="1" w:name="_ENREF_2"/>
      <w:r w:rsidRPr="006B1724">
        <w:t xml:space="preserve">Allaire, M., &amp; Franck, M.-T. (Eds.). (1995). </w:t>
      </w:r>
      <w:r w:rsidRPr="006B1724">
        <w:rPr>
          <w:i/>
        </w:rPr>
        <w:t>Les politiques de l'education en France. De la maternelle au baccalaureat</w:t>
      </w:r>
      <w:r w:rsidRPr="006B1724">
        <w:t>. Paris, France: La Documentation Francaise.</w:t>
      </w:r>
      <w:bookmarkEnd w:id="1"/>
    </w:p>
    <w:p w14:paraId="039C20E5" w14:textId="77777777" w:rsidR="006B1724" w:rsidRPr="006B1724" w:rsidRDefault="006B1724" w:rsidP="006B1724">
      <w:pPr>
        <w:pStyle w:val="EndNoteBibliography"/>
        <w:spacing w:after="0"/>
      </w:pPr>
      <w:bookmarkStart w:id="2" w:name="_ENREF_3"/>
      <w:r w:rsidRPr="006B1724">
        <w:t xml:space="preserve">Banks, J., &amp; Mazzona, F. (2012). The effect of education on old age cognitive abilities: evidence from a Regression Discontinuity Design. </w:t>
      </w:r>
      <w:r w:rsidRPr="006B1724">
        <w:rPr>
          <w:i/>
        </w:rPr>
        <w:t>The Economic Journal, 122</w:t>
      </w:r>
      <w:r w:rsidRPr="006B1724">
        <w:t xml:space="preserve">(560), 418-448. </w:t>
      </w:r>
      <w:bookmarkEnd w:id="2"/>
    </w:p>
    <w:p w14:paraId="66B36D66" w14:textId="77777777" w:rsidR="006B1724" w:rsidRPr="006B1724" w:rsidRDefault="006B1724" w:rsidP="006B1724">
      <w:pPr>
        <w:pStyle w:val="EndNoteBibliography"/>
        <w:spacing w:after="0"/>
      </w:pPr>
      <w:bookmarkStart w:id="3" w:name="_ENREF_4"/>
      <w:r w:rsidRPr="006B1724">
        <w:t xml:space="preserve">Barcellos, S. H., Carvalho, L. S., &amp; Turley, P. (2018). Distributional effects of education on health. </w:t>
      </w:r>
      <w:r w:rsidRPr="006B1724">
        <w:rPr>
          <w:i/>
        </w:rPr>
        <w:t>Mimeo</w:t>
      </w:r>
      <w:r w:rsidRPr="006B1724">
        <w:t xml:space="preserve">. </w:t>
      </w:r>
      <w:bookmarkEnd w:id="3"/>
    </w:p>
    <w:p w14:paraId="143C5346" w14:textId="77777777" w:rsidR="006B1724" w:rsidRPr="006B1724" w:rsidRDefault="006B1724" w:rsidP="006B1724">
      <w:pPr>
        <w:pStyle w:val="EndNoteBibliography"/>
        <w:spacing w:after="0"/>
      </w:pPr>
      <w:bookmarkStart w:id="4" w:name="_ENREF_5"/>
      <w:r w:rsidRPr="006B1724">
        <w:t xml:space="preserve">Bitler, M. P., Gelbach, J. B., &amp; Hoynes, H. W. (2006). What mean impacts miss: distributional effects of welfare reform experiments. </w:t>
      </w:r>
      <w:r w:rsidRPr="006B1724">
        <w:rPr>
          <w:i/>
        </w:rPr>
        <w:t>American Economic Review, 96</w:t>
      </w:r>
      <w:r w:rsidRPr="006B1724">
        <w:t xml:space="preserve">(4), 988-1012. </w:t>
      </w:r>
      <w:bookmarkEnd w:id="4"/>
    </w:p>
    <w:p w14:paraId="4F1A92BA" w14:textId="77777777" w:rsidR="006B1724" w:rsidRPr="006B1724" w:rsidRDefault="006B1724" w:rsidP="006B1724">
      <w:pPr>
        <w:pStyle w:val="EndNoteBibliography"/>
        <w:spacing w:after="0"/>
      </w:pPr>
      <w:bookmarkStart w:id="5" w:name="_ENREF_6"/>
      <w:r w:rsidRPr="006B1724">
        <w:t xml:space="preserve">Brody, G. H., Yu, T., Chen, E., Miller, G. E., Kogan, S. M., &amp; Beach, S. R. H. (2013). Is resilience only skin deep? Rural African Americans' socioeconomic status-related risk and competence in preadolescence and psychological adjustment and allostatic load at age 19. </w:t>
      </w:r>
      <w:r w:rsidRPr="006B1724">
        <w:rPr>
          <w:i/>
        </w:rPr>
        <w:t>Psychological Science, 24</w:t>
      </w:r>
      <w:r w:rsidRPr="006B1724">
        <w:t xml:space="preserve">, 1283-1295. </w:t>
      </w:r>
      <w:bookmarkEnd w:id="5"/>
    </w:p>
    <w:p w14:paraId="2AF630FA" w14:textId="77777777" w:rsidR="006B1724" w:rsidRPr="006B1724" w:rsidRDefault="006B1724" w:rsidP="006B1724">
      <w:pPr>
        <w:pStyle w:val="EndNoteBibliography"/>
        <w:spacing w:after="0"/>
      </w:pPr>
      <w:bookmarkStart w:id="6" w:name="_ENREF_7"/>
      <w:r w:rsidRPr="006B1724">
        <w:t xml:space="preserve">Brunello, G., Fort, M., &amp; Weber, G. (2009). Changes in compulsory schooling, education and the distribution of wages in Europe. </w:t>
      </w:r>
      <w:r w:rsidRPr="006B1724">
        <w:rPr>
          <w:i/>
        </w:rPr>
        <w:t>The Economic Journal, 119</w:t>
      </w:r>
      <w:r w:rsidRPr="006B1724">
        <w:t xml:space="preserve">(536), 516-539. </w:t>
      </w:r>
      <w:bookmarkEnd w:id="6"/>
    </w:p>
    <w:p w14:paraId="748F01BB" w14:textId="77777777" w:rsidR="006B1724" w:rsidRPr="006B1724" w:rsidRDefault="006B1724" w:rsidP="006B1724">
      <w:pPr>
        <w:pStyle w:val="EndNoteBibliography"/>
        <w:spacing w:after="0"/>
      </w:pPr>
      <w:bookmarkStart w:id="7" w:name="_ENREF_8"/>
      <w:r w:rsidRPr="006B1724">
        <w:t xml:space="preserve">Case, A., Fertig, A., &amp; Paxson, C. (2005). The lasting impact of childhood health and circumstance. </w:t>
      </w:r>
      <w:r w:rsidRPr="006B1724">
        <w:rPr>
          <w:i/>
        </w:rPr>
        <w:t>Journal of Health Economics, 24</w:t>
      </w:r>
      <w:r w:rsidRPr="006B1724">
        <w:t xml:space="preserve">(2005), 365-389. </w:t>
      </w:r>
      <w:bookmarkEnd w:id="7"/>
    </w:p>
    <w:p w14:paraId="679CDEFA" w14:textId="77777777" w:rsidR="006B1724" w:rsidRPr="006B1724" w:rsidRDefault="006B1724" w:rsidP="006B1724">
      <w:pPr>
        <w:pStyle w:val="EndNoteBibliography"/>
        <w:spacing w:after="0"/>
      </w:pPr>
      <w:bookmarkStart w:id="8" w:name="_ENREF_9"/>
      <w:r w:rsidRPr="006B1724">
        <w:t xml:space="preserve">Chen, X., &amp; Wang, Y. (2008). Tracking of blood pressure from childhood to adulthood. </w:t>
      </w:r>
      <w:r w:rsidRPr="006B1724">
        <w:rPr>
          <w:i/>
        </w:rPr>
        <w:t>Circulation, 117</w:t>
      </w:r>
      <w:r w:rsidRPr="006B1724">
        <w:t xml:space="preserve">(25), 3171-3180. </w:t>
      </w:r>
      <w:bookmarkEnd w:id="8"/>
    </w:p>
    <w:p w14:paraId="36210242" w14:textId="77777777" w:rsidR="006B1724" w:rsidRPr="006B1724" w:rsidRDefault="006B1724" w:rsidP="006B1724">
      <w:pPr>
        <w:pStyle w:val="EndNoteBibliography"/>
        <w:spacing w:after="0"/>
      </w:pPr>
      <w:bookmarkStart w:id="9" w:name="_ENREF_10"/>
      <w:r w:rsidRPr="006B1724">
        <w:t xml:space="preserve">Clark, D., &amp; Royer, H. (2013). The effect of education on adult mortality and health: Evidence from Britain. </w:t>
      </w:r>
      <w:r w:rsidRPr="006B1724">
        <w:rPr>
          <w:i/>
        </w:rPr>
        <w:t>American Economic Review, 103</w:t>
      </w:r>
      <w:r w:rsidRPr="006B1724">
        <w:t>(6), 2087-2120. doi:doi: 10.1257/aer.103.6.2087</w:t>
      </w:r>
      <w:bookmarkEnd w:id="9"/>
    </w:p>
    <w:p w14:paraId="48750447" w14:textId="77777777" w:rsidR="006B1724" w:rsidRPr="006B1724" w:rsidRDefault="006B1724" w:rsidP="006B1724">
      <w:pPr>
        <w:pStyle w:val="EndNoteBibliography"/>
        <w:spacing w:after="0"/>
      </w:pPr>
      <w:bookmarkStart w:id="10" w:name="_ENREF_11"/>
      <w:r w:rsidRPr="006B1724">
        <w:t xml:space="preserve">Crimmins, E. M., &amp; Seeman, T. E. (2004). Integrating Biology into the Study of Health Disparities. </w:t>
      </w:r>
      <w:r w:rsidRPr="006B1724">
        <w:rPr>
          <w:i/>
        </w:rPr>
        <w:t>Population Council, 30</w:t>
      </w:r>
      <w:r w:rsidRPr="006B1724">
        <w:t xml:space="preserve">, 89-107. </w:t>
      </w:r>
      <w:bookmarkEnd w:id="10"/>
    </w:p>
    <w:p w14:paraId="34F56FAB" w14:textId="77777777" w:rsidR="006B1724" w:rsidRPr="006B1724" w:rsidRDefault="006B1724" w:rsidP="006B1724">
      <w:pPr>
        <w:pStyle w:val="EndNoteBibliography"/>
        <w:spacing w:after="0"/>
      </w:pPr>
      <w:bookmarkStart w:id="11" w:name="_ENREF_12"/>
      <w:r w:rsidRPr="006B1724">
        <w:t xml:space="preserve">Cutler, D. M., &amp; Lleras-Muney, A. (2012). </w:t>
      </w:r>
      <w:r w:rsidRPr="006B1724">
        <w:rPr>
          <w:i/>
        </w:rPr>
        <w:t>Education and health: insights from international comparisons</w:t>
      </w:r>
      <w:r w:rsidRPr="006B1724">
        <w:t>. Boston, MA: National Bureau of Economic Research.</w:t>
      </w:r>
      <w:bookmarkEnd w:id="11"/>
    </w:p>
    <w:p w14:paraId="02C0EF52" w14:textId="77777777" w:rsidR="006B1724" w:rsidRPr="006B1724" w:rsidRDefault="006B1724" w:rsidP="006B1724">
      <w:pPr>
        <w:pStyle w:val="EndNoteBibliography"/>
        <w:spacing w:after="0"/>
      </w:pPr>
      <w:bookmarkStart w:id="12" w:name="_ENREF_13"/>
      <w:r w:rsidRPr="006B1724">
        <w:t xml:space="preserve">Davies, N. M., Dickson, M., Davey Smith, G., van den Berg, G. J., &amp; Windmeijer, F. (2018). The causal effects of education on health outcomes in the UK Biobank. </w:t>
      </w:r>
      <w:r w:rsidRPr="006B1724">
        <w:rPr>
          <w:i/>
        </w:rPr>
        <w:t>Nature Human Behaviour, 2</w:t>
      </w:r>
      <w:r w:rsidRPr="006B1724">
        <w:t xml:space="preserve">, 117-125. </w:t>
      </w:r>
      <w:bookmarkEnd w:id="12"/>
    </w:p>
    <w:p w14:paraId="12E41B2D" w14:textId="77777777" w:rsidR="006B1724" w:rsidRPr="006B1724" w:rsidRDefault="006B1724" w:rsidP="006B1724">
      <w:pPr>
        <w:pStyle w:val="EndNoteBibliography"/>
        <w:spacing w:after="0"/>
      </w:pPr>
      <w:bookmarkStart w:id="13" w:name="_ENREF_14"/>
      <w:r w:rsidRPr="006B1724">
        <w:t xml:space="preserve">Deaton, A. (2010). Instruments, randomization and learning about development. </w:t>
      </w:r>
      <w:r w:rsidRPr="006B1724">
        <w:rPr>
          <w:i/>
        </w:rPr>
        <w:t>Journal of Economic Literature, 48</w:t>
      </w:r>
      <w:r w:rsidRPr="006B1724">
        <w:t xml:space="preserve">, 424-455. </w:t>
      </w:r>
      <w:bookmarkEnd w:id="13"/>
    </w:p>
    <w:p w14:paraId="21FA798F" w14:textId="77777777" w:rsidR="006B1724" w:rsidRPr="006B1724" w:rsidRDefault="006B1724" w:rsidP="006B1724">
      <w:pPr>
        <w:pStyle w:val="EndNoteBibliography"/>
        <w:spacing w:after="0"/>
      </w:pPr>
      <w:bookmarkStart w:id="14" w:name="_ENREF_15"/>
      <w:r w:rsidRPr="006B1724">
        <w:t xml:space="preserve">Defresne, F., &amp; Krop, J. (2016). </w:t>
      </w:r>
      <w:r w:rsidRPr="006B1724">
        <w:rPr>
          <w:i/>
        </w:rPr>
        <w:t xml:space="preserve">La massification scolaire sous la Ve république : Une mise en perspective des statistiques de l’Éducation nationale (1958-2014). </w:t>
      </w:r>
      <w:r w:rsidRPr="006B1724">
        <w:t>. Paris: Ministère de l’éducation nationale.</w:t>
      </w:r>
      <w:bookmarkEnd w:id="14"/>
    </w:p>
    <w:p w14:paraId="4D9B8C7D" w14:textId="77777777" w:rsidR="006B1724" w:rsidRPr="006B1724" w:rsidRDefault="006B1724" w:rsidP="006B1724">
      <w:pPr>
        <w:pStyle w:val="EndNoteBibliography"/>
        <w:spacing w:after="0"/>
      </w:pPr>
      <w:bookmarkStart w:id="15" w:name="_ENREF_16"/>
      <w:r w:rsidRPr="006B1724">
        <w:t xml:space="preserve">Djebbari, H., &amp; Smith, J. A. (2008). Heterogenous impacts in PROGRESA. </w:t>
      </w:r>
      <w:r w:rsidRPr="006B1724">
        <w:rPr>
          <w:i/>
        </w:rPr>
        <w:t>Journal of Econometrics, 145</w:t>
      </w:r>
      <w:r w:rsidRPr="006B1724">
        <w:t xml:space="preserve">(1), 64-80. </w:t>
      </w:r>
      <w:bookmarkEnd w:id="15"/>
    </w:p>
    <w:p w14:paraId="620774F1" w14:textId="77777777" w:rsidR="006B1724" w:rsidRPr="006B1724" w:rsidRDefault="006B1724" w:rsidP="006B1724">
      <w:pPr>
        <w:pStyle w:val="EndNoteBibliography"/>
        <w:spacing w:after="0"/>
      </w:pPr>
      <w:bookmarkStart w:id="16" w:name="_ENREF_17"/>
      <w:r w:rsidRPr="006B1724">
        <w:t xml:space="preserve">Donegani, J. M., &amp; Sadoun, M. (1976). La reforme de l'enseignement secondaire en France depuis 1945: Analyse d'une non-decision. </w:t>
      </w:r>
      <w:r w:rsidRPr="006B1724">
        <w:rPr>
          <w:i/>
        </w:rPr>
        <w:t>Revue Francaise de Science Politique, 26</w:t>
      </w:r>
      <w:r w:rsidRPr="006B1724">
        <w:t xml:space="preserve">(6), 1125-1146. </w:t>
      </w:r>
      <w:bookmarkEnd w:id="16"/>
    </w:p>
    <w:p w14:paraId="18310B0B" w14:textId="77777777" w:rsidR="006B1724" w:rsidRPr="006B1724" w:rsidRDefault="006B1724" w:rsidP="006B1724">
      <w:pPr>
        <w:pStyle w:val="EndNoteBibliography"/>
        <w:spacing w:after="0"/>
      </w:pPr>
      <w:bookmarkStart w:id="17" w:name="_ENREF_18"/>
      <w:r w:rsidRPr="006B1724">
        <w:t xml:space="preserve">Dowd, J. B., &amp; Goldman, N. (2006). Do biomarkers of stress mediate the relation between socioeconomic status and health? </w:t>
      </w:r>
      <w:r w:rsidRPr="006B1724">
        <w:rPr>
          <w:i/>
        </w:rPr>
        <w:t>Journal of Epidemiology &amp; Community Health, 60</w:t>
      </w:r>
      <w:r w:rsidRPr="006B1724">
        <w:t xml:space="preserve">(7), 633-639. </w:t>
      </w:r>
      <w:bookmarkEnd w:id="17"/>
    </w:p>
    <w:p w14:paraId="3026770C" w14:textId="77777777" w:rsidR="006B1724" w:rsidRPr="006B1724" w:rsidRDefault="006B1724" w:rsidP="006B1724">
      <w:pPr>
        <w:pStyle w:val="EndNoteBibliography"/>
        <w:spacing w:after="0"/>
      </w:pPr>
      <w:bookmarkStart w:id="18" w:name="_ENREF_19"/>
      <w:r w:rsidRPr="006B1724">
        <w:t xml:space="preserve">Dowd, J. B., Simanek, A. M., &amp; Aiello, A. E. (2009). Socio-economic status, cortisol and allostatic load: a review of the literature. </w:t>
      </w:r>
      <w:r w:rsidRPr="006B1724">
        <w:rPr>
          <w:i/>
        </w:rPr>
        <w:t>International Journal of Epidemiology, 38</w:t>
      </w:r>
      <w:r w:rsidRPr="006B1724">
        <w:t xml:space="preserve">(5), 1297-1309. </w:t>
      </w:r>
      <w:bookmarkEnd w:id="18"/>
    </w:p>
    <w:p w14:paraId="31CE908B" w14:textId="77777777" w:rsidR="006B1724" w:rsidRPr="006B1724" w:rsidRDefault="006B1724" w:rsidP="006B1724">
      <w:pPr>
        <w:pStyle w:val="EndNoteBibliography"/>
        <w:spacing w:after="0"/>
      </w:pPr>
      <w:bookmarkStart w:id="19" w:name="_ENREF_20"/>
      <w:r w:rsidRPr="006B1724">
        <w:t xml:space="preserve">Dowd, J. B., &amp; Todd, M. (2011). Does Self-reported Health Bias the Measurement of Health Inequalities in U.S. Adults? Evidence Using Anchoring Vignettes from the Health and Retirement Study. </w:t>
      </w:r>
      <w:r w:rsidRPr="006B1724">
        <w:rPr>
          <w:i/>
        </w:rPr>
        <w:t>The Journals of Gerontology Series B: Psychological Sciences and Social Sciences, 66</w:t>
      </w:r>
      <w:r w:rsidRPr="006B1724">
        <w:t xml:space="preserve">(4), 478-489. </w:t>
      </w:r>
      <w:bookmarkEnd w:id="19"/>
    </w:p>
    <w:p w14:paraId="2D0F597B" w14:textId="77777777" w:rsidR="006B1724" w:rsidRPr="006B1724" w:rsidRDefault="006B1724" w:rsidP="006B1724">
      <w:pPr>
        <w:pStyle w:val="EndNoteBibliography"/>
        <w:spacing w:after="0"/>
      </w:pPr>
      <w:bookmarkStart w:id="20" w:name="_ENREF_21"/>
      <w:r w:rsidRPr="006B1724">
        <w:t xml:space="preserve">Dursun, B., &amp; Cesur, R. (2016). Transforming lives: the impact of compulsory schooling on hope and happiness. </w:t>
      </w:r>
      <w:r w:rsidRPr="006B1724">
        <w:rPr>
          <w:i/>
        </w:rPr>
        <w:t>Journal of Population Economics, 29</w:t>
      </w:r>
      <w:r w:rsidRPr="006B1724">
        <w:t xml:space="preserve">(3), 911-956. </w:t>
      </w:r>
      <w:bookmarkEnd w:id="20"/>
    </w:p>
    <w:p w14:paraId="31F97F85" w14:textId="77777777" w:rsidR="006B1724" w:rsidRPr="006B1724" w:rsidRDefault="006B1724" w:rsidP="006B1724">
      <w:pPr>
        <w:pStyle w:val="EndNoteBibliography"/>
        <w:spacing w:after="0"/>
      </w:pPr>
      <w:bookmarkStart w:id="21" w:name="_ENREF_22"/>
      <w:r w:rsidRPr="006B1724">
        <w:lastRenderedPageBreak/>
        <w:t xml:space="preserve">Etile, F., &amp; Jones, A. M. (2011). Schooling and smoking among the baby boomers - An evaluation of the impact of educational expansion in France. </w:t>
      </w:r>
      <w:r w:rsidRPr="006B1724">
        <w:rPr>
          <w:i/>
        </w:rPr>
        <w:t>Journal of Health Economics, 30</w:t>
      </w:r>
      <w:r w:rsidRPr="006B1724">
        <w:t xml:space="preserve">(4), 811-831. </w:t>
      </w:r>
      <w:bookmarkEnd w:id="21"/>
    </w:p>
    <w:p w14:paraId="3C2E2840" w14:textId="77777777" w:rsidR="006B1724" w:rsidRPr="006B1724" w:rsidRDefault="006B1724" w:rsidP="006B1724">
      <w:pPr>
        <w:pStyle w:val="EndNoteBibliography"/>
        <w:spacing w:after="0"/>
      </w:pPr>
      <w:bookmarkStart w:id="22" w:name="_ENREF_23"/>
      <w:r w:rsidRPr="006B1724">
        <w:t xml:space="preserve">Galama, T. J., Lleras-Muney, A., &amp; van Kippersluis, H. (2018). </w:t>
      </w:r>
      <w:r w:rsidRPr="006B1724">
        <w:rPr>
          <w:i/>
        </w:rPr>
        <w:t>The Effect of Education on Health and Mortality: A Review of Experimental and Quasi-Experimental Evidence</w:t>
      </w:r>
      <w:r w:rsidRPr="006B1724">
        <w:t>. Boston, MA: National Bureau of Economic Research.</w:t>
      </w:r>
      <w:bookmarkEnd w:id="22"/>
    </w:p>
    <w:p w14:paraId="2F7352CE" w14:textId="77777777" w:rsidR="006B1724" w:rsidRPr="006B1724" w:rsidRDefault="006B1724" w:rsidP="006B1724">
      <w:pPr>
        <w:pStyle w:val="EndNoteBibliography"/>
        <w:spacing w:after="0"/>
      </w:pPr>
      <w:bookmarkStart w:id="23" w:name="_ENREF_24"/>
      <w:r w:rsidRPr="006B1724">
        <w:t>Gathmann, C., Ju</w:t>
      </w:r>
      <w:r w:rsidRPr="006B1724">
        <w:rPr>
          <w:rFonts w:ascii="Times New Roman" w:hAnsi="Times New Roman" w:cs="Times New Roman"/>
        </w:rPr>
        <w:t>̈</w:t>
      </w:r>
      <w:r w:rsidRPr="006B1724">
        <w:t xml:space="preserve">rges, H., &amp; Reinhold, S. (2015). Compulsory schooling reforms, education and mortality in twentieth century Europe. </w:t>
      </w:r>
      <w:r w:rsidRPr="006B1724">
        <w:rPr>
          <w:i/>
        </w:rPr>
        <w:t>Social Science &amp; Medicine, 127</w:t>
      </w:r>
      <w:r w:rsidRPr="006B1724">
        <w:t xml:space="preserve">(1), 74-82. </w:t>
      </w:r>
      <w:bookmarkEnd w:id="23"/>
    </w:p>
    <w:p w14:paraId="5B570BEC" w14:textId="77777777" w:rsidR="006B1724" w:rsidRPr="006B1724" w:rsidRDefault="006B1724" w:rsidP="006B1724">
      <w:pPr>
        <w:pStyle w:val="EndNoteBibliography"/>
        <w:spacing w:after="0"/>
      </w:pPr>
      <w:bookmarkStart w:id="24" w:name="_ENREF_25"/>
      <w:r w:rsidRPr="006B1724">
        <w:t xml:space="preserve">Gaydosh, L., Schorpp, K. M., Chen, E., Miller, G. E., &amp; Mullan Harris, K. (2018). College completion predicts lower depression but higher metabolic syndrome among disadvantaged minorities in young adulthood. </w:t>
      </w:r>
      <w:r w:rsidRPr="006B1724">
        <w:rPr>
          <w:i/>
        </w:rPr>
        <w:t>Proceedings of the National Academy of Sciences, 115</w:t>
      </w:r>
      <w:r w:rsidRPr="006B1724">
        <w:t xml:space="preserve">(1), 109-114. </w:t>
      </w:r>
      <w:bookmarkEnd w:id="24"/>
    </w:p>
    <w:p w14:paraId="71217559" w14:textId="77777777" w:rsidR="006B1724" w:rsidRPr="006B1724" w:rsidRDefault="006B1724" w:rsidP="006B1724">
      <w:pPr>
        <w:pStyle w:val="EndNoteBibliography"/>
        <w:spacing w:after="0"/>
      </w:pPr>
      <w:bookmarkStart w:id="25" w:name="_ENREF_26"/>
      <w:r w:rsidRPr="006B1724">
        <w:t xml:space="preserve">Glymour, M. M., Kawachi, I., Jencks, C. S., &amp; Berkman, L. F. (2008). Does childhood schooling affect old age memory and mental status? Using state schooling laws as natural experiments. </w:t>
      </w:r>
      <w:r w:rsidRPr="006B1724">
        <w:rPr>
          <w:i/>
        </w:rPr>
        <w:t>Journal of Epidemiology &amp; Community Health, 62</w:t>
      </w:r>
      <w:r w:rsidRPr="006B1724">
        <w:t xml:space="preserve">(6), 532-537. </w:t>
      </w:r>
      <w:bookmarkEnd w:id="25"/>
    </w:p>
    <w:p w14:paraId="08C8FF81" w14:textId="77777777" w:rsidR="006B1724" w:rsidRPr="006B1724" w:rsidRDefault="006B1724" w:rsidP="006B1724">
      <w:pPr>
        <w:pStyle w:val="EndNoteBibliography"/>
        <w:spacing w:after="0"/>
      </w:pPr>
      <w:bookmarkStart w:id="26" w:name="_ENREF_27"/>
      <w:r w:rsidRPr="006B1724">
        <w:t xml:space="preserve">Glymour, M. M., &amp; Manly, J. J. (2018). Compulsory schooling laws as quasi-experiments for the health effects of education: Reconsidering mechanisms to understand inconsistent results. </w:t>
      </w:r>
      <w:r w:rsidRPr="006B1724">
        <w:rPr>
          <w:i/>
        </w:rPr>
        <w:t>Social Science &amp; Medicine, 214</w:t>
      </w:r>
      <w:r w:rsidRPr="006B1724">
        <w:t xml:space="preserve">, 67-69. </w:t>
      </w:r>
      <w:bookmarkEnd w:id="26"/>
    </w:p>
    <w:p w14:paraId="62F17216" w14:textId="77777777" w:rsidR="006B1724" w:rsidRPr="006B1724" w:rsidRDefault="006B1724" w:rsidP="006B1724">
      <w:pPr>
        <w:pStyle w:val="EndNoteBibliography"/>
        <w:spacing w:after="0"/>
      </w:pPr>
      <w:bookmarkStart w:id="27" w:name="_ENREF_28"/>
      <w:r w:rsidRPr="006B1724">
        <w:t xml:space="preserve">Grenet, J. (2013). Is extending compulsory schooling alone enough to raise earnings? Evidence from French and British compulsory schooling laws. </w:t>
      </w:r>
      <w:r w:rsidRPr="006B1724">
        <w:rPr>
          <w:i/>
        </w:rPr>
        <w:t>Scandinavian Journal of Economics, 115</w:t>
      </w:r>
      <w:r w:rsidRPr="006B1724">
        <w:t xml:space="preserve">(1), 176-210. </w:t>
      </w:r>
      <w:bookmarkEnd w:id="27"/>
    </w:p>
    <w:p w14:paraId="3C15159D" w14:textId="77777777" w:rsidR="006B1724" w:rsidRPr="006B1724" w:rsidRDefault="006B1724" w:rsidP="006B1724">
      <w:pPr>
        <w:pStyle w:val="EndNoteBibliography"/>
        <w:spacing w:after="0"/>
      </w:pPr>
      <w:bookmarkStart w:id="28" w:name="_ENREF_29"/>
      <w:r w:rsidRPr="006B1724">
        <w:t xml:space="preserve">Hamad, R., Elser, H., Tran, D. C., Rehkopf, D. H., &amp; Goodman, S. N. (2018). How and why studies disagree about the effects of education on health: a systematic review and meta-analysis of studies of compulsory schooling laws. </w:t>
      </w:r>
      <w:r w:rsidRPr="006B1724">
        <w:rPr>
          <w:i/>
        </w:rPr>
        <w:t>Social Science &amp; Medicine, 212</w:t>
      </w:r>
      <w:r w:rsidRPr="006B1724">
        <w:t xml:space="preserve">, 168-178. </w:t>
      </w:r>
      <w:bookmarkEnd w:id="28"/>
    </w:p>
    <w:p w14:paraId="43D0D5C6" w14:textId="77777777" w:rsidR="006B1724" w:rsidRPr="006B1724" w:rsidRDefault="006B1724" w:rsidP="006B1724">
      <w:pPr>
        <w:pStyle w:val="EndNoteBibliography"/>
        <w:spacing w:after="0"/>
      </w:pPr>
      <w:bookmarkStart w:id="29" w:name="_ENREF_30"/>
      <w:r w:rsidRPr="006B1724">
        <w:t xml:space="preserve">Heckman, J. J., &amp; Urzua, S. (2010). Comparing IV with structural models: What simple IV can and cannot identify. </w:t>
      </w:r>
      <w:r w:rsidRPr="006B1724">
        <w:rPr>
          <w:i/>
        </w:rPr>
        <w:t>Journal of Econometrics, 156</w:t>
      </w:r>
      <w:r w:rsidRPr="006B1724">
        <w:t xml:space="preserve">(1), 27-37. </w:t>
      </w:r>
      <w:bookmarkEnd w:id="29"/>
    </w:p>
    <w:p w14:paraId="7F64A094" w14:textId="77777777" w:rsidR="006B1724" w:rsidRPr="006B1724" w:rsidRDefault="006B1724" w:rsidP="006B1724">
      <w:pPr>
        <w:pStyle w:val="EndNoteBibliography"/>
        <w:spacing w:after="0"/>
      </w:pPr>
      <w:bookmarkStart w:id="30" w:name="_ENREF_31"/>
      <w:r w:rsidRPr="006B1724">
        <w:t xml:space="preserve">Huang, W. (2015). </w:t>
      </w:r>
      <w:r w:rsidRPr="006B1724">
        <w:rPr>
          <w:i/>
        </w:rPr>
        <w:t>Understanding the effects of education on health: Evidence from China</w:t>
      </w:r>
      <w:r w:rsidRPr="006B1724">
        <w:t xml:space="preserve">. SSRN Working Paper.  </w:t>
      </w:r>
      <w:bookmarkEnd w:id="30"/>
    </w:p>
    <w:p w14:paraId="5F0E1D52" w14:textId="77777777" w:rsidR="006B1724" w:rsidRPr="006B1724" w:rsidRDefault="006B1724" w:rsidP="006B1724">
      <w:pPr>
        <w:pStyle w:val="EndNoteBibliography"/>
        <w:spacing w:after="0"/>
      </w:pPr>
      <w:bookmarkStart w:id="31" w:name="_ENREF_32"/>
      <w:r w:rsidRPr="006B1724">
        <w:t xml:space="preserve">Huang, W., &amp; Zhou, Y. (2013). Effects of education on cognition at older ages: Evidence from China's Great Famine. </w:t>
      </w:r>
      <w:r w:rsidRPr="006B1724">
        <w:rPr>
          <w:i/>
        </w:rPr>
        <w:t>Social Science &amp; Medicine, 98</w:t>
      </w:r>
      <w:r w:rsidRPr="006B1724">
        <w:t xml:space="preserve">, 54-62. </w:t>
      </w:r>
      <w:bookmarkEnd w:id="31"/>
    </w:p>
    <w:p w14:paraId="57F5AF96" w14:textId="77777777" w:rsidR="006B1724" w:rsidRPr="006B1724" w:rsidRDefault="006B1724" w:rsidP="006B1724">
      <w:pPr>
        <w:pStyle w:val="EndNoteBibliography"/>
        <w:spacing w:after="0"/>
      </w:pPr>
      <w:bookmarkStart w:id="32" w:name="_ENREF_33"/>
      <w:r w:rsidRPr="006B1724">
        <w:t xml:space="preserve">Johnston, D. W., Lordan, G., Shields, M. A., &amp; Suziedelyte, A. (2015). Education and health knowledge: Evidence from UK compulsory schooling reform. </w:t>
      </w:r>
      <w:r w:rsidRPr="006B1724">
        <w:rPr>
          <w:i/>
        </w:rPr>
        <w:t>Social Science &amp; Medicine, 127</w:t>
      </w:r>
      <w:r w:rsidRPr="006B1724">
        <w:t xml:space="preserve">, 92-100. </w:t>
      </w:r>
      <w:bookmarkEnd w:id="32"/>
    </w:p>
    <w:p w14:paraId="2F79B30F" w14:textId="77777777" w:rsidR="006B1724" w:rsidRPr="006B1724" w:rsidRDefault="006B1724" w:rsidP="006B1724">
      <w:pPr>
        <w:pStyle w:val="EndNoteBibliography"/>
        <w:spacing w:after="0"/>
      </w:pPr>
      <w:bookmarkStart w:id="33" w:name="_ENREF_34"/>
      <w:r w:rsidRPr="006B1724">
        <w:t xml:space="preserve">Jones, D., Molitor, D., &amp; Reif, J. (2018). </w:t>
      </w:r>
      <w:r w:rsidRPr="006B1724">
        <w:rPr>
          <w:i/>
        </w:rPr>
        <w:t>What Do Workplace Wellness Programs Do? Evidence from the Illinois Workplace Wellness Study</w:t>
      </w:r>
      <w:r w:rsidRPr="006B1724">
        <w:t xml:space="preserve">. National Bureau of Economic. Washington, DC. </w:t>
      </w:r>
      <w:bookmarkEnd w:id="33"/>
    </w:p>
    <w:p w14:paraId="210CAD2F" w14:textId="77777777" w:rsidR="006B1724" w:rsidRPr="006B1724" w:rsidRDefault="006B1724" w:rsidP="006B1724">
      <w:pPr>
        <w:pStyle w:val="EndNoteBibliography"/>
        <w:spacing w:after="0"/>
      </w:pPr>
      <w:bookmarkStart w:id="34" w:name="_ENREF_35"/>
      <w:r w:rsidRPr="006B1724">
        <w:t xml:space="preserve">Jürges, H., Kruk, E., &amp; Reinhold, S. (2013). The effect of compulsory schooling on health—evidence from biomarkers. </w:t>
      </w:r>
      <w:r w:rsidRPr="006B1724">
        <w:rPr>
          <w:i/>
        </w:rPr>
        <w:t>Journal of Population Economics, 26</w:t>
      </w:r>
      <w:r w:rsidRPr="006B1724">
        <w:t xml:space="preserve">(2), 645-672. </w:t>
      </w:r>
      <w:bookmarkEnd w:id="34"/>
    </w:p>
    <w:p w14:paraId="4450C9D0" w14:textId="77777777" w:rsidR="006B1724" w:rsidRPr="006B1724" w:rsidRDefault="006B1724" w:rsidP="006B1724">
      <w:pPr>
        <w:pStyle w:val="EndNoteBibliography"/>
        <w:spacing w:after="0"/>
      </w:pPr>
      <w:bookmarkStart w:id="35" w:name="_ENREF_36"/>
      <w:r w:rsidRPr="006B1724">
        <w:t>Ju</w:t>
      </w:r>
      <w:r w:rsidRPr="006B1724">
        <w:rPr>
          <w:rFonts w:ascii="Times New Roman" w:hAnsi="Times New Roman" w:cs="Times New Roman"/>
        </w:rPr>
        <w:t>̈</w:t>
      </w:r>
      <w:r w:rsidRPr="006B1724">
        <w:t xml:space="preserve">rges, H., Reinhold, S., &amp; Salm, M. (2011). Does schooling affect health behavior? Evidence from educational expansion in Western Germany. </w:t>
      </w:r>
      <w:r w:rsidRPr="006B1724">
        <w:rPr>
          <w:i/>
        </w:rPr>
        <w:t>Economics of Education Review, 30</w:t>
      </w:r>
      <w:r w:rsidRPr="006B1724">
        <w:t xml:space="preserve">, 862-872. </w:t>
      </w:r>
      <w:bookmarkEnd w:id="35"/>
    </w:p>
    <w:p w14:paraId="2296E5A7" w14:textId="77777777" w:rsidR="006B1724" w:rsidRPr="006B1724" w:rsidRDefault="006B1724" w:rsidP="006B1724">
      <w:pPr>
        <w:pStyle w:val="EndNoteBibliography"/>
        <w:spacing w:after="0"/>
      </w:pPr>
      <w:bookmarkStart w:id="36" w:name="_ENREF_37"/>
      <w:r w:rsidRPr="006B1724">
        <w:t xml:space="preserve">Karas Montez, J., &amp; Freidman, E. M. (2015). Educational attainment and adult health: Under what conditions is the association causal? </w:t>
      </w:r>
      <w:r w:rsidRPr="006B1724">
        <w:rPr>
          <w:i/>
        </w:rPr>
        <w:t>Social Science &amp; Medicine, 127</w:t>
      </w:r>
      <w:r w:rsidRPr="006B1724">
        <w:t xml:space="preserve">, 1-7. </w:t>
      </w:r>
      <w:bookmarkEnd w:id="36"/>
    </w:p>
    <w:p w14:paraId="3C48D76D" w14:textId="77777777" w:rsidR="006B1724" w:rsidRPr="006B1724" w:rsidRDefault="006B1724" w:rsidP="006B1724">
      <w:pPr>
        <w:pStyle w:val="EndNoteBibliography"/>
        <w:spacing w:after="0"/>
      </w:pPr>
      <w:bookmarkStart w:id="37" w:name="_ENREF_38"/>
      <w:r w:rsidRPr="006B1724">
        <w:t xml:space="preserve">Kavanagh, A., Bentley, R. J., Turrell, G., Shaw, J., Dunstan, D., &amp; Subramanian, S. V. (2010). Socioeconomic position, gender, health behaviours and biomarkers of cardiovascular disease and diabetes. </w:t>
      </w:r>
      <w:r w:rsidRPr="006B1724">
        <w:rPr>
          <w:i/>
        </w:rPr>
        <w:t>Social Science &amp; Medicine, 71</w:t>
      </w:r>
      <w:r w:rsidRPr="006B1724">
        <w:t xml:space="preserve">(6), 1150-1160. </w:t>
      </w:r>
      <w:bookmarkEnd w:id="37"/>
    </w:p>
    <w:p w14:paraId="2E3AFD65" w14:textId="77777777" w:rsidR="006B1724" w:rsidRPr="006B1724" w:rsidRDefault="006B1724" w:rsidP="006B1724">
      <w:pPr>
        <w:pStyle w:val="EndNoteBibliography"/>
        <w:spacing w:after="0"/>
      </w:pPr>
      <w:bookmarkStart w:id="38" w:name="_ENREF_39"/>
      <w:r w:rsidRPr="006B1724">
        <w:t xml:space="preserve">Kawachi, I., Adler, N. E., &amp; Dow, W. H. (2010). Money, schooling and health: Mechanisms and causal evidence. </w:t>
      </w:r>
      <w:r w:rsidRPr="006B1724">
        <w:rPr>
          <w:i/>
        </w:rPr>
        <w:t>Annals of the New York Academy of Sciences, 1186</w:t>
      </w:r>
      <w:r w:rsidRPr="006B1724">
        <w:t xml:space="preserve">, 56-68. </w:t>
      </w:r>
      <w:bookmarkEnd w:id="38"/>
    </w:p>
    <w:p w14:paraId="359FBD2B" w14:textId="77777777" w:rsidR="006B1724" w:rsidRPr="006B1724" w:rsidRDefault="006B1724" w:rsidP="006B1724">
      <w:pPr>
        <w:pStyle w:val="EndNoteBibliography"/>
        <w:spacing w:after="0"/>
      </w:pPr>
      <w:bookmarkStart w:id="39" w:name="_ENREF_40"/>
      <w:r w:rsidRPr="006B1724">
        <w:t xml:space="preserve">Klebanoff Cohen, A., &amp; Syme, S. L. (2013). Education: a missed opportunity for public health intervention. </w:t>
      </w:r>
      <w:r w:rsidRPr="006B1724">
        <w:rPr>
          <w:i/>
        </w:rPr>
        <w:t>American Journal of Public Health, 103</w:t>
      </w:r>
      <w:r w:rsidRPr="006B1724">
        <w:t xml:space="preserve">(6), 997-1001. </w:t>
      </w:r>
      <w:bookmarkEnd w:id="39"/>
    </w:p>
    <w:p w14:paraId="284D3525" w14:textId="77777777" w:rsidR="006B1724" w:rsidRPr="006B1724" w:rsidRDefault="006B1724" w:rsidP="006B1724">
      <w:pPr>
        <w:pStyle w:val="EndNoteBibliography"/>
        <w:spacing w:after="0"/>
      </w:pPr>
      <w:bookmarkStart w:id="40" w:name="_ENREF_41"/>
      <w:r w:rsidRPr="006B1724">
        <w:t xml:space="preserve">Lager, A., &amp; Torssander, J. (2012). Causal effect of education on mortality in a quasi-experiment on 1.2 million Swedes. </w:t>
      </w:r>
      <w:r w:rsidRPr="006B1724">
        <w:rPr>
          <w:i/>
        </w:rPr>
        <w:t>Proceedings of the National Academy of Sciences of the United States of America, 109</w:t>
      </w:r>
      <w:r w:rsidRPr="006B1724">
        <w:t xml:space="preserve">(22), 8461-8466. </w:t>
      </w:r>
      <w:bookmarkEnd w:id="40"/>
    </w:p>
    <w:p w14:paraId="2DD9EE7B" w14:textId="77777777" w:rsidR="006B1724" w:rsidRPr="006B1724" w:rsidRDefault="006B1724" w:rsidP="006B1724">
      <w:pPr>
        <w:pStyle w:val="EndNoteBibliography"/>
        <w:spacing w:after="0"/>
      </w:pPr>
      <w:bookmarkStart w:id="41" w:name="_ENREF_42"/>
      <w:r w:rsidRPr="006B1724">
        <w:lastRenderedPageBreak/>
        <w:t xml:space="preserve">Le Rhun, B., &amp; Pollet, P. (2011). Diplomes et insertion professionnelle. In Institut National de la Statistique et des Etudes Economiques (Ed.), </w:t>
      </w:r>
      <w:r w:rsidRPr="006B1724">
        <w:rPr>
          <w:i/>
        </w:rPr>
        <w:t>France, Portrait social</w:t>
      </w:r>
      <w:r w:rsidRPr="006B1724">
        <w:t xml:space="preserve"> (pp. 41-50). Paris, France: Institut National de la Statistique et des Etudes Economiques.</w:t>
      </w:r>
      <w:bookmarkEnd w:id="41"/>
    </w:p>
    <w:p w14:paraId="4927146D" w14:textId="77777777" w:rsidR="006B1724" w:rsidRPr="006B1724" w:rsidRDefault="006B1724" w:rsidP="006B1724">
      <w:pPr>
        <w:pStyle w:val="EndNoteBibliography"/>
        <w:spacing w:after="0"/>
      </w:pPr>
      <w:bookmarkStart w:id="42" w:name="_ENREF_43"/>
      <w:r w:rsidRPr="006B1724">
        <w:t xml:space="preserve">Lee, D. S., &amp; Lemieux, T. (2010). Regression Discontinuity Designs in economics. </w:t>
      </w:r>
      <w:r w:rsidRPr="006B1724">
        <w:rPr>
          <w:i/>
        </w:rPr>
        <w:t>Journal of Economic Literature, 48</w:t>
      </w:r>
      <w:r w:rsidRPr="006B1724">
        <w:t xml:space="preserve">, 281-355. </w:t>
      </w:r>
      <w:bookmarkEnd w:id="42"/>
    </w:p>
    <w:p w14:paraId="7FE4F8B1" w14:textId="77777777" w:rsidR="006B1724" w:rsidRPr="006B1724" w:rsidRDefault="006B1724" w:rsidP="006B1724">
      <w:pPr>
        <w:pStyle w:val="EndNoteBibliography"/>
        <w:spacing w:after="0"/>
      </w:pPr>
      <w:bookmarkStart w:id="43" w:name="_ENREF_44"/>
      <w:r w:rsidRPr="006B1724">
        <w:t xml:space="preserve">Liu, S. Y., Buka, S. L., Kubzansky, L., Kawachi, I., Gilman, S. E., &amp; Loucks, E. B. (2014). Sheepskin effects of education in the 10-year Framingham risk of coronary heart disease. </w:t>
      </w:r>
      <w:r w:rsidRPr="006B1724">
        <w:rPr>
          <w:i/>
        </w:rPr>
        <w:t>Social Science &amp; Medicine, 80</w:t>
      </w:r>
      <w:r w:rsidRPr="006B1724">
        <w:t xml:space="preserve">(1), 31-36. </w:t>
      </w:r>
      <w:bookmarkEnd w:id="43"/>
    </w:p>
    <w:p w14:paraId="557D449E" w14:textId="77777777" w:rsidR="006B1724" w:rsidRPr="006B1724" w:rsidRDefault="006B1724" w:rsidP="006B1724">
      <w:pPr>
        <w:pStyle w:val="EndNoteBibliography"/>
        <w:spacing w:after="0"/>
      </w:pPr>
      <w:bookmarkStart w:id="44" w:name="_ENREF_45"/>
      <w:r w:rsidRPr="006B1724">
        <w:t xml:space="preserve">Lleras-Muney, A. (2005). The relationship between education and adult mortality in the US. </w:t>
      </w:r>
      <w:r w:rsidRPr="006B1724">
        <w:rPr>
          <w:i/>
        </w:rPr>
        <w:t>Review of Economic Studies, 72</w:t>
      </w:r>
      <w:r w:rsidRPr="006B1724">
        <w:t xml:space="preserve">(1), 189-221. </w:t>
      </w:r>
      <w:bookmarkEnd w:id="44"/>
    </w:p>
    <w:p w14:paraId="1F8D91B8" w14:textId="77777777" w:rsidR="006B1724" w:rsidRPr="006B1724" w:rsidRDefault="006B1724" w:rsidP="006B1724">
      <w:pPr>
        <w:pStyle w:val="EndNoteBibliography"/>
        <w:spacing w:after="0"/>
      </w:pPr>
      <w:bookmarkStart w:id="45" w:name="_ENREF_46"/>
      <w:r w:rsidRPr="006B1724">
        <w:t xml:space="preserve">Magnusson Hanson, L. L., Westerlund, H., Goldberg, M., Zins, M., Vahtera, J., Hulvej Rod, N., . . . Kivimäki, M. (2017). Work stress, anthropometry, lung function, blood pressure, and blood-based biomarkers: a cross-sectional study of 43,593 French men and women. </w:t>
      </w:r>
      <w:r w:rsidRPr="006B1724">
        <w:rPr>
          <w:i/>
        </w:rPr>
        <w:t>Scientific Reports, 7</w:t>
      </w:r>
      <w:r w:rsidRPr="006B1724">
        <w:t xml:space="preserve">(1), 9282. </w:t>
      </w:r>
      <w:bookmarkEnd w:id="45"/>
    </w:p>
    <w:p w14:paraId="7FE1D1E7" w14:textId="77777777" w:rsidR="006B1724" w:rsidRPr="006B1724" w:rsidRDefault="006B1724" w:rsidP="006B1724">
      <w:pPr>
        <w:pStyle w:val="EndNoteBibliography"/>
        <w:spacing w:after="0"/>
      </w:pPr>
      <w:bookmarkStart w:id="46" w:name="_ENREF_47"/>
      <w:r w:rsidRPr="006B1724">
        <w:t xml:space="preserve">Maurin, E., &amp; McNally, S. (2008). Vive la revolution! Long-term educational returns of 1968 to the angry students. </w:t>
      </w:r>
      <w:r w:rsidRPr="006B1724">
        <w:rPr>
          <w:i/>
        </w:rPr>
        <w:t>Journal of Labor Economics, 26</w:t>
      </w:r>
      <w:r w:rsidRPr="006B1724">
        <w:t xml:space="preserve">(1), 1-33. </w:t>
      </w:r>
      <w:bookmarkEnd w:id="46"/>
    </w:p>
    <w:p w14:paraId="277D2006" w14:textId="77777777" w:rsidR="006B1724" w:rsidRPr="006B1724" w:rsidRDefault="006B1724" w:rsidP="006B1724">
      <w:pPr>
        <w:pStyle w:val="EndNoteBibliography"/>
        <w:spacing w:after="0"/>
      </w:pPr>
      <w:bookmarkStart w:id="47" w:name="_ENREF_48"/>
      <w:r w:rsidRPr="006B1724">
        <w:t xml:space="preserve">Miller, G. E., Yu, T., Chen, E., &amp; Brody, G. H. (2015). Self-control forecasts better psychosocial outcomes by faster epigenetic aging in low-SES outh. </w:t>
      </w:r>
      <w:r w:rsidRPr="006B1724">
        <w:rPr>
          <w:i/>
        </w:rPr>
        <w:t>Proceedings of the National Academy of Sciences, 112</w:t>
      </w:r>
      <w:r w:rsidRPr="006B1724">
        <w:t xml:space="preserve">(33), 10325-10330. </w:t>
      </w:r>
      <w:bookmarkEnd w:id="47"/>
    </w:p>
    <w:p w14:paraId="564FAD74" w14:textId="77777777" w:rsidR="006B1724" w:rsidRPr="006B1724" w:rsidRDefault="006B1724" w:rsidP="006B1724">
      <w:pPr>
        <w:pStyle w:val="EndNoteBibliography"/>
        <w:spacing w:after="0"/>
      </w:pPr>
      <w:bookmarkStart w:id="48" w:name="_ENREF_49"/>
      <w:r w:rsidRPr="006B1724">
        <w:t xml:space="preserve">Moscoe, E., Bor, J., &amp; Barnighausen, T. (2015). Regression discontinuity designs are underutilised in medicine, epidemiology, and public health: a review of current and best practice. </w:t>
      </w:r>
      <w:r w:rsidRPr="006B1724">
        <w:rPr>
          <w:i/>
        </w:rPr>
        <w:t>Journal of Clinical Epidemiology, 68</w:t>
      </w:r>
      <w:r w:rsidRPr="006B1724">
        <w:t xml:space="preserve">, 132-143. </w:t>
      </w:r>
      <w:bookmarkEnd w:id="48"/>
    </w:p>
    <w:p w14:paraId="1C4BD1F4" w14:textId="77777777" w:rsidR="006B1724" w:rsidRPr="006B1724" w:rsidRDefault="006B1724" w:rsidP="006B1724">
      <w:pPr>
        <w:pStyle w:val="EndNoteBibliography"/>
        <w:spacing w:after="0"/>
      </w:pPr>
      <w:bookmarkStart w:id="49" w:name="_ENREF_50"/>
      <w:r w:rsidRPr="006B1724">
        <w:t xml:space="preserve">Nafilyan, V., Avendano, M., &amp; De Coulon, A. (2017). </w:t>
      </w:r>
      <w:r w:rsidRPr="006B1724">
        <w:rPr>
          <w:i/>
        </w:rPr>
        <w:t>Does more education always improve mental health? Evidence from a British compulsory schooling reform</w:t>
      </w:r>
      <w:r w:rsidRPr="006B1724">
        <w:t>. York: University of York, HEDG Working Paper series.</w:t>
      </w:r>
      <w:bookmarkEnd w:id="49"/>
    </w:p>
    <w:p w14:paraId="223A5033" w14:textId="77777777" w:rsidR="006B1724" w:rsidRPr="006B1724" w:rsidRDefault="006B1724" w:rsidP="006B1724">
      <w:pPr>
        <w:pStyle w:val="EndNoteBibliography"/>
        <w:spacing w:after="0"/>
      </w:pPr>
      <w:bookmarkStart w:id="50" w:name="_ENREF_51"/>
      <w:r w:rsidRPr="006B1724">
        <w:t xml:space="preserve">Nguyen, T. T., Tchetgen Tchetgen, E. J., Kawachi, I., Gilman, S. E., Walter, S., Liu, S. Y., . . . Glymour, M. M. (2016). Instrumental variable approaches to identifying the causal effect of educational attainment on dementia risk. </w:t>
      </w:r>
      <w:r w:rsidRPr="006B1724">
        <w:rPr>
          <w:i/>
        </w:rPr>
        <w:t>Annals of epidemiology, 26</w:t>
      </w:r>
      <w:r w:rsidRPr="006B1724">
        <w:t xml:space="preserve">(1), 71-76. </w:t>
      </w:r>
      <w:bookmarkEnd w:id="50"/>
    </w:p>
    <w:p w14:paraId="297BE93E" w14:textId="77777777" w:rsidR="006B1724" w:rsidRPr="006B1724" w:rsidRDefault="006B1724" w:rsidP="006B1724">
      <w:pPr>
        <w:pStyle w:val="EndNoteBibliography"/>
        <w:spacing w:after="0"/>
      </w:pPr>
      <w:bookmarkStart w:id="51" w:name="_ENREF_52"/>
      <w:r w:rsidRPr="006B1724">
        <w:t xml:space="preserve">Palloni, A. (2006). Reproducing inequalities: luck, wallets and the enduring effects of childhood health. </w:t>
      </w:r>
      <w:r w:rsidRPr="006B1724">
        <w:rPr>
          <w:i/>
        </w:rPr>
        <w:t>Demography, 43</w:t>
      </w:r>
      <w:r w:rsidRPr="006B1724">
        <w:t xml:space="preserve">, 587-615. </w:t>
      </w:r>
      <w:bookmarkEnd w:id="51"/>
    </w:p>
    <w:p w14:paraId="0EC01BA5" w14:textId="77777777" w:rsidR="006B1724" w:rsidRPr="006B1724" w:rsidRDefault="006B1724" w:rsidP="006B1724">
      <w:pPr>
        <w:pStyle w:val="EndNoteBibliography"/>
        <w:spacing w:after="0"/>
      </w:pPr>
      <w:bookmarkStart w:id="52" w:name="_ENREF_53"/>
      <w:r w:rsidRPr="006B1724">
        <w:t xml:space="preserve">Powdthavee, N. (2010). Does education reduce the risk of hypertension? Estimating the biomarker effect of compulsory schooling in England. </w:t>
      </w:r>
      <w:r w:rsidRPr="006B1724">
        <w:rPr>
          <w:i/>
        </w:rPr>
        <w:t>Journal of Human Capital, 4</w:t>
      </w:r>
      <w:r w:rsidRPr="006B1724">
        <w:t xml:space="preserve">(2), 173-202. </w:t>
      </w:r>
      <w:bookmarkEnd w:id="52"/>
    </w:p>
    <w:p w14:paraId="216EC1AD" w14:textId="77777777" w:rsidR="006B1724" w:rsidRPr="006B1724" w:rsidRDefault="006B1724" w:rsidP="006B1724">
      <w:pPr>
        <w:pStyle w:val="EndNoteBibliography"/>
        <w:spacing w:after="0"/>
      </w:pPr>
      <w:bookmarkStart w:id="53" w:name="_ENREF_54"/>
      <w:r w:rsidRPr="006B1724">
        <w:t xml:space="preserve">Ruiz, F., Goldberg, M., Lemonnier, S., Ozguler, A., Boos, E., Brigand, A., . . . Zins, M. (2016). High quality standards for a large-scale prospective population-based observational cohort: Constances. </w:t>
      </w:r>
      <w:r w:rsidRPr="006B1724">
        <w:rPr>
          <w:i/>
        </w:rPr>
        <w:t>BMC Public Health, 16</w:t>
      </w:r>
      <w:r w:rsidRPr="006B1724">
        <w:t xml:space="preserve">(1), 877. </w:t>
      </w:r>
      <w:bookmarkEnd w:id="53"/>
    </w:p>
    <w:p w14:paraId="37230D06" w14:textId="77777777" w:rsidR="006B1724" w:rsidRPr="006B1724" w:rsidRDefault="006B1724" w:rsidP="006B1724">
      <w:pPr>
        <w:pStyle w:val="EndNoteBibliography"/>
        <w:spacing w:after="0"/>
      </w:pPr>
      <w:bookmarkStart w:id="54" w:name="_ENREF_55"/>
      <w:r w:rsidRPr="006B1724">
        <w:t xml:space="preserve">Santin, G., Herquelot, E., Gueguen, A., Carton, M., Cyr, D., Genreau, M., . . . Zins, M. (2016). Estimation de prevalences dans Constances: premieres explorations. </w:t>
      </w:r>
      <w:r w:rsidRPr="006B1724">
        <w:rPr>
          <w:i/>
        </w:rPr>
        <w:t>Bulletin Epidemiologique Hebdomadaire, 35-36</w:t>
      </w:r>
      <w:r w:rsidRPr="006B1724">
        <w:t xml:space="preserve">, 622-629. </w:t>
      </w:r>
      <w:bookmarkEnd w:id="54"/>
    </w:p>
    <w:p w14:paraId="57D4F72F" w14:textId="77777777" w:rsidR="006B1724" w:rsidRPr="006B1724" w:rsidRDefault="006B1724" w:rsidP="006B1724">
      <w:pPr>
        <w:pStyle w:val="EndNoteBibliography"/>
        <w:spacing w:after="0"/>
      </w:pPr>
      <w:bookmarkStart w:id="55" w:name="_ENREF_56"/>
      <w:r w:rsidRPr="006B1724">
        <w:t xml:space="preserve">Schneeweis, N., Skirbekk, V., &amp; Winter-Ebmer, R. (2014). Does education improve cognitive performance four decades after school completion? </w:t>
      </w:r>
      <w:r w:rsidRPr="006B1724">
        <w:rPr>
          <w:i/>
        </w:rPr>
        <w:t>Demography, 51</w:t>
      </w:r>
      <w:r w:rsidRPr="006B1724">
        <w:t xml:space="preserve">(2), 619-643. </w:t>
      </w:r>
      <w:bookmarkEnd w:id="55"/>
    </w:p>
    <w:p w14:paraId="0A89D686" w14:textId="77777777" w:rsidR="006B1724" w:rsidRPr="006B1724" w:rsidRDefault="006B1724" w:rsidP="006B1724">
      <w:pPr>
        <w:pStyle w:val="EndNoteBibliography"/>
        <w:spacing w:after="0"/>
      </w:pPr>
      <w:bookmarkStart w:id="56" w:name="_ENREF_57"/>
      <w:r w:rsidRPr="006B1724">
        <w:t xml:space="preserve">Seeman, T., Epel, E., Gruenewald, T., Karlamangla, A., &amp; McEwen, B. S. (2010). Socio-economic differentials in peripheral biology; cumulative allostatic load. </w:t>
      </w:r>
      <w:r w:rsidRPr="006B1724">
        <w:rPr>
          <w:i/>
        </w:rPr>
        <w:t>Annals of the New York Academy of Sciences, 1186</w:t>
      </w:r>
      <w:r w:rsidRPr="006B1724">
        <w:t xml:space="preserve">(1), 223-239. </w:t>
      </w:r>
      <w:bookmarkEnd w:id="56"/>
    </w:p>
    <w:p w14:paraId="68CDD1C6" w14:textId="77777777" w:rsidR="006B1724" w:rsidRPr="006B1724" w:rsidRDefault="006B1724" w:rsidP="006B1724">
      <w:pPr>
        <w:pStyle w:val="EndNoteBibliography"/>
        <w:spacing w:after="0"/>
      </w:pPr>
      <w:bookmarkStart w:id="57" w:name="_ENREF_58"/>
      <w:r w:rsidRPr="006B1724">
        <w:t xml:space="preserve">Seeman, T., Merkins, S. S., Crimmins, E., Koretz, B., Charette, S., &amp; Karlamangla, A. (2008). Education, income and ethnic differences in cumulative biological risk profiles in a national sample of US adults: NHANES III (1988-1994). </w:t>
      </w:r>
      <w:r w:rsidRPr="006B1724">
        <w:rPr>
          <w:i/>
        </w:rPr>
        <w:t>Social Science &amp; Medicine, 66</w:t>
      </w:r>
      <w:r w:rsidRPr="006B1724">
        <w:t xml:space="preserve">(1), 72-87. </w:t>
      </w:r>
      <w:bookmarkEnd w:id="57"/>
    </w:p>
    <w:p w14:paraId="77ADA54D" w14:textId="77777777" w:rsidR="006B1724" w:rsidRPr="006B1724" w:rsidRDefault="006B1724" w:rsidP="006B1724">
      <w:pPr>
        <w:pStyle w:val="EndNoteBibliography"/>
        <w:spacing w:after="0"/>
      </w:pPr>
      <w:bookmarkStart w:id="58" w:name="_ENREF_59"/>
      <w:r w:rsidRPr="006B1724">
        <w:t xml:space="preserve">Silles, M. (2015). The causal effect of schooling on smoking behavior. </w:t>
      </w:r>
      <w:r w:rsidRPr="006B1724">
        <w:rPr>
          <w:i/>
        </w:rPr>
        <w:t>Economics of Education Review, 48</w:t>
      </w:r>
      <w:r w:rsidRPr="006B1724">
        <w:t xml:space="preserve">(2), 102-116. </w:t>
      </w:r>
      <w:bookmarkEnd w:id="58"/>
    </w:p>
    <w:p w14:paraId="3E54BF11" w14:textId="77777777" w:rsidR="006B1724" w:rsidRPr="006B1724" w:rsidRDefault="006B1724" w:rsidP="006B1724">
      <w:pPr>
        <w:pStyle w:val="EndNoteBibliography"/>
        <w:spacing w:after="0"/>
      </w:pPr>
      <w:bookmarkStart w:id="59" w:name="_ENREF_60"/>
      <w:r w:rsidRPr="006B1724">
        <w:t xml:space="preserve">Smith, L. M., Levesque, L. E., Kaufman, J. S., &amp; Strumpf, E. C. (2016). Strategies for evaluating the assumptions of the regression discontinuity design: a case study using a human apillomavirus vaccination programme. </w:t>
      </w:r>
      <w:r w:rsidRPr="006B1724">
        <w:rPr>
          <w:i/>
        </w:rPr>
        <w:t>International Journal of Epidemiology, 46</w:t>
      </w:r>
      <w:r w:rsidRPr="006B1724">
        <w:t xml:space="preserve">(3), 939-949. </w:t>
      </w:r>
      <w:bookmarkEnd w:id="59"/>
    </w:p>
    <w:p w14:paraId="3383518F" w14:textId="77777777" w:rsidR="006B1724" w:rsidRPr="006B1724" w:rsidRDefault="006B1724" w:rsidP="006B1724">
      <w:pPr>
        <w:pStyle w:val="EndNoteBibliography"/>
        <w:spacing w:after="0"/>
      </w:pPr>
      <w:bookmarkStart w:id="60" w:name="_ENREF_61"/>
      <w:r w:rsidRPr="006B1724">
        <w:lastRenderedPageBreak/>
        <w:t xml:space="preserve">Vasan, R. S., Larson, M. G., Leip, E. P., Evans, J. C., O'Donnell, C. J., Kannel, W. B., &amp; Levy, D. (2001). Impact of high-normal blood pressure on the risk of cardiovascular disease. </w:t>
      </w:r>
      <w:r w:rsidRPr="006B1724">
        <w:rPr>
          <w:i/>
        </w:rPr>
        <w:t>New England Journal of Medicine, 345</w:t>
      </w:r>
      <w:r w:rsidRPr="006B1724">
        <w:t xml:space="preserve">(18), 1291-1297. </w:t>
      </w:r>
      <w:bookmarkEnd w:id="60"/>
    </w:p>
    <w:p w14:paraId="5D9B22E3" w14:textId="77777777" w:rsidR="006B1724" w:rsidRPr="006B1724" w:rsidRDefault="006B1724" w:rsidP="006B1724">
      <w:pPr>
        <w:pStyle w:val="EndNoteBibliography"/>
        <w:spacing w:after="0"/>
      </w:pPr>
      <w:bookmarkStart w:id="61" w:name="_ENREF_62"/>
      <w:r w:rsidRPr="006B1724">
        <w:t xml:space="preserve">Venkataramani, A., Bor, J., &amp; Jena, A. B. (2016). Regression Discontinuity Designs in healthcare research. </w:t>
      </w:r>
      <w:r w:rsidRPr="006B1724">
        <w:rPr>
          <w:i/>
        </w:rPr>
        <w:t>British Medical Journal, 352</w:t>
      </w:r>
      <w:r w:rsidRPr="006B1724">
        <w:t xml:space="preserve">. </w:t>
      </w:r>
      <w:bookmarkEnd w:id="61"/>
    </w:p>
    <w:p w14:paraId="14FE0FF7" w14:textId="77777777" w:rsidR="006B1724" w:rsidRPr="006B1724" w:rsidRDefault="006B1724" w:rsidP="006B1724">
      <w:pPr>
        <w:pStyle w:val="EndNoteBibliography"/>
      </w:pPr>
      <w:bookmarkStart w:id="62" w:name="_ENREF_63"/>
      <w:r w:rsidRPr="006B1724">
        <w:t xml:space="preserve">Zins, M., &amp; Goldberg, M. (2015). The French CONSTANCES population-based cohort: design, inclusion and follow-up. </w:t>
      </w:r>
      <w:r w:rsidRPr="006B1724">
        <w:rPr>
          <w:i/>
        </w:rPr>
        <w:t>European  Journal of  Epidemiology, 30</w:t>
      </w:r>
      <w:r w:rsidRPr="006B1724">
        <w:t xml:space="preserve">(12), 1317-1328. </w:t>
      </w:r>
      <w:bookmarkEnd w:id="62"/>
    </w:p>
    <w:p w14:paraId="27925ADF" w14:textId="55681518" w:rsidR="002E394B" w:rsidRDefault="000443EE" w:rsidP="000443EE">
      <w:pPr>
        <w:jc w:val="both"/>
        <w:rPr>
          <w:rFonts w:ascii="Garamond" w:hAnsi="Garamond"/>
        </w:rPr>
      </w:pPr>
      <w:r>
        <w:fldChar w:fldCharType="end"/>
      </w:r>
    </w:p>
    <w:p w14:paraId="10E948B4" w14:textId="7C13EA56" w:rsidR="007613BE" w:rsidRPr="00D21F7F" w:rsidRDefault="007613BE" w:rsidP="00D21F7F">
      <w:pPr>
        <w:contextualSpacing/>
        <w:jc w:val="both"/>
        <w:rPr>
          <w:rFonts w:ascii="Garamond" w:hAnsi="Garamond"/>
        </w:rPr>
      </w:pPr>
      <w:r>
        <w:br w:type="page"/>
      </w:r>
    </w:p>
    <w:p w14:paraId="598F897B" w14:textId="77777777" w:rsidR="00941CEA" w:rsidRDefault="00941CEA" w:rsidP="00C278B9">
      <w:pPr>
        <w:outlineLvl w:val="0"/>
        <w:rPr>
          <w:rFonts w:ascii="Garamond" w:hAnsi="Garamond"/>
          <w:b/>
        </w:rPr>
      </w:pPr>
      <w:r>
        <w:rPr>
          <w:rFonts w:ascii="Garamond" w:hAnsi="Garamond"/>
          <w:b/>
        </w:rPr>
        <w:lastRenderedPageBreak/>
        <w:t>FIGURE CAPTIONS</w:t>
      </w:r>
    </w:p>
    <w:p w14:paraId="1A1CC9D4" w14:textId="77777777" w:rsidR="00941CEA" w:rsidRDefault="00941CEA" w:rsidP="00C278B9">
      <w:pPr>
        <w:outlineLvl w:val="0"/>
        <w:rPr>
          <w:rFonts w:ascii="Garamond" w:hAnsi="Garamond"/>
          <w:b/>
        </w:rPr>
      </w:pPr>
    </w:p>
    <w:p w14:paraId="6B894530" w14:textId="77777777" w:rsidR="00941CEA" w:rsidRDefault="00941CEA" w:rsidP="00941CEA">
      <w:pPr>
        <w:contextualSpacing/>
        <w:jc w:val="both"/>
        <w:rPr>
          <w:rFonts w:ascii="Garamond" w:hAnsi="Garamond"/>
        </w:rPr>
      </w:pPr>
      <w:r w:rsidRPr="00515E78">
        <w:rPr>
          <w:rFonts w:ascii="Garamond" w:hAnsi="Garamond"/>
          <w:b/>
        </w:rPr>
        <w:t>Figure 1</w:t>
      </w:r>
      <w:r w:rsidRPr="00515E78">
        <w:rPr>
          <w:rFonts w:ascii="Garamond" w:hAnsi="Garamond"/>
        </w:rPr>
        <w:t xml:space="preserve">. </w:t>
      </w:r>
      <w:r>
        <w:rPr>
          <w:rFonts w:ascii="Garamond" w:hAnsi="Garamond"/>
        </w:rPr>
        <w:t xml:space="preserve">Impact of eligibility to the 1959 Berthoin reform on average school leaving age </w:t>
      </w:r>
    </w:p>
    <w:p w14:paraId="0B3AE903" w14:textId="77777777" w:rsidR="00941CEA" w:rsidRDefault="00941CEA" w:rsidP="00941CEA">
      <w:pPr>
        <w:contextualSpacing/>
        <w:jc w:val="both"/>
        <w:rPr>
          <w:rFonts w:ascii="Garamond" w:hAnsi="Garamond"/>
        </w:rPr>
      </w:pPr>
    </w:p>
    <w:p w14:paraId="69EE06D7" w14:textId="10FDD87D" w:rsidR="00941CEA" w:rsidRDefault="00941CEA" w:rsidP="00941CEA">
      <w:pPr>
        <w:jc w:val="both"/>
        <w:outlineLvl w:val="0"/>
        <w:rPr>
          <w:rFonts w:ascii="Garamond" w:hAnsi="Garamond"/>
        </w:rPr>
      </w:pPr>
      <w:r w:rsidRPr="00C1427D">
        <w:rPr>
          <w:rFonts w:ascii="Garamond" w:hAnsi="Garamond"/>
          <w:i/>
        </w:rPr>
        <w:t xml:space="preserve">Notes: </w:t>
      </w:r>
      <w:r>
        <w:rPr>
          <w:rFonts w:ascii="Garamond" w:hAnsi="Garamond"/>
        </w:rPr>
        <w:t xml:space="preserve">Data are from the </w:t>
      </w:r>
      <w:r w:rsidRPr="002A27EC">
        <w:rPr>
          <w:rFonts w:ascii="Garamond" w:hAnsi="Garamond"/>
        </w:rPr>
        <w:t>French Labor Force Survey</w:t>
      </w:r>
      <w:r w:rsidR="00323B6A">
        <w:rPr>
          <w:rFonts w:ascii="Garamond" w:hAnsi="Garamond"/>
        </w:rPr>
        <w:t xml:space="preserve"> (2003-2012)</w:t>
      </w:r>
      <w:r w:rsidRPr="002A27EC">
        <w:rPr>
          <w:rFonts w:ascii="Garamond" w:hAnsi="Garamond"/>
        </w:rPr>
        <w:t>.</w:t>
      </w:r>
      <w:r>
        <w:rPr>
          <w:rFonts w:ascii="Garamond" w:hAnsi="Garamond"/>
          <w:i/>
        </w:rPr>
        <w:t xml:space="preserve"> </w:t>
      </w:r>
      <w:r w:rsidRPr="000443EE">
        <w:rPr>
          <w:rFonts w:ascii="Garamond" w:hAnsi="Garamond"/>
        </w:rPr>
        <w:t>The d</w:t>
      </w:r>
      <w:r>
        <w:rPr>
          <w:rFonts w:ascii="Garamond" w:hAnsi="Garamond"/>
        </w:rPr>
        <w:t>ashed</w:t>
      </w:r>
      <w:r w:rsidRPr="000443EE">
        <w:rPr>
          <w:rFonts w:ascii="Garamond" w:hAnsi="Garamond"/>
        </w:rPr>
        <w:t xml:space="preserve"> line represents the first cohort eligible to the reform (born after the 1</w:t>
      </w:r>
      <w:r w:rsidRPr="000443EE">
        <w:rPr>
          <w:rFonts w:ascii="Garamond" w:hAnsi="Garamond"/>
          <w:vertAlign w:val="superscript"/>
        </w:rPr>
        <w:t>st</w:t>
      </w:r>
      <w:r w:rsidRPr="000443EE">
        <w:rPr>
          <w:rFonts w:ascii="Garamond" w:hAnsi="Garamond"/>
        </w:rPr>
        <w:t xml:space="preserve"> of January 1953).</w:t>
      </w:r>
      <w:r>
        <w:rPr>
          <w:rFonts w:ascii="Garamond" w:hAnsi="Garamond"/>
        </w:rPr>
        <w:t xml:space="preserve"> Each dot represents the average school leaving age for a specific month of birth, which are included are the distance between a respondent’s month of birth and the eligibility cut-off (e.g. -12 corresponds to the average school leaving age of respondents born in January 1952). The fitted lines represent the linear trends for our analytical sample: respondents born up to 48 months before or after the reform.</w:t>
      </w:r>
    </w:p>
    <w:p w14:paraId="6AD42B7E" w14:textId="77777777" w:rsidR="00941CEA" w:rsidRDefault="00941CEA" w:rsidP="00941CEA">
      <w:pPr>
        <w:jc w:val="both"/>
        <w:outlineLvl w:val="0"/>
        <w:rPr>
          <w:rFonts w:ascii="Garamond" w:hAnsi="Garamond"/>
        </w:rPr>
      </w:pPr>
    </w:p>
    <w:p w14:paraId="689571B0" w14:textId="4369EE10" w:rsidR="00941CEA" w:rsidRDefault="00941CEA" w:rsidP="00941CEA">
      <w:pPr>
        <w:jc w:val="both"/>
        <w:outlineLvl w:val="0"/>
        <w:rPr>
          <w:rFonts w:ascii="Garamond" w:hAnsi="Garamond"/>
        </w:rPr>
      </w:pPr>
      <w:r w:rsidRPr="00515E78">
        <w:rPr>
          <w:rFonts w:ascii="Garamond" w:hAnsi="Garamond"/>
          <w:b/>
        </w:rPr>
        <w:t xml:space="preserve">Figure </w:t>
      </w:r>
      <w:r>
        <w:rPr>
          <w:rFonts w:ascii="Garamond" w:hAnsi="Garamond"/>
          <w:b/>
        </w:rPr>
        <w:t>2</w:t>
      </w:r>
      <w:r w:rsidRPr="00515E78">
        <w:rPr>
          <w:rFonts w:ascii="Garamond" w:hAnsi="Garamond"/>
        </w:rPr>
        <w:t>.</w:t>
      </w:r>
      <w:r>
        <w:rPr>
          <w:rFonts w:ascii="Garamond" w:hAnsi="Garamond"/>
        </w:rPr>
        <w:t xml:space="preserve"> Impact of eligibility to the 1959 Berthoin reform on diastolic blood pressure and white cells count among respondents from low parental </w:t>
      </w:r>
      <w:r w:rsidR="001A6D16">
        <w:rPr>
          <w:rFonts w:ascii="Garamond" w:hAnsi="Garamond"/>
        </w:rPr>
        <w:t>social class</w:t>
      </w:r>
    </w:p>
    <w:p w14:paraId="6E09C425" w14:textId="77777777" w:rsidR="00941CEA" w:rsidRDefault="00941CEA" w:rsidP="00941CEA">
      <w:pPr>
        <w:jc w:val="both"/>
        <w:outlineLvl w:val="0"/>
        <w:rPr>
          <w:rFonts w:ascii="Garamond" w:hAnsi="Garamond"/>
        </w:rPr>
      </w:pPr>
    </w:p>
    <w:p w14:paraId="70A7E1B9" w14:textId="738B7AE7" w:rsidR="00941CEA" w:rsidRDefault="00941CEA" w:rsidP="00941CEA">
      <w:pPr>
        <w:jc w:val="both"/>
        <w:outlineLvl w:val="0"/>
        <w:rPr>
          <w:rFonts w:ascii="Garamond" w:hAnsi="Garamond"/>
        </w:rPr>
      </w:pPr>
      <w:r w:rsidRPr="00C1427D">
        <w:rPr>
          <w:rFonts w:ascii="Garamond" w:hAnsi="Garamond"/>
          <w:i/>
        </w:rPr>
        <w:t xml:space="preserve">Notes: </w:t>
      </w:r>
      <w:r w:rsidRPr="002A27EC">
        <w:rPr>
          <w:rFonts w:ascii="Garamond" w:hAnsi="Garamond"/>
        </w:rPr>
        <w:t xml:space="preserve">Data are from the </w:t>
      </w:r>
      <w:r>
        <w:rPr>
          <w:rFonts w:ascii="Garamond" w:hAnsi="Garamond"/>
        </w:rPr>
        <w:t>Constances cohort</w:t>
      </w:r>
      <w:r w:rsidRPr="002A27EC">
        <w:rPr>
          <w:rFonts w:ascii="Garamond" w:hAnsi="Garamond"/>
        </w:rPr>
        <w:t>.</w:t>
      </w:r>
      <w:r>
        <w:rPr>
          <w:rFonts w:ascii="Garamond" w:hAnsi="Garamond"/>
          <w:i/>
        </w:rPr>
        <w:t xml:space="preserve"> </w:t>
      </w:r>
      <w:r w:rsidRPr="000443EE">
        <w:rPr>
          <w:rFonts w:ascii="Garamond" w:hAnsi="Garamond"/>
        </w:rPr>
        <w:t>The d</w:t>
      </w:r>
      <w:r>
        <w:rPr>
          <w:rFonts w:ascii="Garamond" w:hAnsi="Garamond"/>
        </w:rPr>
        <w:t>ashed</w:t>
      </w:r>
      <w:r w:rsidRPr="000443EE">
        <w:rPr>
          <w:rFonts w:ascii="Garamond" w:hAnsi="Garamond"/>
        </w:rPr>
        <w:t xml:space="preserve"> line represents the first cohort eligible to the reform (born after the 1</w:t>
      </w:r>
      <w:r w:rsidRPr="000443EE">
        <w:rPr>
          <w:rFonts w:ascii="Garamond" w:hAnsi="Garamond"/>
          <w:vertAlign w:val="superscript"/>
        </w:rPr>
        <w:t>st</w:t>
      </w:r>
      <w:r w:rsidRPr="000443EE">
        <w:rPr>
          <w:rFonts w:ascii="Garamond" w:hAnsi="Garamond"/>
        </w:rPr>
        <w:t xml:space="preserve"> of January 1953).</w:t>
      </w:r>
      <w:r>
        <w:rPr>
          <w:rFonts w:ascii="Garamond" w:hAnsi="Garamond"/>
        </w:rPr>
        <w:t xml:space="preserve"> Each dot represents respondents’ average health outcome for a specific month of birth, which are included are the distance between a respondent’s month of birth and the eligibility cut-off. The fitted lines represent the linear trends for our analytical sample: respondents born up to 48 months before or after the reform.</w:t>
      </w:r>
    </w:p>
    <w:p w14:paraId="6CA844B2" w14:textId="123A68D6" w:rsidR="00CC3DDD" w:rsidRDefault="00CC3DDD">
      <w:pPr>
        <w:rPr>
          <w:rFonts w:ascii="Garamond" w:hAnsi="Garamond"/>
          <w:b/>
        </w:rPr>
      </w:pPr>
      <w:r>
        <w:rPr>
          <w:rFonts w:ascii="Garamond" w:hAnsi="Garamond"/>
          <w:b/>
        </w:rPr>
        <w:br w:type="page"/>
      </w:r>
    </w:p>
    <w:p w14:paraId="156B6DD6" w14:textId="77777777" w:rsidR="00CC3DDD" w:rsidRDefault="00CC3DDD" w:rsidP="00CC3DDD">
      <w:pPr>
        <w:contextualSpacing/>
        <w:outlineLvl w:val="0"/>
        <w:rPr>
          <w:rFonts w:ascii="Garamond" w:hAnsi="Garamond"/>
          <w:b/>
        </w:rPr>
      </w:pPr>
      <w:r>
        <w:rPr>
          <w:rFonts w:ascii="Garamond" w:hAnsi="Garamond"/>
          <w:b/>
        </w:rPr>
        <w:lastRenderedPageBreak/>
        <w:t>FIGURES</w:t>
      </w:r>
    </w:p>
    <w:p w14:paraId="55616A6E" w14:textId="77777777" w:rsidR="00CC3DDD" w:rsidRDefault="00CC3DDD" w:rsidP="00CC3DDD">
      <w:pPr>
        <w:contextualSpacing/>
        <w:rPr>
          <w:rFonts w:ascii="Garamond" w:hAnsi="Garamond"/>
          <w:b/>
        </w:rPr>
      </w:pPr>
    </w:p>
    <w:p w14:paraId="153CE6F0" w14:textId="77777777" w:rsidR="00CC3DDD" w:rsidRDefault="00CC3DDD" w:rsidP="00CC3DDD">
      <w:pPr>
        <w:contextualSpacing/>
        <w:jc w:val="both"/>
        <w:rPr>
          <w:rFonts w:ascii="Garamond" w:hAnsi="Garamond"/>
        </w:rPr>
      </w:pPr>
      <w:r w:rsidRPr="00515E78">
        <w:rPr>
          <w:rFonts w:ascii="Garamond" w:hAnsi="Garamond"/>
          <w:b/>
        </w:rPr>
        <w:t>Figure 1</w:t>
      </w:r>
      <w:r w:rsidRPr="00515E78">
        <w:rPr>
          <w:rFonts w:ascii="Garamond" w:hAnsi="Garamond"/>
        </w:rPr>
        <w:t xml:space="preserve">. </w:t>
      </w:r>
      <w:r>
        <w:rPr>
          <w:rFonts w:ascii="Garamond" w:hAnsi="Garamond"/>
        </w:rPr>
        <w:t xml:space="preserve">Impact of eligibility to the 1959 </w:t>
      </w:r>
      <w:proofErr w:type="spellStart"/>
      <w:r>
        <w:rPr>
          <w:rFonts w:ascii="Garamond" w:hAnsi="Garamond"/>
        </w:rPr>
        <w:t>Berthoin</w:t>
      </w:r>
      <w:proofErr w:type="spellEnd"/>
      <w:r>
        <w:rPr>
          <w:rFonts w:ascii="Garamond" w:hAnsi="Garamond"/>
        </w:rPr>
        <w:t xml:space="preserve"> reform on average school leaving age </w:t>
      </w:r>
    </w:p>
    <w:p w14:paraId="5C744B05" w14:textId="77777777" w:rsidR="00CC3DDD" w:rsidRDefault="00CC3DDD" w:rsidP="00CC3DDD">
      <w:pPr>
        <w:contextualSpacing/>
        <w:rPr>
          <w:rFonts w:ascii="Garamond" w:hAnsi="Garamond"/>
        </w:rPr>
      </w:pPr>
      <w:r>
        <w:rPr>
          <w:rFonts w:ascii="Garamond" w:hAnsi="Garamond"/>
          <w:noProof/>
        </w:rPr>
        <w:drawing>
          <wp:inline distT="0" distB="0" distL="0" distR="0" wp14:anchorId="5F4B6EEA" wp14:editId="6BEAE03F">
            <wp:extent cx="5029200" cy="3657600"/>
            <wp:effectExtent l="0" t="0" r="0" b="0"/>
            <wp:docPr id="1" name="Picture 1" descr="../Figure_1_SSM_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_1_SSM_2.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46EE3BE" w14:textId="77777777" w:rsidR="00CC3DDD" w:rsidRPr="00C1427D" w:rsidRDefault="00CC3DDD" w:rsidP="00CC3DDD">
      <w:pPr>
        <w:jc w:val="both"/>
        <w:rPr>
          <w:rFonts w:ascii="Garamond" w:hAnsi="Garamond"/>
          <w:i/>
        </w:rPr>
      </w:pPr>
      <w:r w:rsidRPr="00C1427D">
        <w:rPr>
          <w:rFonts w:ascii="Garamond" w:hAnsi="Garamond"/>
          <w:i/>
        </w:rPr>
        <w:t xml:space="preserve">Notes: </w:t>
      </w:r>
      <w:r>
        <w:rPr>
          <w:rFonts w:ascii="Garamond" w:hAnsi="Garamond"/>
        </w:rPr>
        <w:t xml:space="preserve">Data are from the </w:t>
      </w:r>
      <w:r w:rsidRPr="002A27EC">
        <w:rPr>
          <w:rFonts w:ascii="Garamond" w:hAnsi="Garamond"/>
        </w:rPr>
        <w:t>French Labor Force Survey.</w:t>
      </w:r>
      <w:r>
        <w:rPr>
          <w:rFonts w:ascii="Garamond" w:hAnsi="Garamond"/>
          <w:i/>
        </w:rPr>
        <w:t xml:space="preserve"> </w:t>
      </w:r>
      <w:r w:rsidRPr="000443EE">
        <w:rPr>
          <w:rFonts w:ascii="Garamond" w:hAnsi="Garamond"/>
        </w:rPr>
        <w:t>The d</w:t>
      </w:r>
      <w:r>
        <w:rPr>
          <w:rFonts w:ascii="Garamond" w:hAnsi="Garamond"/>
        </w:rPr>
        <w:t>ashed</w:t>
      </w:r>
      <w:r w:rsidRPr="000443EE">
        <w:rPr>
          <w:rFonts w:ascii="Garamond" w:hAnsi="Garamond"/>
        </w:rPr>
        <w:t xml:space="preserve"> line represents the first cohort eligible to the reform (born after the 1</w:t>
      </w:r>
      <w:r w:rsidRPr="000443EE">
        <w:rPr>
          <w:rFonts w:ascii="Garamond" w:hAnsi="Garamond"/>
          <w:vertAlign w:val="superscript"/>
        </w:rPr>
        <w:t>st</w:t>
      </w:r>
      <w:r w:rsidRPr="000443EE">
        <w:rPr>
          <w:rFonts w:ascii="Garamond" w:hAnsi="Garamond"/>
        </w:rPr>
        <w:t xml:space="preserve"> of January 1953).</w:t>
      </w:r>
      <w:r>
        <w:rPr>
          <w:rFonts w:ascii="Garamond" w:hAnsi="Garamond"/>
        </w:rPr>
        <w:t xml:space="preserve"> Each dot represents the average school leaving age for a specific month of birth, which are included are the distance between a respondent’s month of birth and the eligibility cut-off (e.g. -12 corresponds to the average school leaving age of respondents born in January 1952). The fitted lines represent the linear trends for our analytical sample: respondents born up to 48 months before or after the reform. </w:t>
      </w:r>
      <w:r>
        <w:rPr>
          <w:rFonts w:ascii="Garamond" w:hAnsi="Garamond"/>
          <w:i/>
        </w:rPr>
        <w:t xml:space="preserve"> </w:t>
      </w:r>
      <w:r w:rsidRPr="00C1427D">
        <w:rPr>
          <w:rFonts w:ascii="Garamond" w:hAnsi="Garamond"/>
          <w:i/>
        </w:rPr>
        <w:br w:type="page"/>
      </w:r>
    </w:p>
    <w:p w14:paraId="5D23E390" w14:textId="77777777" w:rsidR="00CC3DDD" w:rsidRDefault="00CC3DDD" w:rsidP="00CC3DDD">
      <w:pPr>
        <w:contextualSpacing/>
        <w:jc w:val="both"/>
        <w:rPr>
          <w:rFonts w:ascii="Garamond" w:hAnsi="Garamond"/>
        </w:rPr>
      </w:pPr>
      <w:r w:rsidRPr="00515E78">
        <w:rPr>
          <w:rFonts w:ascii="Garamond" w:hAnsi="Garamond"/>
          <w:b/>
        </w:rPr>
        <w:lastRenderedPageBreak/>
        <w:t xml:space="preserve">Figure </w:t>
      </w:r>
      <w:r>
        <w:rPr>
          <w:rFonts w:ascii="Garamond" w:hAnsi="Garamond"/>
          <w:b/>
        </w:rPr>
        <w:t>2</w:t>
      </w:r>
      <w:r w:rsidRPr="00515E78">
        <w:rPr>
          <w:rFonts w:ascii="Garamond" w:hAnsi="Garamond"/>
        </w:rPr>
        <w:t>.</w:t>
      </w:r>
      <w:r>
        <w:rPr>
          <w:rFonts w:ascii="Garamond" w:hAnsi="Garamond"/>
        </w:rPr>
        <w:t xml:space="preserve"> </w:t>
      </w:r>
      <w:bookmarkStart w:id="63" w:name="_Hlk511233875"/>
      <w:r>
        <w:rPr>
          <w:rFonts w:ascii="Garamond" w:hAnsi="Garamond"/>
        </w:rPr>
        <w:t xml:space="preserve">Impact of eligibility to the 1959 </w:t>
      </w:r>
      <w:proofErr w:type="spellStart"/>
      <w:r>
        <w:rPr>
          <w:rFonts w:ascii="Garamond" w:hAnsi="Garamond"/>
        </w:rPr>
        <w:t>Berthoin</w:t>
      </w:r>
      <w:proofErr w:type="spellEnd"/>
      <w:r>
        <w:rPr>
          <w:rFonts w:ascii="Garamond" w:hAnsi="Garamond"/>
        </w:rPr>
        <w:t xml:space="preserve"> reform on diastolic blood pressure and white cells count among respondents from low parental social class</w:t>
      </w:r>
    </w:p>
    <w:p w14:paraId="44DDE8C0" w14:textId="77777777" w:rsidR="00CC3DDD" w:rsidRDefault="00CC3DDD" w:rsidP="00CC3DDD">
      <w:pPr>
        <w:contextualSpacing/>
        <w:rPr>
          <w:rFonts w:ascii="Garamond" w:hAnsi="Garamond"/>
        </w:rPr>
      </w:pPr>
    </w:p>
    <w:p w14:paraId="1036D4A3" w14:textId="77777777" w:rsidR="00CC3DDD" w:rsidRPr="00375035" w:rsidRDefault="00CC3DDD" w:rsidP="00CC3DDD">
      <w:pPr>
        <w:rPr>
          <w:rFonts w:ascii="Garamond" w:hAnsi="Garamond"/>
          <w:b/>
        </w:rPr>
      </w:pPr>
      <w:r>
        <w:rPr>
          <w:rFonts w:ascii="Garamond" w:hAnsi="Garamond"/>
          <w:b/>
        </w:rPr>
        <w:t xml:space="preserve">Panel </w:t>
      </w:r>
      <w:r w:rsidRPr="00375035">
        <w:rPr>
          <w:rFonts w:ascii="Garamond" w:hAnsi="Garamond"/>
          <w:b/>
        </w:rPr>
        <w:t>A. Diastolic blood pressure</w:t>
      </w:r>
    </w:p>
    <w:bookmarkEnd w:id="63"/>
    <w:p w14:paraId="22881E40" w14:textId="77777777" w:rsidR="00CC3DDD" w:rsidRDefault="00CC3DDD" w:rsidP="00CC3DDD">
      <w:pPr>
        <w:jc w:val="center"/>
        <w:rPr>
          <w:b/>
        </w:rPr>
      </w:pPr>
      <w:r>
        <w:rPr>
          <w:noProof/>
        </w:rPr>
        <w:drawing>
          <wp:inline distT="0" distB="0" distL="0" distR="0" wp14:anchorId="2CA9B78A" wp14:editId="05F2FD48">
            <wp:extent cx="3275216" cy="2381976"/>
            <wp:effectExtent l="0" t="0" r="1905" b="5715"/>
            <wp:docPr id="8" name="Picture 8" descr="../Desktop/Berthoin%20reform/Effect%20on%20cardiovascular%20health/SSM%20submission/discontinuity_month%20of%20birth_DB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Berthoin%20reform/Effect%20on%20cardiovascular%20health/SSM%20submission/discontinuity_month%20of%20birth_DBP.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94429" cy="2395949"/>
                    </a:xfrm>
                    <a:prstGeom prst="rect">
                      <a:avLst/>
                    </a:prstGeom>
                    <a:noFill/>
                    <a:ln>
                      <a:noFill/>
                    </a:ln>
                  </pic:spPr>
                </pic:pic>
              </a:graphicData>
            </a:graphic>
          </wp:inline>
        </w:drawing>
      </w:r>
    </w:p>
    <w:p w14:paraId="5AFD3718" w14:textId="77777777" w:rsidR="00CC3DDD" w:rsidRPr="00375035" w:rsidRDefault="00CC3DDD" w:rsidP="00CC3DDD">
      <w:pPr>
        <w:rPr>
          <w:rFonts w:ascii="Garamond" w:hAnsi="Garamond"/>
          <w:b/>
        </w:rPr>
      </w:pPr>
      <w:r>
        <w:rPr>
          <w:rFonts w:ascii="Garamond" w:hAnsi="Garamond"/>
          <w:b/>
        </w:rPr>
        <w:t xml:space="preserve">Panel </w:t>
      </w:r>
      <w:r w:rsidRPr="00375035">
        <w:rPr>
          <w:rFonts w:ascii="Garamond" w:hAnsi="Garamond"/>
          <w:b/>
        </w:rPr>
        <w:t>B. White blood cells count</w:t>
      </w:r>
    </w:p>
    <w:p w14:paraId="3F377640" w14:textId="77777777" w:rsidR="00CC3DDD" w:rsidRPr="00375035" w:rsidRDefault="00CC3DDD" w:rsidP="00CC3DDD">
      <w:pPr>
        <w:jc w:val="center"/>
        <w:rPr>
          <w:noProof/>
        </w:rPr>
      </w:pPr>
      <w:r>
        <w:rPr>
          <w:noProof/>
        </w:rPr>
        <w:drawing>
          <wp:inline distT="0" distB="0" distL="0" distR="0" wp14:anchorId="55EB65F5" wp14:editId="42B347B0">
            <wp:extent cx="3483700" cy="2533601"/>
            <wp:effectExtent l="0" t="0" r="0" b="6985"/>
            <wp:docPr id="9" name="Picture 9" descr="../Desktop/Berthoin%20reform/Effect%20on%20cardiovascular%20health/SSM%20submission/discontinuity_month%20of%20birth_white%20blood%20cell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erthoin%20reform/Effect%20on%20cardiovascular%20health/SSM%20submission/discontinuity_month%20of%20birth_white%20blood%20cells.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18713" cy="2559065"/>
                    </a:xfrm>
                    <a:prstGeom prst="rect">
                      <a:avLst/>
                    </a:prstGeom>
                    <a:noFill/>
                    <a:ln>
                      <a:noFill/>
                    </a:ln>
                  </pic:spPr>
                </pic:pic>
              </a:graphicData>
            </a:graphic>
          </wp:inline>
        </w:drawing>
      </w:r>
    </w:p>
    <w:p w14:paraId="4DC0499E" w14:textId="77777777" w:rsidR="00CC3DDD" w:rsidRDefault="00CC3DDD" w:rsidP="00CC3DDD">
      <w:pPr>
        <w:jc w:val="both"/>
        <w:rPr>
          <w:b/>
        </w:rPr>
      </w:pPr>
      <w:r w:rsidRPr="00C1427D">
        <w:rPr>
          <w:rFonts w:ascii="Garamond" w:hAnsi="Garamond"/>
          <w:i/>
        </w:rPr>
        <w:t xml:space="preserve">Notes: </w:t>
      </w:r>
      <w:r w:rsidRPr="002A27EC">
        <w:rPr>
          <w:rFonts w:ascii="Garamond" w:hAnsi="Garamond"/>
        </w:rPr>
        <w:t xml:space="preserve">Data are from the </w:t>
      </w:r>
      <w:proofErr w:type="spellStart"/>
      <w:r>
        <w:rPr>
          <w:rFonts w:ascii="Garamond" w:hAnsi="Garamond"/>
        </w:rPr>
        <w:t>Constances</w:t>
      </w:r>
      <w:proofErr w:type="spellEnd"/>
      <w:r>
        <w:rPr>
          <w:rFonts w:ascii="Garamond" w:hAnsi="Garamond"/>
        </w:rPr>
        <w:t xml:space="preserve"> cohort</w:t>
      </w:r>
      <w:r w:rsidRPr="002A27EC">
        <w:rPr>
          <w:rFonts w:ascii="Garamond" w:hAnsi="Garamond"/>
        </w:rPr>
        <w:t>.</w:t>
      </w:r>
      <w:r>
        <w:rPr>
          <w:rFonts w:ascii="Garamond" w:hAnsi="Garamond"/>
          <w:i/>
        </w:rPr>
        <w:t xml:space="preserve"> </w:t>
      </w:r>
      <w:r w:rsidRPr="000443EE">
        <w:rPr>
          <w:rFonts w:ascii="Garamond" w:hAnsi="Garamond"/>
        </w:rPr>
        <w:t>The d</w:t>
      </w:r>
      <w:r>
        <w:rPr>
          <w:rFonts w:ascii="Garamond" w:hAnsi="Garamond"/>
        </w:rPr>
        <w:t>ashed</w:t>
      </w:r>
      <w:r w:rsidRPr="000443EE">
        <w:rPr>
          <w:rFonts w:ascii="Garamond" w:hAnsi="Garamond"/>
        </w:rPr>
        <w:t xml:space="preserve"> line represents the first cohort eligible to the reform (born after the 1</w:t>
      </w:r>
      <w:r w:rsidRPr="000443EE">
        <w:rPr>
          <w:rFonts w:ascii="Garamond" w:hAnsi="Garamond"/>
          <w:vertAlign w:val="superscript"/>
        </w:rPr>
        <w:t>st</w:t>
      </w:r>
      <w:r w:rsidRPr="000443EE">
        <w:rPr>
          <w:rFonts w:ascii="Garamond" w:hAnsi="Garamond"/>
        </w:rPr>
        <w:t xml:space="preserve"> of January 1953).</w:t>
      </w:r>
      <w:r>
        <w:rPr>
          <w:rFonts w:ascii="Garamond" w:hAnsi="Garamond"/>
        </w:rPr>
        <w:t xml:space="preserve"> Each dot represents respondents’ average health outcome for a specific month of birth, which are included are the distance between a respondent’s month of birth and the eligibility cut-off. The fitted lines represent the linear trends for our analytical sample: respondents born up to 48 months before or after the reform.</w:t>
      </w:r>
    </w:p>
    <w:p w14:paraId="64D52077" w14:textId="77777777" w:rsidR="00CC3DDD" w:rsidRDefault="00CC3DDD" w:rsidP="00CC3DDD"/>
    <w:p w14:paraId="65D49B87" w14:textId="6FFDED67" w:rsidR="00CC3DDD" w:rsidRDefault="00CC3DDD">
      <w:pPr>
        <w:rPr>
          <w:rFonts w:ascii="Garamond" w:hAnsi="Garamond"/>
          <w:b/>
        </w:rPr>
      </w:pPr>
      <w:r>
        <w:rPr>
          <w:rFonts w:ascii="Garamond" w:hAnsi="Garamond"/>
          <w:b/>
        </w:rPr>
        <w:br w:type="page"/>
      </w:r>
    </w:p>
    <w:p w14:paraId="68A16BBC" w14:textId="77777777" w:rsidR="00C73116" w:rsidRPr="004B6CC7" w:rsidRDefault="00C73116" w:rsidP="00C73116">
      <w:pPr>
        <w:outlineLvl w:val="0"/>
        <w:rPr>
          <w:rFonts w:ascii="Garamond" w:hAnsi="Garamond"/>
          <w:b/>
        </w:rPr>
      </w:pPr>
      <w:r w:rsidRPr="004B6CC7">
        <w:rPr>
          <w:rFonts w:ascii="Garamond" w:hAnsi="Garamond"/>
          <w:b/>
        </w:rPr>
        <w:lastRenderedPageBreak/>
        <w:t>TABLES</w:t>
      </w:r>
    </w:p>
    <w:p w14:paraId="13AF0B47" w14:textId="77777777" w:rsidR="00C73116" w:rsidRPr="004B6CC7" w:rsidRDefault="00C73116" w:rsidP="00C73116">
      <w:pPr>
        <w:rPr>
          <w:rFonts w:ascii="Garamond" w:hAnsi="Garamond"/>
          <w:b/>
        </w:rPr>
      </w:pPr>
    </w:p>
    <w:p w14:paraId="3D505F8F" w14:textId="77777777" w:rsidR="00C73116" w:rsidRPr="004B6CC7" w:rsidRDefault="00C73116" w:rsidP="00C73116">
      <w:pPr>
        <w:contextualSpacing/>
        <w:jc w:val="both"/>
        <w:outlineLvl w:val="0"/>
        <w:rPr>
          <w:rFonts w:ascii="Garamond" w:hAnsi="Garamond"/>
        </w:rPr>
      </w:pPr>
      <w:r w:rsidRPr="004B6CC7">
        <w:rPr>
          <w:rFonts w:ascii="Garamond" w:hAnsi="Garamond"/>
          <w:b/>
        </w:rPr>
        <w:t>Table 1</w:t>
      </w:r>
      <w:r>
        <w:rPr>
          <w:rFonts w:ascii="Garamond" w:hAnsi="Garamond"/>
        </w:rPr>
        <w:t xml:space="preserve">. Sample characteristics </w:t>
      </w:r>
      <w:r w:rsidRPr="004B6CC7">
        <w:rPr>
          <w:rFonts w:ascii="Garamond" w:hAnsi="Garamond"/>
        </w:rPr>
        <w:t xml:space="preserve">by eligibility </w:t>
      </w:r>
      <w:r>
        <w:rPr>
          <w:rFonts w:ascii="Garamond" w:hAnsi="Garamond"/>
        </w:rPr>
        <w:t>status (</w:t>
      </w:r>
      <w:r w:rsidRPr="00C43A0C">
        <w:rPr>
          <w:rFonts w:ascii="Garamond" w:hAnsi="Garamond"/>
          <w:i/>
        </w:rPr>
        <w:t>N</w:t>
      </w:r>
      <w:r>
        <w:rPr>
          <w:rFonts w:ascii="Garamond" w:hAnsi="Garamond"/>
        </w:rPr>
        <w:t>=18,929)</w:t>
      </w:r>
    </w:p>
    <w:tbl>
      <w:tblPr>
        <w:tblW w:w="8640" w:type="dxa"/>
        <w:tblLayout w:type="fixed"/>
        <w:tblLook w:val="04A0" w:firstRow="1" w:lastRow="0" w:firstColumn="1" w:lastColumn="0" w:noHBand="0" w:noVBand="1"/>
      </w:tblPr>
      <w:tblGrid>
        <w:gridCol w:w="3782"/>
        <w:gridCol w:w="2160"/>
        <w:gridCol w:w="1710"/>
        <w:gridCol w:w="988"/>
      </w:tblGrid>
      <w:tr w:rsidR="00C73116" w:rsidRPr="004B6CC7" w14:paraId="6C578CBF" w14:textId="77777777" w:rsidTr="008E22F5">
        <w:trPr>
          <w:trHeight w:val="315"/>
        </w:trPr>
        <w:tc>
          <w:tcPr>
            <w:tcW w:w="3782" w:type="dxa"/>
            <w:tcBorders>
              <w:top w:val="double" w:sz="4" w:space="0" w:color="auto"/>
              <w:left w:val="nil"/>
              <w:bottom w:val="nil"/>
              <w:right w:val="nil"/>
            </w:tcBorders>
            <w:shd w:val="clear" w:color="auto" w:fill="auto"/>
            <w:noWrap/>
            <w:vAlign w:val="bottom"/>
            <w:hideMark/>
          </w:tcPr>
          <w:p w14:paraId="4F6ED6B4" w14:textId="77777777" w:rsidR="00C73116" w:rsidRPr="004B6CC7" w:rsidRDefault="00C73116" w:rsidP="008E22F5">
            <w:pPr>
              <w:rPr>
                <w:rFonts w:ascii="Garamond" w:eastAsia="Times New Roman" w:hAnsi="Garamond"/>
                <w:lang w:eastAsia="en-GB"/>
              </w:rPr>
            </w:pPr>
          </w:p>
        </w:tc>
        <w:tc>
          <w:tcPr>
            <w:tcW w:w="2160" w:type="dxa"/>
            <w:tcBorders>
              <w:top w:val="double" w:sz="4" w:space="0" w:color="auto"/>
              <w:left w:val="nil"/>
              <w:bottom w:val="single" w:sz="4" w:space="0" w:color="auto"/>
              <w:right w:val="nil"/>
            </w:tcBorders>
            <w:shd w:val="clear" w:color="auto" w:fill="auto"/>
            <w:vAlign w:val="bottom"/>
            <w:hideMark/>
          </w:tcPr>
          <w:p w14:paraId="6A2F847D" w14:textId="77777777" w:rsidR="00C73116" w:rsidRPr="004B6CC7" w:rsidRDefault="00C73116" w:rsidP="008E22F5">
            <w:pPr>
              <w:jc w:val="center"/>
              <w:rPr>
                <w:rFonts w:ascii="Garamond" w:eastAsia="Times New Roman" w:hAnsi="Garamond" w:cs="Calibri"/>
                <w:bCs/>
                <w:color w:val="000000"/>
                <w:lang w:eastAsia="en-GB"/>
              </w:rPr>
            </w:pPr>
            <w:r w:rsidRPr="004B6CC7">
              <w:rPr>
                <w:rFonts w:ascii="Garamond" w:eastAsia="Times New Roman" w:hAnsi="Garamond" w:cs="Calibri"/>
                <w:bCs/>
                <w:color w:val="000000"/>
                <w:lang w:eastAsia="en-GB"/>
              </w:rPr>
              <w:t>Eligible group</w:t>
            </w:r>
          </w:p>
          <w:p w14:paraId="3BFAAC17" w14:textId="77777777" w:rsidR="00C73116" w:rsidRPr="004B6CC7" w:rsidRDefault="00C73116" w:rsidP="008E22F5">
            <w:pPr>
              <w:jc w:val="center"/>
              <w:rPr>
                <w:rFonts w:ascii="Garamond" w:eastAsia="Times New Roman" w:hAnsi="Garamond" w:cs="Calibri"/>
                <w:bCs/>
                <w:color w:val="000000"/>
                <w:lang w:eastAsia="en-GB"/>
              </w:rPr>
            </w:pPr>
            <w:r w:rsidRPr="004B6CC7">
              <w:rPr>
                <w:rFonts w:ascii="Garamond" w:eastAsia="Times New Roman" w:hAnsi="Garamond" w:cs="Calibri"/>
                <w:bCs/>
                <w:color w:val="000000"/>
                <w:lang w:eastAsia="en-GB"/>
              </w:rPr>
              <w:t>(born on or after the 1</w:t>
            </w:r>
            <w:r w:rsidRPr="004B6CC7">
              <w:rPr>
                <w:rFonts w:ascii="Garamond" w:eastAsia="Times New Roman" w:hAnsi="Garamond" w:cs="Calibri"/>
                <w:bCs/>
                <w:color w:val="000000"/>
                <w:vertAlign w:val="superscript"/>
                <w:lang w:eastAsia="en-GB"/>
              </w:rPr>
              <w:t>st</w:t>
            </w:r>
            <w:r w:rsidRPr="004B6CC7">
              <w:rPr>
                <w:rFonts w:ascii="Garamond" w:eastAsia="Times New Roman" w:hAnsi="Garamond" w:cs="Calibri"/>
                <w:bCs/>
                <w:color w:val="000000"/>
                <w:lang w:eastAsia="en-GB"/>
              </w:rPr>
              <w:t xml:space="preserve"> of January 1953, </w:t>
            </w:r>
            <w:r w:rsidRPr="004B6CC7">
              <w:rPr>
                <w:rFonts w:ascii="Garamond" w:eastAsia="Times New Roman" w:hAnsi="Garamond" w:cs="Calibri"/>
                <w:bCs/>
                <w:i/>
                <w:color w:val="000000"/>
                <w:lang w:eastAsia="en-GB"/>
              </w:rPr>
              <w:t>N</w:t>
            </w:r>
            <w:r w:rsidRPr="004B6CC7">
              <w:rPr>
                <w:rFonts w:ascii="Garamond" w:eastAsia="Times New Roman" w:hAnsi="Garamond" w:cs="Calibri"/>
                <w:bCs/>
                <w:color w:val="000000"/>
                <w:lang w:eastAsia="en-GB"/>
              </w:rPr>
              <w:t>=9,286)</w:t>
            </w:r>
          </w:p>
        </w:tc>
        <w:tc>
          <w:tcPr>
            <w:tcW w:w="1710" w:type="dxa"/>
            <w:tcBorders>
              <w:top w:val="double" w:sz="4" w:space="0" w:color="auto"/>
              <w:left w:val="nil"/>
              <w:bottom w:val="single" w:sz="4" w:space="0" w:color="auto"/>
              <w:right w:val="nil"/>
            </w:tcBorders>
            <w:shd w:val="clear" w:color="auto" w:fill="auto"/>
            <w:vAlign w:val="bottom"/>
            <w:hideMark/>
          </w:tcPr>
          <w:p w14:paraId="1AA8D1CA" w14:textId="77777777" w:rsidR="00C73116" w:rsidRPr="004B6CC7" w:rsidRDefault="00C73116" w:rsidP="008E22F5">
            <w:pPr>
              <w:jc w:val="center"/>
              <w:rPr>
                <w:rFonts w:ascii="Garamond" w:eastAsia="Times New Roman" w:hAnsi="Garamond" w:cs="Calibri"/>
                <w:bCs/>
                <w:color w:val="000000"/>
                <w:lang w:eastAsia="en-GB"/>
              </w:rPr>
            </w:pPr>
            <w:r w:rsidRPr="004B6CC7">
              <w:rPr>
                <w:rFonts w:ascii="Garamond" w:eastAsia="Times New Roman" w:hAnsi="Garamond" w:cs="Calibri"/>
                <w:bCs/>
                <w:color w:val="000000"/>
                <w:lang w:eastAsia="en-GB"/>
              </w:rPr>
              <w:t>Ineligible group</w:t>
            </w:r>
          </w:p>
          <w:p w14:paraId="5984E748" w14:textId="77777777" w:rsidR="00C73116" w:rsidRPr="004B6CC7" w:rsidRDefault="00C73116" w:rsidP="008E22F5">
            <w:pPr>
              <w:jc w:val="center"/>
              <w:rPr>
                <w:rFonts w:ascii="Garamond" w:eastAsia="Times New Roman" w:hAnsi="Garamond" w:cs="Calibri"/>
                <w:bCs/>
                <w:color w:val="000000"/>
                <w:lang w:eastAsia="en-GB"/>
              </w:rPr>
            </w:pPr>
            <w:r w:rsidRPr="004B6CC7">
              <w:rPr>
                <w:rFonts w:ascii="Garamond" w:eastAsia="Times New Roman" w:hAnsi="Garamond" w:cs="Calibri"/>
                <w:bCs/>
                <w:color w:val="000000"/>
                <w:lang w:eastAsia="en-GB"/>
              </w:rPr>
              <w:t>(born before the 1</w:t>
            </w:r>
            <w:r w:rsidRPr="004B6CC7">
              <w:rPr>
                <w:rFonts w:ascii="Garamond" w:eastAsia="Times New Roman" w:hAnsi="Garamond" w:cs="Calibri"/>
                <w:bCs/>
                <w:color w:val="000000"/>
                <w:vertAlign w:val="superscript"/>
                <w:lang w:eastAsia="en-GB"/>
              </w:rPr>
              <w:t>st</w:t>
            </w:r>
            <w:r w:rsidRPr="004B6CC7">
              <w:rPr>
                <w:rFonts w:ascii="Garamond" w:eastAsia="Times New Roman" w:hAnsi="Garamond" w:cs="Calibri"/>
                <w:bCs/>
                <w:color w:val="000000"/>
                <w:lang w:eastAsia="en-GB"/>
              </w:rPr>
              <w:t xml:space="preserve"> of January 1953, </w:t>
            </w:r>
            <w:r w:rsidRPr="004B6CC7">
              <w:rPr>
                <w:rFonts w:ascii="Garamond" w:eastAsia="Times New Roman" w:hAnsi="Garamond" w:cs="Calibri"/>
                <w:bCs/>
                <w:i/>
                <w:color w:val="000000"/>
                <w:lang w:eastAsia="en-GB"/>
              </w:rPr>
              <w:t>N</w:t>
            </w:r>
            <w:r w:rsidRPr="004B6CC7">
              <w:rPr>
                <w:rFonts w:ascii="Garamond" w:eastAsia="Times New Roman" w:hAnsi="Garamond" w:cs="Calibri"/>
                <w:bCs/>
                <w:color w:val="000000"/>
                <w:lang w:eastAsia="en-GB"/>
              </w:rPr>
              <w:t>=9,629)</w:t>
            </w:r>
          </w:p>
        </w:tc>
        <w:tc>
          <w:tcPr>
            <w:tcW w:w="988" w:type="dxa"/>
            <w:tcBorders>
              <w:top w:val="double" w:sz="4" w:space="0" w:color="auto"/>
              <w:left w:val="nil"/>
              <w:bottom w:val="single" w:sz="4" w:space="0" w:color="auto"/>
              <w:right w:val="nil"/>
            </w:tcBorders>
          </w:tcPr>
          <w:p w14:paraId="5AA99823" w14:textId="77777777" w:rsidR="00C73116" w:rsidRPr="004B6CC7" w:rsidRDefault="00C73116" w:rsidP="008E22F5">
            <w:pPr>
              <w:jc w:val="center"/>
              <w:rPr>
                <w:rFonts w:ascii="Garamond" w:eastAsia="Times New Roman" w:hAnsi="Garamond" w:cs="Calibri"/>
                <w:bCs/>
                <w:i/>
                <w:color w:val="000000"/>
                <w:lang w:eastAsia="en-GB"/>
              </w:rPr>
            </w:pPr>
          </w:p>
          <w:p w14:paraId="373E4E88" w14:textId="77777777" w:rsidR="00C73116" w:rsidRPr="004B6CC7" w:rsidRDefault="00C73116" w:rsidP="008E22F5">
            <w:pPr>
              <w:jc w:val="center"/>
              <w:rPr>
                <w:rFonts w:ascii="Garamond" w:eastAsia="Times New Roman" w:hAnsi="Garamond" w:cs="Calibri"/>
                <w:bCs/>
                <w:color w:val="000000"/>
                <w:lang w:eastAsia="en-GB"/>
              </w:rPr>
            </w:pPr>
            <w:r w:rsidRPr="004B6CC7">
              <w:rPr>
                <w:rFonts w:ascii="Garamond" w:eastAsia="Times New Roman" w:hAnsi="Garamond" w:cs="Calibri"/>
                <w:bCs/>
                <w:i/>
                <w:color w:val="000000"/>
                <w:lang w:eastAsia="en-GB"/>
              </w:rPr>
              <w:t>P</w:t>
            </w:r>
            <w:r w:rsidRPr="004B6CC7">
              <w:rPr>
                <w:rFonts w:ascii="Garamond" w:eastAsia="Times New Roman" w:hAnsi="Garamond" w:cs="Calibri"/>
                <w:bCs/>
                <w:color w:val="000000"/>
                <w:lang w:eastAsia="en-GB"/>
              </w:rPr>
              <w:t xml:space="preserve"> value</w:t>
            </w:r>
          </w:p>
        </w:tc>
      </w:tr>
      <w:tr w:rsidR="00C73116" w:rsidRPr="004B6CC7" w14:paraId="2DD10C3D" w14:textId="77777777" w:rsidTr="008E22F5">
        <w:trPr>
          <w:trHeight w:val="315"/>
        </w:trPr>
        <w:tc>
          <w:tcPr>
            <w:tcW w:w="3782" w:type="dxa"/>
            <w:tcBorders>
              <w:top w:val="nil"/>
              <w:left w:val="nil"/>
              <w:bottom w:val="nil"/>
              <w:right w:val="nil"/>
            </w:tcBorders>
            <w:shd w:val="clear" w:color="auto" w:fill="auto"/>
            <w:noWrap/>
            <w:vAlign w:val="bottom"/>
            <w:hideMark/>
          </w:tcPr>
          <w:p w14:paraId="75BF7751" w14:textId="77777777" w:rsidR="00C73116" w:rsidRPr="004B6CC7" w:rsidRDefault="00C73116" w:rsidP="008E22F5">
            <w:pPr>
              <w:rPr>
                <w:rFonts w:ascii="Garamond" w:eastAsia="Times New Roman" w:hAnsi="Garamond" w:cs="Calibri"/>
                <w:color w:val="000000"/>
                <w:lang w:eastAsia="en-GB"/>
              </w:rPr>
            </w:pPr>
            <w:r w:rsidRPr="004B6CC7">
              <w:rPr>
                <w:rFonts w:ascii="Garamond" w:eastAsia="Times New Roman" w:hAnsi="Garamond" w:cs="Calibri"/>
                <w:color w:val="000000"/>
                <w:lang w:eastAsia="en-GB"/>
              </w:rPr>
              <w:t>Mean Age (SD)</w:t>
            </w:r>
          </w:p>
        </w:tc>
        <w:tc>
          <w:tcPr>
            <w:tcW w:w="2160" w:type="dxa"/>
            <w:tcBorders>
              <w:top w:val="single" w:sz="4" w:space="0" w:color="auto"/>
              <w:left w:val="nil"/>
              <w:bottom w:val="nil"/>
              <w:right w:val="nil"/>
            </w:tcBorders>
            <w:shd w:val="clear" w:color="auto" w:fill="auto"/>
            <w:noWrap/>
            <w:vAlign w:val="bottom"/>
            <w:hideMark/>
          </w:tcPr>
          <w:p w14:paraId="4D51490C"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59.72 (1.64)</w:t>
            </w:r>
          </w:p>
        </w:tc>
        <w:tc>
          <w:tcPr>
            <w:tcW w:w="1710" w:type="dxa"/>
            <w:tcBorders>
              <w:top w:val="single" w:sz="4" w:space="0" w:color="auto"/>
              <w:left w:val="nil"/>
              <w:bottom w:val="nil"/>
              <w:right w:val="nil"/>
            </w:tcBorders>
            <w:shd w:val="clear" w:color="auto" w:fill="auto"/>
            <w:noWrap/>
            <w:vAlign w:val="bottom"/>
            <w:hideMark/>
          </w:tcPr>
          <w:p w14:paraId="426C3D7B"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63.67 (1.65)</w:t>
            </w:r>
          </w:p>
        </w:tc>
        <w:tc>
          <w:tcPr>
            <w:tcW w:w="988" w:type="dxa"/>
            <w:tcBorders>
              <w:top w:val="single" w:sz="4" w:space="0" w:color="auto"/>
              <w:left w:val="nil"/>
              <w:bottom w:val="nil"/>
              <w:right w:val="nil"/>
            </w:tcBorders>
          </w:tcPr>
          <w:p w14:paraId="4D7F75A5"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&gt;0.001</w:t>
            </w:r>
          </w:p>
        </w:tc>
      </w:tr>
      <w:tr w:rsidR="00C73116" w:rsidRPr="004B6CC7" w14:paraId="7D9B0691" w14:textId="77777777" w:rsidTr="008E22F5">
        <w:trPr>
          <w:trHeight w:val="315"/>
        </w:trPr>
        <w:tc>
          <w:tcPr>
            <w:tcW w:w="3782" w:type="dxa"/>
            <w:tcBorders>
              <w:top w:val="nil"/>
              <w:left w:val="nil"/>
              <w:bottom w:val="nil"/>
              <w:right w:val="nil"/>
            </w:tcBorders>
            <w:shd w:val="clear" w:color="auto" w:fill="auto"/>
            <w:noWrap/>
            <w:vAlign w:val="bottom"/>
            <w:hideMark/>
          </w:tcPr>
          <w:p w14:paraId="47CF5D12" w14:textId="77777777" w:rsidR="00C73116" w:rsidRPr="004B6CC7" w:rsidRDefault="00C73116" w:rsidP="008E22F5">
            <w:pPr>
              <w:rPr>
                <w:rFonts w:ascii="Garamond" w:eastAsia="Times New Roman" w:hAnsi="Garamond" w:cs="Calibri"/>
                <w:color w:val="000000"/>
                <w:lang w:eastAsia="en-GB"/>
              </w:rPr>
            </w:pPr>
            <w:r w:rsidRPr="004B6CC7">
              <w:rPr>
                <w:rFonts w:ascii="Garamond" w:eastAsia="Times New Roman" w:hAnsi="Garamond" w:cs="Calibri"/>
                <w:color w:val="000000"/>
                <w:lang w:eastAsia="en-GB"/>
              </w:rPr>
              <w:t>Female (%)</w:t>
            </w:r>
          </w:p>
        </w:tc>
        <w:tc>
          <w:tcPr>
            <w:tcW w:w="2160" w:type="dxa"/>
            <w:tcBorders>
              <w:top w:val="nil"/>
              <w:left w:val="nil"/>
              <w:bottom w:val="nil"/>
              <w:right w:val="nil"/>
            </w:tcBorders>
            <w:shd w:val="clear" w:color="auto" w:fill="auto"/>
            <w:noWrap/>
            <w:vAlign w:val="bottom"/>
            <w:hideMark/>
          </w:tcPr>
          <w:p w14:paraId="79325E5E"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51.98</w:t>
            </w:r>
          </w:p>
        </w:tc>
        <w:tc>
          <w:tcPr>
            <w:tcW w:w="1710" w:type="dxa"/>
            <w:tcBorders>
              <w:top w:val="nil"/>
              <w:left w:val="nil"/>
              <w:bottom w:val="nil"/>
              <w:right w:val="nil"/>
            </w:tcBorders>
            <w:shd w:val="clear" w:color="auto" w:fill="auto"/>
            <w:noWrap/>
            <w:vAlign w:val="bottom"/>
            <w:hideMark/>
          </w:tcPr>
          <w:p w14:paraId="1C5B2C65"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51.24</w:t>
            </w:r>
          </w:p>
        </w:tc>
        <w:tc>
          <w:tcPr>
            <w:tcW w:w="988" w:type="dxa"/>
            <w:tcBorders>
              <w:top w:val="nil"/>
              <w:left w:val="nil"/>
              <w:bottom w:val="nil"/>
              <w:right w:val="nil"/>
            </w:tcBorders>
          </w:tcPr>
          <w:p w14:paraId="70C2D610"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0.31</w:t>
            </w:r>
          </w:p>
        </w:tc>
      </w:tr>
      <w:tr w:rsidR="00C73116" w:rsidRPr="004B6CC7" w14:paraId="7EB8856A" w14:textId="77777777" w:rsidTr="008E22F5">
        <w:trPr>
          <w:trHeight w:val="630"/>
        </w:trPr>
        <w:tc>
          <w:tcPr>
            <w:tcW w:w="3782" w:type="dxa"/>
            <w:tcBorders>
              <w:top w:val="nil"/>
              <w:left w:val="nil"/>
              <w:bottom w:val="nil"/>
              <w:right w:val="nil"/>
            </w:tcBorders>
            <w:shd w:val="clear" w:color="auto" w:fill="auto"/>
            <w:vAlign w:val="bottom"/>
            <w:hideMark/>
          </w:tcPr>
          <w:p w14:paraId="3F57D21A" w14:textId="77777777" w:rsidR="00C73116" w:rsidRPr="006666B0" w:rsidRDefault="00C73116" w:rsidP="008E22F5">
            <w:pPr>
              <w:rPr>
                <w:rFonts w:ascii="Garamond" w:eastAsia="Times New Roman" w:hAnsi="Garamond" w:cs="Calibri"/>
                <w:color w:val="000000"/>
                <w:lang w:eastAsia="en-GB"/>
              </w:rPr>
            </w:pPr>
            <w:r w:rsidRPr="006666B0">
              <w:rPr>
                <w:rFonts w:ascii="Garamond" w:eastAsia="Times New Roman" w:hAnsi="Garamond" w:cs="Calibri"/>
                <w:color w:val="000000"/>
                <w:lang w:eastAsia="en-GB"/>
              </w:rPr>
              <w:t xml:space="preserve">Father's </w:t>
            </w:r>
            <w:r>
              <w:rPr>
                <w:rFonts w:ascii="Garamond" w:eastAsia="Times New Roman" w:hAnsi="Garamond" w:cs="Calibri"/>
                <w:color w:val="000000"/>
                <w:lang w:eastAsia="en-GB"/>
              </w:rPr>
              <w:t>social class</w:t>
            </w:r>
            <w:r w:rsidRPr="006666B0">
              <w:rPr>
                <w:rFonts w:ascii="Garamond" w:eastAsia="Times New Roman" w:hAnsi="Garamond" w:cs="Calibri"/>
                <w:color w:val="000000"/>
                <w:lang w:eastAsia="en-GB"/>
              </w:rPr>
              <w:t xml:space="preserve"> during adolescence (%)</w:t>
            </w:r>
          </w:p>
        </w:tc>
        <w:tc>
          <w:tcPr>
            <w:tcW w:w="2160" w:type="dxa"/>
            <w:tcBorders>
              <w:top w:val="nil"/>
              <w:left w:val="nil"/>
              <w:bottom w:val="nil"/>
              <w:right w:val="nil"/>
            </w:tcBorders>
            <w:shd w:val="clear" w:color="auto" w:fill="auto"/>
            <w:noWrap/>
            <w:hideMark/>
          </w:tcPr>
          <w:p w14:paraId="2723F8CD" w14:textId="77777777" w:rsidR="00C73116" w:rsidRPr="004B6CC7" w:rsidRDefault="00C73116" w:rsidP="008E22F5">
            <w:pPr>
              <w:rPr>
                <w:rFonts w:ascii="Garamond" w:eastAsia="Times New Roman" w:hAnsi="Garamond" w:cs="Calibri"/>
                <w:color w:val="000000"/>
                <w:lang w:eastAsia="en-GB"/>
              </w:rPr>
            </w:pPr>
          </w:p>
        </w:tc>
        <w:tc>
          <w:tcPr>
            <w:tcW w:w="1710" w:type="dxa"/>
            <w:tcBorders>
              <w:top w:val="nil"/>
              <w:left w:val="nil"/>
              <w:bottom w:val="nil"/>
              <w:right w:val="nil"/>
            </w:tcBorders>
            <w:shd w:val="clear" w:color="auto" w:fill="auto"/>
            <w:noWrap/>
            <w:vAlign w:val="bottom"/>
            <w:hideMark/>
          </w:tcPr>
          <w:p w14:paraId="2A0CA3A5" w14:textId="77777777" w:rsidR="00C73116" w:rsidRPr="004B6CC7" w:rsidRDefault="00C73116" w:rsidP="008E22F5">
            <w:pPr>
              <w:jc w:val="center"/>
              <w:rPr>
                <w:rFonts w:ascii="Garamond" w:eastAsia="Times New Roman" w:hAnsi="Garamond"/>
                <w:lang w:eastAsia="en-GB"/>
              </w:rPr>
            </w:pPr>
          </w:p>
        </w:tc>
        <w:tc>
          <w:tcPr>
            <w:tcW w:w="988" w:type="dxa"/>
            <w:tcBorders>
              <w:top w:val="nil"/>
              <w:left w:val="nil"/>
              <w:bottom w:val="nil"/>
              <w:right w:val="nil"/>
            </w:tcBorders>
          </w:tcPr>
          <w:p w14:paraId="41EEBC3F" w14:textId="77777777" w:rsidR="00C73116" w:rsidRPr="004B6CC7" w:rsidRDefault="00C73116" w:rsidP="008E22F5">
            <w:pPr>
              <w:jc w:val="center"/>
              <w:rPr>
                <w:rFonts w:ascii="Garamond" w:eastAsia="Times New Roman" w:hAnsi="Garamond"/>
                <w:lang w:eastAsia="en-GB"/>
              </w:rPr>
            </w:pPr>
            <w:r w:rsidRPr="004B6CC7">
              <w:rPr>
                <w:rFonts w:ascii="Garamond" w:eastAsia="Times New Roman" w:hAnsi="Garamond"/>
                <w:lang w:eastAsia="en-GB"/>
              </w:rPr>
              <w:t>0.41</w:t>
            </w:r>
          </w:p>
        </w:tc>
      </w:tr>
      <w:tr w:rsidR="00C73116" w:rsidRPr="004B6CC7" w14:paraId="18620818" w14:textId="77777777" w:rsidTr="008E22F5">
        <w:trPr>
          <w:trHeight w:val="315"/>
        </w:trPr>
        <w:tc>
          <w:tcPr>
            <w:tcW w:w="3782" w:type="dxa"/>
            <w:tcBorders>
              <w:top w:val="nil"/>
              <w:left w:val="nil"/>
              <w:bottom w:val="nil"/>
              <w:right w:val="nil"/>
            </w:tcBorders>
            <w:shd w:val="clear" w:color="auto" w:fill="auto"/>
            <w:noWrap/>
            <w:vAlign w:val="bottom"/>
            <w:hideMark/>
          </w:tcPr>
          <w:p w14:paraId="07E32D1F" w14:textId="77777777" w:rsidR="00C73116" w:rsidRPr="006666B0" w:rsidRDefault="00C73116" w:rsidP="008E22F5">
            <w:pPr>
              <w:ind w:left="283"/>
              <w:rPr>
                <w:rFonts w:ascii="Garamond" w:eastAsia="Times New Roman" w:hAnsi="Garamond" w:cs="Calibri"/>
                <w:color w:val="000000"/>
                <w:lang w:eastAsia="en-GB"/>
              </w:rPr>
            </w:pPr>
            <w:r w:rsidRPr="006666B0">
              <w:rPr>
                <w:rFonts w:ascii="Garamond" w:eastAsia="Times New Roman" w:hAnsi="Garamond" w:cs="Calibri"/>
                <w:color w:val="000000"/>
                <w:lang w:eastAsia="en-GB"/>
              </w:rPr>
              <w:t>Low</w:t>
            </w:r>
          </w:p>
        </w:tc>
        <w:tc>
          <w:tcPr>
            <w:tcW w:w="2160" w:type="dxa"/>
            <w:tcBorders>
              <w:top w:val="nil"/>
              <w:left w:val="nil"/>
              <w:bottom w:val="nil"/>
              <w:right w:val="nil"/>
            </w:tcBorders>
            <w:shd w:val="clear" w:color="auto" w:fill="auto"/>
            <w:noWrap/>
            <w:vAlign w:val="bottom"/>
            <w:hideMark/>
          </w:tcPr>
          <w:p w14:paraId="3146AA3F" w14:textId="77777777" w:rsidR="00C73116" w:rsidRPr="004B6CC7" w:rsidRDefault="00C73116" w:rsidP="008E22F5">
            <w:pPr>
              <w:jc w:val="center"/>
              <w:rPr>
                <w:rFonts w:ascii="Garamond" w:eastAsia="Times New Roman" w:hAnsi="Garamond" w:cs="Calibri"/>
                <w:color w:val="000000"/>
                <w:lang w:eastAsia="en-GB"/>
              </w:rPr>
            </w:pPr>
            <w:r>
              <w:rPr>
                <w:rFonts w:ascii="Garamond" w:eastAsia="Times New Roman" w:hAnsi="Garamond" w:cs="Calibri"/>
                <w:color w:val="000000"/>
                <w:lang w:eastAsia="en-GB"/>
              </w:rPr>
              <w:t>45.78</w:t>
            </w:r>
          </w:p>
        </w:tc>
        <w:tc>
          <w:tcPr>
            <w:tcW w:w="1710" w:type="dxa"/>
            <w:tcBorders>
              <w:top w:val="nil"/>
              <w:left w:val="nil"/>
              <w:bottom w:val="nil"/>
              <w:right w:val="nil"/>
            </w:tcBorders>
            <w:shd w:val="clear" w:color="auto" w:fill="auto"/>
            <w:noWrap/>
            <w:vAlign w:val="bottom"/>
            <w:hideMark/>
          </w:tcPr>
          <w:p w14:paraId="7EFDFE43"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46.13</w:t>
            </w:r>
          </w:p>
        </w:tc>
        <w:tc>
          <w:tcPr>
            <w:tcW w:w="988" w:type="dxa"/>
            <w:tcBorders>
              <w:top w:val="nil"/>
              <w:left w:val="nil"/>
              <w:bottom w:val="nil"/>
              <w:right w:val="nil"/>
            </w:tcBorders>
          </w:tcPr>
          <w:p w14:paraId="71104633"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09EA5AC9" w14:textId="77777777" w:rsidTr="008E22F5">
        <w:trPr>
          <w:trHeight w:val="315"/>
        </w:trPr>
        <w:tc>
          <w:tcPr>
            <w:tcW w:w="3782" w:type="dxa"/>
            <w:tcBorders>
              <w:top w:val="nil"/>
              <w:left w:val="nil"/>
              <w:bottom w:val="nil"/>
              <w:right w:val="nil"/>
            </w:tcBorders>
            <w:shd w:val="clear" w:color="auto" w:fill="auto"/>
            <w:noWrap/>
            <w:vAlign w:val="bottom"/>
            <w:hideMark/>
          </w:tcPr>
          <w:p w14:paraId="03DD340C" w14:textId="77777777" w:rsidR="00C73116" w:rsidRPr="006666B0" w:rsidRDefault="00C73116" w:rsidP="008E22F5">
            <w:pPr>
              <w:ind w:left="283"/>
              <w:rPr>
                <w:rFonts w:ascii="Garamond" w:eastAsia="Times New Roman" w:hAnsi="Garamond" w:cs="Calibri"/>
                <w:color w:val="000000"/>
                <w:lang w:eastAsia="en-GB"/>
              </w:rPr>
            </w:pPr>
            <w:r w:rsidRPr="006666B0">
              <w:rPr>
                <w:rFonts w:ascii="Garamond" w:eastAsia="Times New Roman" w:hAnsi="Garamond" w:cs="Calibri"/>
                <w:color w:val="000000"/>
                <w:lang w:eastAsia="en-GB"/>
              </w:rPr>
              <w:t>Intermediate</w:t>
            </w:r>
          </w:p>
        </w:tc>
        <w:tc>
          <w:tcPr>
            <w:tcW w:w="2160" w:type="dxa"/>
            <w:tcBorders>
              <w:top w:val="nil"/>
              <w:left w:val="nil"/>
              <w:bottom w:val="nil"/>
              <w:right w:val="nil"/>
            </w:tcBorders>
            <w:shd w:val="clear" w:color="auto" w:fill="auto"/>
            <w:noWrap/>
            <w:vAlign w:val="bottom"/>
            <w:hideMark/>
          </w:tcPr>
          <w:p w14:paraId="58227418"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38.74</w:t>
            </w:r>
          </w:p>
        </w:tc>
        <w:tc>
          <w:tcPr>
            <w:tcW w:w="1710" w:type="dxa"/>
            <w:tcBorders>
              <w:top w:val="nil"/>
              <w:left w:val="nil"/>
              <w:bottom w:val="nil"/>
              <w:right w:val="nil"/>
            </w:tcBorders>
            <w:shd w:val="clear" w:color="auto" w:fill="auto"/>
            <w:noWrap/>
            <w:vAlign w:val="bottom"/>
            <w:hideMark/>
          </w:tcPr>
          <w:p w14:paraId="3CCC9E5A"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39</w:t>
            </w:r>
          </w:p>
        </w:tc>
        <w:tc>
          <w:tcPr>
            <w:tcW w:w="988" w:type="dxa"/>
            <w:tcBorders>
              <w:top w:val="nil"/>
              <w:left w:val="nil"/>
              <w:bottom w:val="nil"/>
              <w:right w:val="nil"/>
            </w:tcBorders>
          </w:tcPr>
          <w:p w14:paraId="10E3B02D"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1453522F" w14:textId="77777777" w:rsidTr="008E22F5">
        <w:trPr>
          <w:trHeight w:val="333"/>
        </w:trPr>
        <w:tc>
          <w:tcPr>
            <w:tcW w:w="3782" w:type="dxa"/>
            <w:tcBorders>
              <w:top w:val="nil"/>
              <w:left w:val="nil"/>
              <w:bottom w:val="nil"/>
              <w:right w:val="nil"/>
            </w:tcBorders>
            <w:shd w:val="clear" w:color="auto" w:fill="auto"/>
            <w:noWrap/>
            <w:vAlign w:val="bottom"/>
            <w:hideMark/>
          </w:tcPr>
          <w:p w14:paraId="7EA9797A" w14:textId="77777777" w:rsidR="00C73116" w:rsidRPr="006666B0" w:rsidRDefault="00C73116" w:rsidP="008E22F5">
            <w:pPr>
              <w:ind w:left="283"/>
              <w:rPr>
                <w:rFonts w:ascii="Garamond" w:eastAsia="Times New Roman" w:hAnsi="Garamond" w:cs="Calibri"/>
                <w:color w:val="000000"/>
                <w:lang w:eastAsia="en-GB"/>
              </w:rPr>
            </w:pPr>
            <w:r w:rsidRPr="006666B0">
              <w:rPr>
                <w:rFonts w:ascii="Garamond" w:eastAsia="Times New Roman" w:hAnsi="Garamond" w:cs="Calibri"/>
                <w:color w:val="000000"/>
                <w:lang w:eastAsia="en-GB"/>
              </w:rPr>
              <w:t>High</w:t>
            </w:r>
          </w:p>
        </w:tc>
        <w:tc>
          <w:tcPr>
            <w:tcW w:w="2160" w:type="dxa"/>
            <w:tcBorders>
              <w:top w:val="nil"/>
              <w:left w:val="nil"/>
              <w:bottom w:val="nil"/>
              <w:right w:val="nil"/>
            </w:tcBorders>
            <w:shd w:val="clear" w:color="auto" w:fill="auto"/>
            <w:noWrap/>
            <w:vAlign w:val="bottom"/>
            <w:hideMark/>
          </w:tcPr>
          <w:p w14:paraId="46A640D2" w14:textId="77777777" w:rsidR="00C73116" w:rsidRPr="004B6CC7" w:rsidRDefault="00C73116" w:rsidP="008E22F5">
            <w:pPr>
              <w:jc w:val="center"/>
              <w:rPr>
                <w:rFonts w:ascii="Garamond" w:eastAsia="Times New Roman" w:hAnsi="Garamond" w:cs="Calibri"/>
                <w:color w:val="000000"/>
                <w:lang w:eastAsia="en-GB"/>
              </w:rPr>
            </w:pPr>
            <w:r>
              <w:rPr>
                <w:rFonts w:ascii="Garamond" w:eastAsia="Times New Roman" w:hAnsi="Garamond" w:cs="Calibri"/>
                <w:color w:val="000000"/>
                <w:lang w:eastAsia="en-GB"/>
              </w:rPr>
              <w:t>15.49</w:t>
            </w:r>
          </w:p>
        </w:tc>
        <w:tc>
          <w:tcPr>
            <w:tcW w:w="1710" w:type="dxa"/>
            <w:tcBorders>
              <w:top w:val="nil"/>
              <w:left w:val="nil"/>
              <w:bottom w:val="nil"/>
              <w:right w:val="nil"/>
            </w:tcBorders>
            <w:shd w:val="clear" w:color="auto" w:fill="auto"/>
            <w:noWrap/>
            <w:vAlign w:val="bottom"/>
            <w:hideMark/>
          </w:tcPr>
          <w:p w14:paraId="731189BC"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14.87</w:t>
            </w:r>
          </w:p>
        </w:tc>
        <w:tc>
          <w:tcPr>
            <w:tcW w:w="988" w:type="dxa"/>
            <w:tcBorders>
              <w:top w:val="nil"/>
              <w:left w:val="nil"/>
              <w:bottom w:val="nil"/>
              <w:right w:val="nil"/>
            </w:tcBorders>
          </w:tcPr>
          <w:p w14:paraId="02DDDC26"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3E6E65CA" w14:textId="77777777" w:rsidTr="008E22F5">
        <w:trPr>
          <w:trHeight w:val="315"/>
        </w:trPr>
        <w:tc>
          <w:tcPr>
            <w:tcW w:w="3782" w:type="dxa"/>
            <w:tcBorders>
              <w:top w:val="nil"/>
              <w:left w:val="nil"/>
              <w:bottom w:val="nil"/>
              <w:right w:val="nil"/>
            </w:tcBorders>
            <w:shd w:val="clear" w:color="auto" w:fill="auto"/>
            <w:noWrap/>
          </w:tcPr>
          <w:p w14:paraId="5B848747" w14:textId="77777777" w:rsidR="00C73116" w:rsidRPr="004B6CC7" w:rsidRDefault="00C73116" w:rsidP="008E22F5">
            <w:pPr>
              <w:rPr>
                <w:rFonts w:ascii="Garamond" w:eastAsia="Times New Roman" w:hAnsi="Garamond" w:cs="Calibri"/>
                <w:color w:val="000000"/>
                <w:lang w:eastAsia="en-GB"/>
              </w:rPr>
            </w:pPr>
            <w:r w:rsidRPr="004B6CC7">
              <w:rPr>
                <w:rFonts w:ascii="Garamond" w:hAnsi="Garamond"/>
                <w:lang w:val="en-GB"/>
              </w:rPr>
              <w:t>Father’s region of origin</w:t>
            </w:r>
          </w:p>
        </w:tc>
        <w:tc>
          <w:tcPr>
            <w:tcW w:w="2160" w:type="dxa"/>
            <w:tcBorders>
              <w:top w:val="nil"/>
              <w:left w:val="nil"/>
              <w:bottom w:val="nil"/>
              <w:right w:val="nil"/>
            </w:tcBorders>
            <w:shd w:val="clear" w:color="auto" w:fill="auto"/>
            <w:noWrap/>
          </w:tcPr>
          <w:p w14:paraId="0646941A" w14:textId="77777777" w:rsidR="00C73116" w:rsidRPr="004B6CC7" w:rsidRDefault="00C73116" w:rsidP="008E22F5">
            <w:pPr>
              <w:jc w:val="center"/>
              <w:rPr>
                <w:rFonts w:ascii="Garamond" w:eastAsia="Times New Roman" w:hAnsi="Garamond" w:cs="Calibri"/>
                <w:color w:val="000000"/>
                <w:lang w:eastAsia="en-GB"/>
              </w:rPr>
            </w:pPr>
          </w:p>
        </w:tc>
        <w:tc>
          <w:tcPr>
            <w:tcW w:w="1710" w:type="dxa"/>
            <w:tcBorders>
              <w:top w:val="nil"/>
              <w:left w:val="nil"/>
              <w:bottom w:val="nil"/>
              <w:right w:val="nil"/>
            </w:tcBorders>
            <w:shd w:val="clear" w:color="auto" w:fill="auto"/>
            <w:noWrap/>
          </w:tcPr>
          <w:p w14:paraId="5CAC4CBC" w14:textId="77777777" w:rsidR="00C73116" w:rsidRPr="004B6CC7" w:rsidRDefault="00C73116" w:rsidP="008E22F5">
            <w:pPr>
              <w:jc w:val="center"/>
              <w:rPr>
                <w:rFonts w:ascii="Garamond" w:eastAsia="Times New Roman" w:hAnsi="Garamond" w:cs="Calibri"/>
                <w:color w:val="000000"/>
                <w:lang w:eastAsia="en-GB"/>
              </w:rPr>
            </w:pPr>
          </w:p>
        </w:tc>
        <w:tc>
          <w:tcPr>
            <w:tcW w:w="988" w:type="dxa"/>
            <w:tcBorders>
              <w:top w:val="nil"/>
              <w:left w:val="nil"/>
              <w:bottom w:val="nil"/>
              <w:right w:val="nil"/>
            </w:tcBorders>
          </w:tcPr>
          <w:p w14:paraId="5908B757"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hAnsi="Garamond"/>
                <w:lang w:val="en-GB"/>
              </w:rPr>
              <w:t>0.09</w:t>
            </w:r>
          </w:p>
        </w:tc>
      </w:tr>
      <w:tr w:rsidR="00C73116" w:rsidRPr="004B6CC7" w14:paraId="1186B961" w14:textId="77777777" w:rsidTr="008E22F5">
        <w:trPr>
          <w:trHeight w:val="315"/>
        </w:trPr>
        <w:tc>
          <w:tcPr>
            <w:tcW w:w="3782" w:type="dxa"/>
            <w:tcBorders>
              <w:top w:val="nil"/>
              <w:left w:val="nil"/>
              <w:bottom w:val="nil"/>
              <w:right w:val="nil"/>
            </w:tcBorders>
            <w:shd w:val="clear" w:color="auto" w:fill="auto"/>
            <w:noWrap/>
          </w:tcPr>
          <w:p w14:paraId="2C43C06A" w14:textId="77777777" w:rsidR="00C73116" w:rsidRPr="004B6CC7" w:rsidRDefault="00C73116" w:rsidP="008E22F5">
            <w:pPr>
              <w:ind w:left="283"/>
              <w:rPr>
                <w:rFonts w:ascii="Garamond" w:eastAsia="Times New Roman" w:hAnsi="Garamond" w:cs="Calibri"/>
                <w:color w:val="000000"/>
                <w:lang w:eastAsia="en-GB"/>
              </w:rPr>
            </w:pPr>
            <w:r w:rsidRPr="004B6CC7">
              <w:rPr>
                <w:rFonts w:ascii="Garamond" w:hAnsi="Garamond"/>
                <w:lang w:val="en-GB"/>
              </w:rPr>
              <w:t xml:space="preserve">France </w:t>
            </w:r>
            <w:r>
              <w:rPr>
                <w:rFonts w:ascii="Garamond" w:hAnsi="Garamond"/>
                <w:lang w:val="en-GB"/>
              </w:rPr>
              <w:t xml:space="preserve">(mainland, </w:t>
            </w:r>
            <w:r w:rsidRPr="004B6CC7">
              <w:rPr>
                <w:rFonts w:ascii="Garamond" w:hAnsi="Garamond"/>
                <w:lang w:val="en-GB"/>
              </w:rPr>
              <w:t>oversea territories and departments)</w:t>
            </w:r>
          </w:p>
        </w:tc>
        <w:tc>
          <w:tcPr>
            <w:tcW w:w="2160" w:type="dxa"/>
            <w:tcBorders>
              <w:top w:val="nil"/>
              <w:left w:val="nil"/>
              <w:bottom w:val="nil"/>
              <w:right w:val="nil"/>
            </w:tcBorders>
            <w:shd w:val="clear" w:color="auto" w:fill="auto"/>
            <w:noWrap/>
          </w:tcPr>
          <w:p w14:paraId="3E3967AB"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hAnsi="Garamond"/>
                <w:lang w:val="en-GB"/>
              </w:rPr>
              <w:t>84.65</w:t>
            </w:r>
          </w:p>
        </w:tc>
        <w:tc>
          <w:tcPr>
            <w:tcW w:w="1710" w:type="dxa"/>
            <w:tcBorders>
              <w:top w:val="nil"/>
              <w:left w:val="nil"/>
              <w:bottom w:val="nil"/>
              <w:right w:val="nil"/>
            </w:tcBorders>
            <w:shd w:val="clear" w:color="auto" w:fill="auto"/>
            <w:noWrap/>
          </w:tcPr>
          <w:p w14:paraId="3B4AD7B3"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hAnsi="Garamond"/>
                <w:lang w:val="en-GB"/>
              </w:rPr>
              <w:t>84.70</w:t>
            </w:r>
          </w:p>
        </w:tc>
        <w:tc>
          <w:tcPr>
            <w:tcW w:w="988" w:type="dxa"/>
            <w:tcBorders>
              <w:top w:val="nil"/>
              <w:left w:val="nil"/>
              <w:bottom w:val="nil"/>
              <w:right w:val="nil"/>
            </w:tcBorders>
          </w:tcPr>
          <w:p w14:paraId="4141B9EE"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2B7323FB" w14:textId="77777777" w:rsidTr="008E22F5">
        <w:trPr>
          <w:trHeight w:val="315"/>
        </w:trPr>
        <w:tc>
          <w:tcPr>
            <w:tcW w:w="3782" w:type="dxa"/>
            <w:tcBorders>
              <w:top w:val="nil"/>
              <w:left w:val="nil"/>
              <w:bottom w:val="nil"/>
              <w:right w:val="nil"/>
            </w:tcBorders>
            <w:shd w:val="clear" w:color="auto" w:fill="auto"/>
            <w:noWrap/>
          </w:tcPr>
          <w:p w14:paraId="78827083" w14:textId="77777777" w:rsidR="00C73116" w:rsidRPr="004B6CC7" w:rsidRDefault="00C73116" w:rsidP="008E22F5">
            <w:pPr>
              <w:ind w:left="283"/>
              <w:rPr>
                <w:rFonts w:ascii="Garamond" w:eastAsia="Times New Roman" w:hAnsi="Garamond" w:cs="Calibri"/>
                <w:color w:val="000000"/>
                <w:lang w:eastAsia="en-GB"/>
              </w:rPr>
            </w:pPr>
            <w:r w:rsidRPr="004B6CC7">
              <w:rPr>
                <w:rFonts w:ascii="Garamond" w:hAnsi="Garamond"/>
                <w:lang w:val="en-GB"/>
              </w:rPr>
              <w:t>Europe</w:t>
            </w:r>
          </w:p>
        </w:tc>
        <w:tc>
          <w:tcPr>
            <w:tcW w:w="2160" w:type="dxa"/>
            <w:tcBorders>
              <w:top w:val="nil"/>
              <w:left w:val="nil"/>
              <w:bottom w:val="nil"/>
              <w:right w:val="nil"/>
            </w:tcBorders>
            <w:shd w:val="clear" w:color="auto" w:fill="auto"/>
            <w:noWrap/>
          </w:tcPr>
          <w:p w14:paraId="3F234D39"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hAnsi="Garamond"/>
                <w:lang w:val="en-GB"/>
              </w:rPr>
              <w:t>8.40</w:t>
            </w:r>
          </w:p>
        </w:tc>
        <w:tc>
          <w:tcPr>
            <w:tcW w:w="1710" w:type="dxa"/>
            <w:tcBorders>
              <w:top w:val="nil"/>
              <w:left w:val="nil"/>
              <w:bottom w:val="nil"/>
              <w:right w:val="nil"/>
            </w:tcBorders>
            <w:shd w:val="clear" w:color="auto" w:fill="auto"/>
            <w:noWrap/>
          </w:tcPr>
          <w:p w14:paraId="48565275"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hAnsi="Garamond"/>
                <w:lang w:val="en-GB"/>
              </w:rPr>
              <w:t>7.94</w:t>
            </w:r>
          </w:p>
        </w:tc>
        <w:tc>
          <w:tcPr>
            <w:tcW w:w="988" w:type="dxa"/>
            <w:tcBorders>
              <w:top w:val="nil"/>
              <w:left w:val="nil"/>
              <w:bottom w:val="nil"/>
              <w:right w:val="nil"/>
            </w:tcBorders>
          </w:tcPr>
          <w:p w14:paraId="32A628AC"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2B1A7F2A" w14:textId="77777777" w:rsidTr="008E22F5">
        <w:trPr>
          <w:trHeight w:val="315"/>
        </w:trPr>
        <w:tc>
          <w:tcPr>
            <w:tcW w:w="3782" w:type="dxa"/>
            <w:tcBorders>
              <w:top w:val="nil"/>
              <w:left w:val="nil"/>
              <w:bottom w:val="nil"/>
              <w:right w:val="nil"/>
            </w:tcBorders>
            <w:shd w:val="clear" w:color="auto" w:fill="auto"/>
            <w:noWrap/>
          </w:tcPr>
          <w:p w14:paraId="7B381152" w14:textId="77777777" w:rsidR="00C73116" w:rsidRPr="004B6CC7" w:rsidRDefault="00C73116" w:rsidP="008E22F5">
            <w:pPr>
              <w:ind w:left="283"/>
              <w:rPr>
                <w:rFonts w:ascii="Garamond" w:eastAsia="Times New Roman" w:hAnsi="Garamond" w:cs="Calibri"/>
                <w:color w:val="000000"/>
                <w:lang w:eastAsia="en-GB"/>
              </w:rPr>
            </w:pPr>
            <w:r w:rsidRPr="004B6CC7">
              <w:rPr>
                <w:rFonts w:ascii="Garamond" w:hAnsi="Garamond"/>
                <w:lang w:val="en-GB"/>
              </w:rPr>
              <w:t>Northern Africa</w:t>
            </w:r>
          </w:p>
        </w:tc>
        <w:tc>
          <w:tcPr>
            <w:tcW w:w="2160" w:type="dxa"/>
            <w:tcBorders>
              <w:top w:val="nil"/>
              <w:left w:val="nil"/>
              <w:bottom w:val="nil"/>
              <w:right w:val="nil"/>
            </w:tcBorders>
            <w:shd w:val="clear" w:color="auto" w:fill="auto"/>
            <w:noWrap/>
          </w:tcPr>
          <w:p w14:paraId="30FD7F62"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hAnsi="Garamond"/>
                <w:lang w:val="en-GB"/>
              </w:rPr>
              <w:t>3.87</w:t>
            </w:r>
          </w:p>
        </w:tc>
        <w:tc>
          <w:tcPr>
            <w:tcW w:w="1710" w:type="dxa"/>
            <w:tcBorders>
              <w:top w:val="nil"/>
              <w:left w:val="nil"/>
              <w:bottom w:val="nil"/>
              <w:right w:val="nil"/>
            </w:tcBorders>
            <w:shd w:val="clear" w:color="auto" w:fill="auto"/>
            <w:noWrap/>
          </w:tcPr>
          <w:p w14:paraId="080CB18A"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hAnsi="Garamond"/>
                <w:lang w:val="en-GB"/>
              </w:rPr>
              <w:t>4.50</w:t>
            </w:r>
          </w:p>
        </w:tc>
        <w:tc>
          <w:tcPr>
            <w:tcW w:w="988" w:type="dxa"/>
            <w:tcBorders>
              <w:top w:val="nil"/>
              <w:left w:val="nil"/>
              <w:bottom w:val="nil"/>
              <w:right w:val="nil"/>
            </w:tcBorders>
          </w:tcPr>
          <w:p w14:paraId="6A03B3ED"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2DE0E030" w14:textId="77777777" w:rsidTr="008E22F5">
        <w:trPr>
          <w:trHeight w:val="315"/>
        </w:trPr>
        <w:tc>
          <w:tcPr>
            <w:tcW w:w="3782" w:type="dxa"/>
            <w:tcBorders>
              <w:top w:val="nil"/>
              <w:left w:val="nil"/>
              <w:bottom w:val="nil"/>
              <w:right w:val="nil"/>
            </w:tcBorders>
            <w:shd w:val="clear" w:color="auto" w:fill="auto"/>
            <w:noWrap/>
          </w:tcPr>
          <w:p w14:paraId="328D2F99" w14:textId="77777777" w:rsidR="00C73116" w:rsidRPr="004B6CC7" w:rsidRDefault="00C73116" w:rsidP="008E22F5">
            <w:pPr>
              <w:ind w:left="283"/>
              <w:rPr>
                <w:rFonts w:ascii="Garamond" w:eastAsia="Times New Roman" w:hAnsi="Garamond" w:cs="Calibri"/>
                <w:color w:val="000000"/>
                <w:lang w:eastAsia="en-GB"/>
              </w:rPr>
            </w:pPr>
            <w:r w:rsidRPr="004B6CC7">
              <w:rPr>
                <w:rFonts w:ascii="Garamond" w:hAnsi="Garamond"/>
                <w:lang w:val="en-GB"/>
              </w:rPr>
              <w:t>Other</w:t>
            </w:r>
          </w:p>
        </w:tc>
        <w:tc>
          <w:tcPr>
            <w:tcW w:w="2160" w:type="dxa"/>
            <w:tcBorders>
              <w:top w:val="nil"/>
              <w:left w:val="nil"/>
              <w:bottom w:val="nil"/>
              <w:right w:val="nil"/>
            </w:tcBorders>
            <w:shd w:val="clear" w:color="auto" w:fill="auto"/>
            <w:noWrap/>
          </w:tcPr>
          <w:p w14:paraId="6D67C30A"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hAnsi="Garamond"/>
                <w:lang w:val="en-GB"/>
              </w:rPr>
              <w:t>3.08</w:t>
            </w:r>
          </w:p>
        </w:tc>
        <w:tc>
          <w:tcPr>
            <w:tcW w:w="1710" w:type="dxa"/>
            <w:tcBorders>
              <w:top w:val="nil"/>
              <w:left w:val="nil"/>
              <w:bottom w:val="nil"/>
              <w:right w:val="nil"/>
            </w:tcBorders>
            <w:shd w:val="clear" w:color="auto" w:fill="auto"/>
            <w:noWrap/>
          </w:tcPr>
          <w:p w14:paraId="40B25B42"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hAnsi="Garamond"/>
                <w:lang w:val="en-GB"/>
              </w:rPr>
              <w:t>2.86</w:t>
            </w:r>
          </w:p>
        </w:tc>
        <w:tc>
          <w:tcPr>
            <w:tcW w:w="988" w:type="dxa"/>
            <w:tcBorders>
              <w:top w:val="nil"/>
              <w:left w:val="nil"/>
              <w:bottom w:val="nil"/>
              <w:right w:val="nil"/>
            </w:tcBorders>
          </w:tcPr>
          <w:p w14:paraId="1563B9F0"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2523B1BC" w14:textId="77777777" w:rsidTr="008E22F5">
        <w:trPr>
          <w:trHeight w:val="315"/>
        </w:trPr>
        <w:tc>
          <w:tcPr>
            <w:tcW w:w="3782" w:type="dxa"/>
            <w:tcBorders>
              <w:top w:val="nil"/>
              <w:left w:val="nil"/>
              <w:bottom w:val="nil"/>
              <w:right w:val="nil"/>
            </w:tcBorders>
            <w:shd w:val="clear" w:color="auto" w:fill="auto"/>
            <w:noWrap/>
            <w:vAlign w:val="bottom"/>
            <w:hideMark/>
          </w:tcPr>
          <w:p w14:paraId="27056D87" w14:textId="77777777" w:rsidR="00C73116" w:rsidRPr="004B6CC7" w:rsidRDefault="00C73116" w:rsidP="008E22F5">
            <w:pPr>
              <w:rPr>
                <w:rFonts w:ascii="Garamond" w:eastAsia="Times New Roman" w:hAnsi="Garamond" w:cs="Calibri"/>
                <w:color w:val="000000"/>
                <w:lang w:eastAsia="en-GB"/>
              </w:rPr>
            </w:pPr>
            <w:r w:rsidRPr="004B6CC7">
              <w:rPr>
                <w:rFonts w:ascii="Garamond" w:eastAsia="Times New Roman" w:hAnsi="Garamond" w:cs="Calibri"/>
                <w:color w:val="000000"/>
                <w:lang w:eastAsia="en-GB"/>
              </w:rPr>
              <w:t>Respondent's educational level (%)</w:t>
            </w:r>
          </w:p>
        </w:tc>
        <w:tc>
          <w:tcPr>
            <w:tcW w:w="2160" w:type="dxa"/>
            <w:tcBorders>
              <w:top w:val="nil"/>
              <w:left w:val="nil"/>
              <w:bottom w:val="nil"/>
              <w:right w:val="nil"/>
            </w:tcBorders>
            <w:shd w:val="clear" w:color="auto" w:fill="auto"/>
            <w:noWrap/>
            <w:vAlign w:val="bottom"/>
            <w:hideMark/>
          </w:tcPr>
          <w:p w14:paraId="16479097" w14:textId="77777777" w:rsidR="00C73116" w:rsidRPr="004B6CC7" w:rsidRDefault="00C73116" w:rsidP="008E22F5">
            <w:pPr>
              <w:rPr>
                <w:rFonts w:ascii="Garamond" w:eastAsia="Times New Roman" w:hAnsi="Garamond" w:cs="Calibri"/>
                <w:color w:val="000000"/>
                <w:lang w:eastAsia="en-GB"/>
              </w:rPr>
            </w:pPr>
          </w:p>
        </w:tc>
        <w:tc>
          <w:tcPr>
            <w:tcW w:w="1710" w:type="dxa"/>
            <w:tcBorders>
              <w:top w:val="nil"/>
              <w:left w:val="nil"/>
              <w:bottom w:val="nil"/>
              <w:right w:val="nil"/>
            </w:tcBorders>
            <w:shd w:val="clear" w:color="auto" w:fill="auto"/>
            <w:noWrap/>
            <w:vAlign w:val="bottom"/>
            <w:hideMark/>
          </w:tcPr>
          <w:p w14:paraId="52829B57" w14:textId="77777777" w:rsidR="00C73116" w:rsidRPr="004B6CC7" w:rsidRDefault="00C73116" w:rsidP="008E22F5">
            <w:pPr>
              <w:jc w:val="center"/>
              <w:rPr>
                <w:rFonts w:ascii="Garamond" w:eastAsia="Times New Roman" w:hAnsi="Garamond"/>
                <w:lang w:eastAsia="en-GB"/>
              </w:rPr>
            </w:pPr>
          </w:p>
        </w:tc>
        <w:tc>
          <w:tcPr>
            <w:tcW w:w="988" w:type="dxa"/>
            <w:tcBorders>
              <w:top w:val="nil"/>
              <w:left w:val="nil"/>
              <w:bottom w:val="nil"/>
              <w:right w:val="nil"/>
            </w:tcBorders>
          </w:tcPr>
          <w:p w14:paraId="778E3211" w14:textId="77777777" w:rsidR="00C73116" w:rsidRPr="004B6CC7" w:rsidRDefault="00C73116" w:rsidP="008E22F5">
            <w:pPr>
              <w:jc w:val="center"/>
              <w:rPr>
                <w:rFonts w:ascii="Garamond" w:eastAsia="Times New Roman" w:hAnsi="Garamond"/>
                <w:lang w:eastAsia="en-GB"/>
              </w:rPr>
            </w:pPr>
            <w:r w:rsidRPr="004B6CC7">
              <w:rPr>
                <w:rFonts w:ascii="Garamond" w:eastAsia="Times New Roman" w:hAnsi="Garamond"/>
                <w:lang w:eastAsia="en-GB"/>
              </w:rPr>
              <w:t>0.84</w:t>
            </w:r>
          </w:p>
        </w:tc>
      </w:tr>
      <w:tr w:rsidR="00C73116" w:rsidRPr="004B6CC7" w14:paraId="0E25AC21" w14:textId="77777777" w:rsidTr="008E22F5">
        <w:trPr>
          <w:trHeight w:val="315"/>
        </w:trPr>
        <w:tc>
          <w:tcPr>
            <w:tcW w:w="3782" w:type="dxa"/>
            <w:tcBorders>
              <w:top w:val="nil"/>
              <w:left w:val="nil"/>
              <w:bottom w:val="nil"/>
              <w:right w:val="nil"/>
            </w:tcBorders>
            <w:shd w:val="clear" w:color="auto" w:fill="auto"/>
            <w:noWrap/>
            <w:vAlign w:val="bottom"/>
            <w:hideMark/>
          </w:tcPr>
          <w:p w14:paraId="65664100" w14:textId="77777777" w:rsidR="00C73116" w:rsidRPr="004B6CC7" w:rsidRDefault="00C73116" w:rsidP="008E22F5">
            <w:pPr>
              <w:ind w:left="283"/>
              <w:rPr>
                <w:rFonts w:ascii="Garamond" w:eastAsia="Times New Roman" w:hAnsi="Garamond" w:cs="Calibri"/>
                <w:color w:val="000000"/>
                <w:lang w:eastAsia="en-GB"/>
              </w:rPr>
            </w:pPr>
            <w:r w:rsidRPr="004B6CC7">
              <w:rPr>
                <w:rFonts w:ascii="Garamond" w:eastAsia="Times New Roman" w:hAnsi="Garamond" w:cs="Calibri"/>
                <w:color w:val="000000"/>
                <w:lang w:eastAsia="en-GB"/>
              </w:rPr>
              <w:t>Primary</w:t>
            </w:r>
          </w:p>
        </w:tc>
        <w:tc>
          <w:tcPr>
            <w:tcW w:w="2160" w:type="dxa"/>
            <w:tcBorders>
              <w:top w:val="nil"/>
              <w:left w:val="nil"/>
              <w:bottom w:val="nil"/>
              <w:right w:val="nil"/>
            </w:tcBorders>
            <w:shd w:val="clear" w:color="auto" w:fill="auto"/>
            <w:noWrap/>
            <w:vAlign w:val="bottom"/>
            <w:hideMark/>
          </w:tcPr>
          <w:p w14:paraId="1ED896B0"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3.24</w:t>
            </w:r>
          </w:p>
        </w:tc>
        <w:tc>
          <w:tcPr>
            <w:tcW w:w="1710" w:type="dxa"/>
            <w:tcBorders>
              <w:top w:val="nil"/>
              <w:left w:val="nil"/>
              <w:bottom w:val="nil"/>
              <w:right w:val="nil"/>
            </w:tcBorders>
            <w:shd w:val="clear" w:color="auto" w:fill="auto"/>
            <w:noWrap/>
            <w:vAlign w:val="bottom"/>
            <w:hideMark/>
          </w:tcPr>
          <w:p w14:paraId="761990D0"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3.35</w:t>
            </w:r>
          </w:p>
        </w:tc>
        <w:tc>
          <w:tcPr>
            <w:tcW w:w="988" w:type="dxa"/>
            <w:tcBorders>
              <w:top w:val="nil"/>
              <w:left w:val="nil"/>
              <w:bottom w:val="nil"/>
              <w:right w:val="nil"/>
            </w:tcBorders>
          </w:tcPr>
          <w:p w14:paraId="4DD56237"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5537EF9A" w14:textId="77777777" w:rsidTr="008E22F5">
        <w:trPr>
          <w:trHeight w:val="351"/>
        </w:trPr>
        <w:tc>
          <w:tcPr>
            <w:tcW w:w="3782" w:type="dxa"/>
            <w:tcBorders>
              <w:top w:val="nil"/>
              <w:left w:val="nil"/>
              <w:bottom w:val="nil"/>
              <w:right w:val="nil"/>
            </w:tcBorders>
            <w:shd w:val="clear" w:color="auto" w:fill="auto"/>
            <w:noWrap/>
            <w:vAlign w:val="bottom"/>
            <w:hideMark/>
          </w:tcPr>
          <w:p w14:paraId="564920CA" w14:textId="77777777" w:rsidR="00C73116" w:rsidRPr="004B6CC7" w:rsidRDefault="00C73116" w:rsidP="008E22F5">
            <w:pPr>
              <w:ind w:left="283"/>
              <w:rPr>
                <w:rFonts w:ascii="Garamond" w:eastAsia="Times New Roman" w:hAnsi="Garamond" w:cs="Calibri"/>
                <w:color w:val="000000"/>
                <w:lang w:eastAsia="en-GB"/>
              </w:rPr>
            </w:pPr>
            <w:r w:rsidRPr="004B6CC7">
              <w:rPr>
                <w:rFonts w:ascii="Garamond" w:eastAsia="Times New Roman" w:hAnsi="Garamond" w:cs="Calibri"/>
                <w:color w:val="000000"/>
                <w:lang w:eastAsia="en-GB"/>
              </w:rPr>
              <w:t>Secondary</w:t>
            </w:r>
          </w:p>
        </w:tc>
        <w:tc>
          <w:tcPr>
            <w:tcW w:w="2160" w:type="dxa"/>
            <w:tcBorders>
              <w:top w:val="nil"/>
              <w:left w:val="nil"/>
              <w:bottom w:val="nil"/>
              <w:right w:val="nil"/>
            </w:tcBorders>
            <w:shd w:val="clear" w:color="auto" w:fill="auto"/>
            <w:noWrap/>
            <w:vAlign w:val="bottom"/>
            <w:hideMark/>
          </w:tcPr>
          <w:p w14:paraId="4E7BC511"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53.98</w:t>
            </w:r>
          </w:p>
        </w:tc>
        <w:tc>
          <w:tcPr>
            <w:tcW w:w="1710" w:type="dxa"/>
            <w:tcBorders>
              <w:top w:val="nil"/>
              <w:left w:val="nil"/>
              <w:bottom w:val="nil"/>
              <w:right w:val="nil"/>
            </w:tcBorders>
            <w:shd w:val="clear" w:color="auto" w:fill="auto"/>
            <w:noWrap/>
            <w:vAlign w:val="bottom"/>
            <w:hideMark/>
          </w:tcPr>
          <w:p w14:paraId="7D43F54A"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53.94</w:t>
            </w:r>
          </w:p>
        </w:tc>
        <w:tc>
          <w:tcPr>
            <w:tcW w:w="988" w:type="dxa"/>
            <w:tcBorders>
              <w:top w:val="nil"/>
              <w:left w:val="nil"/>
              <w:bottom w:val="nil"/>
              <w:right w:val="nil"/>
            </w:tcBorders>
          </w:tcPr>
          <w:p w14:paraId="3326091A"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49BB6669" w14:textId="77777777" w:rsidTr="008E22F5">
        <w:trPr>
          <w:trHeight w:val="315"/>
        </w:trPr>
        <w:tc>
          <w:tcPr>
            <w:tcW w:w="3782" w:type="dxa"/>
            <w:tcBorders>
              <w:top w:val="nil"/>
              <w:left w:val="nil"/>
              <w:bottom w:val="nil"/>
              <w:right w:val="nil"/>
            </w:tcBorders>
            <w:shd w:val="clear" w:color="auto" w:fill="auto"/>
            <w:noWrap/>
            <w:vAlign w:val="bottom"/>
            <w:hideMark/>
          </w:tcPr>
          <w:p w14:paraId="5DEFD9E2" w14:textId="77777777" w:rsidR="00C73116" w:rsidRPr="004B6CC7" w:rsidRDefault="00C73116" w:rsidP="008E22F5">
            <w:pPr>
              <w:ind w:left="283"/>
              <w:rPr>
                <w:rFonts w:ascii="Garamond" w:eastAsia="Times New Roman" w:hAnsi="Garamond" w:cs="Calibri"/>
                <w:color w:val="000000"/>
                <w:lang w:eastAsia="en-GB"/>
              </w:rPr>
            </w:pPr>
            <w:r w:rsidRPr="004B6CC7">
              <w:rPr>
                <w:rFonts w:ascii="Garamond" w:eastAsia="Times New Roman" w:hAnsi="Garamond" w:cs="Calibri"/>
                <w:color w:val="000000"/>
                <w:lang w:eastAsia="en-GB"/>
              </w:rPr>
              <w:t>Tertiary</w:t>
            </w:r>
          </w:p>
        </w:tc>
        <w:tc>
          <w:tcPr>
            <w:tcW w:w="2160" w:type="dxa"/>
            <w:tcBorders>
              <w:top w:val="nil"/>
              <w:left w:val="nil"/>
              <w:bottom w:val="nil"/>
              <w:right w:val="nil"/>
            </w:tcBorders>
            <w:shd w:val="clear" w:color="auto" w:fill="auto"/>
            <w:noWrap/>
            <w:vAlign w:val="bottom"/>
            <w:hideMark/>
          </w:tcPr>
          <w:p w14:paraId="5586A55E"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42.78</w:t>
            </w:r>
          </w:p>
        </w:tc>
        <w:tc>
          <w:tcPr>
            <w:tcW w:w="1710" w:type="dxa"/>
            <w:tcBorders>
              <w:top w:val="nil"/>
              <w:left w:val="nil"/>
              <w:bottom w:val="nil"/>
              <w:right w:val="nil"/>
            </w:tcBorders>
            <w:shd w:val="clear" w:color="auto" w:fill="auto"/>
            <w:noWrap/>
            <w:vAlign w:val="bottom"/>
            <w:hideMark/>
          </w:tcPr>
          <w:p w14:paraId="2982E110"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42.71</w:t>
            </w:r>
          </w:p>
        </w:tc>
        <w:tc>
          <w:tcPr>
            <w:tcW w:w="988" w:type="dxa"/>
            <w:tcBorders>
              <w:top w:val="nil"/>
              <w:left w:val="nil"/>
              <w:bottom w:val="nil"/>
              <w:right w:val="nil"/>
            </w:tcBorders>
          </w:tcPr>
          <w:p w14:paraId="1D00FB75"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73AA6214" w14:textId="77777777" w:rsidTr="008E22F5">
        <w:trPr>
          <w:trHeight w:val="630"/>
        </w:trPr>
        <w:tc>
          <w:tcPr>
            <w:tcW w:w="3782" w:type="dxa"/>
            <w:tcBorders>
              <w:top w:val="nil"/>
              <w:left w:val="nil"/>
              <w:bottom w:val="nil"/>
              <w:right w:val="nil"/>
            </w:tcBorders>
            <w:shd w:val="clear" w:color="auto" w:fill="auto"/>
            <w:vAlign w:val="bottom"/>
            <w:hideMark/>
          </w:tcPr>
          <w:p w14:paraId="355498BF" w14:textId="77777777" w:rsidR="00C73116" w:rsidRPr="00E13611" w:rsidRDefault="00C73116" w:rsidP="008E22F5">
            <w:pPr>
              <w:rPr>
                <w:rFonts w:ascii="Garamond" w:eastAsia="Times New Roman" w:hAnsi="Garamond" w:cs="Calibri"/>
                <w:color w:val="000000"/>
                <w:lang w:eastAsia="en-GB"/>
              </w:rPr>
            </w:pPr>
            <w:r w:rsidRPr="00E13611">
              <w:rPr>
                <w:rFonts w:ascii="Garamond" w:eastAsia="Times New Roman" w:hAnsi="Garamond" w:cs="Calibri"/>
                <w:color w:val="000000"/>
                <w:lang w:eastAsia="en-GB"/>
              </w:rPr>
              <w:t xml:space="preserve">Respondent's </w:t>
            </w:r>
            <w:r>
              <w:rPr>
                <w:rFonts w:ascii="Garamond" w:eastAsia="Times New Roman" w:hAnsi="Garamond" w:cs="Calibri"/>
                <w:color w:val="000000"/>
                <w:lang w:eastAsia="en-GB"/>
              </w:rPr>
              <w:t>social class</w:t>
            </w:r>
            <w:r w:rsidRPr="00E13611">
              <w:rPr>
                <w:rFonts w:ascii="Garamond" w:eastAsia="Times New Roman" w:hAnsi="Garamond" w:cs="Calibri"/>
                <w:color w:val="000000"/>
                <w:lang w:eastAsia="en-GB"/>
              </w:rPr>
              <w:t xml:space="preserve"> at entry in the survey</w:t>
            </w:r>
          </w:p>
        </w:tc>
        <w:tc>
          <w:tcPr>
            <w:tcW w:w="2160" w:type="dxa"/>
            <w:tcBorders>
              <w:top w:val="nil"/>
              <w:left w:val="nil"/>
              <w:bottom w:val="nil"/>
              <w:right w:val="nil"/>
            </w:tcBorders>
            <w:shd w:val="clear" w:color="auto" w:fill="auto"/>
            <w:noWrap/>
            <w:vAlign w:val="bottom"/>
            <w:hideMark/>
          </w:tcPr>
          <w:p w14:paraId="09749F9F" w14:textId="77777777" w:rsidR="00C73116" w:rsidRPr="004B6CC7" w:rsidRDefault="00C73116" w:rsidP="008E22F5">
            <w:pPr>
              <w:rPr>
                <w:rFonts w:ascii="Garamond" w:eastAsia="Times New Roman" w:hAnsi="Garamond" w:cs="Calibri"/>
                <w:color w:val="000000"/>
                <w:lang w:eastAsia="en-GB"/>
              </w:rPr>
            </w:pPr>
          </w:p>
        </w:tc>
        <w:tc>
          <w:tcPr>
            <w:tcW w:w="1710" w:type="dxa"/>
            <w:tcBorders>
              <w:top w:val="nil"/>
              <w:left w:val="nil"/>
              <w:bottom w:val="nil"/>
              <w:right w:val="nil"/>
            </w:tcBorders>
            <w:shd w:val="clear" w:color="auto" w:fill="auto"/>
            <w:noWrap/>
            <w:vAlign w:val="bottom"/>
            <w:hideMark/>
          </w:tcPr>
          <w:p w14:paraId="5A1C4E22" w14:textId="77777777" w:rsidR="00C73116" w:rsidRPr="004B6CC7" w:rsidRDefault="00C73116" w:rsidP="008E22F5">
            <w:pPr>
              <w:jc w:val="center"/>
              <w:rPr>
                <w:rFonts w:ascii="Garamond" w:eastAsia="Times New Roman" w:hAnsi="Garamond"/>
                <w:lang w:eastAsia="en-GB"/>
              </w:rPr>
            </w:pPr>
          </w:p>
        </w:tc>
        <w:tc>
          <w:tcPr>
            <w:tcW w:w="988" w:type="dxa"/>
            <w:tcBorders>
              <w:top w:val="nil"/>
              <w:left w:val="nil"/>
              <w:bottom w:val="nil"/>
              <w:right w:val="nil"/>
            </w:tcBorders>
          </w:tcPr>
          <w:p w14:paraId="0AEE511C" w14:textId="77777777" w:rsidR="00C73116" w:rsidRPr="004B6CC7" w:rsidRDefault="00C73116" w:rsidP="008E22F5">
            <w:pPr>
              <w:jc w:val="center"/>
              <w:rPr>
                <w:rFonts w:ascii="Garamond" w:eastAsia="Times New Roman" w:hAnsi="Garamond"/>
                <w:lang w:eastAsia="en-GB"/>
              </w:rPr>
            </w:pPr>
            <w:r w:rsidRPr="004B6CC7">
              <w:rPr>
                <w:rFonts w:ascii="Garamond" w:eastAsia="Times New Roman" w:hAnsi="Garamond"/>
                <w:lang w:eastAsia="en-GB"/>
              </w:rPr>
              <w:t>0.</w:t>
            </w:r>
            <w:r>
              <w:rPr>
                <w:rFonts w:ascii="Garamond" w:eastAsia="Times New Roman" w:hAnsi="Garamond"/>
                <w:lang w:eastAsia="en-GB"/>
              </w:rPr>
              <w:t>19</w:t>
            </w:r>
          </w:p>
        </w:tc>
      </w:tr>
      <w:tr w:rsidR="00C73116" w:rsidRPr="004B6CC7" w14:paraId="1BDA376A" w14:textId="77777777" w:rsidTr="008E22F5">
        <w:trPr>
          <w:trHeight w:val="315"/>
        </w:trPr>
        <w:tc>
          <w:tcPr>
            <w:tcW w:w="3782" w:type="dxa"/>
            <w:tcBorders>
              <w:top w:val="nil"/>
              <w:left w:val="nil"/>
              <w:bottom w:val="nil"/>
              <w:right w:val="nil"/>
            </w:tcBorders>
            <w:shd w:val="clear" w:color="auto" w:fill="auto"/>
            <w:noWrap/>
            <w:vAlign w:val="bottom"/>
            <w:hideMark/>
          </w:tcPr>
          <w:p w14:paraId="6A81A155" w14:textId="77777777" w:rsidR="00C73116" w:rsidRPr="00E13611" w:rsidRDefault="00C73116" w:rsidP="008E22F5">
            <w:pPr>
              <w:ind w:left="283"/>
              <w:rPr>
                <w:rFonts w:ascii="Garamond" w:eastAsia="Times New Roman" w:hAnsi="Garamond" w:cs="Calibri"/>
                <w:color w:val="000000"/>
                <w:lang w:eastAsia="en-GB"/>
              </w:rPr>
            </w:pPr>
            <w:r w:rsidRPr="00E13611">
              <w:rPr>
                <w:rFonts w:ascii="Garamond" w:eastAsia="Times New Roman" w:hAnsi="Garamond" w:cs="Calibri"/>
                <w:color w:val="000000"/>
                <w:lang w:eastAsia="en-GB"/>
              </w:rPr>
              <w:t>Low</w:t>
            </w:r>
          </w:p>
        </w:tc>
        <w:tc>
          <w:tcPr>
            <w:tcW w:w="2160" w:type="dxa"/>
            <w:tcBorders>
              <w:top w:val="nil"/>
              <w:left w:val="nil"/>
              <w:bottom w:val="nil"/>
              <w:right w:val="nil"/>
            </w:tcBorders>
            <w:shd w:val="clear" w:color="auto" w:fill="auto"/>
            <w:noWrap/>
            <w:vAlign w:val="bottom"/>
            <w:hideMark/>
          </w:tcPr>
          <w:p w14:paraId="0A1734B1"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11.27</w:t>
            </w:r>
          </w:p>
        </w:tc>
        <w:tc>
          <w:tcPr>
            <w:tcW w:w="1710" w:type="dxa"/>
            <w:tcBorders>
              <w:top w:val="nil"/>
              <w:left w:val="nil"/>
              <w:bottom w:val="nil"/>
              <w:right w:val="nil"/>
            </w:tcBorders>
            <w:shd w:val="clear" w:color="auto" w:fill="auto"/>
            <w:noWrap/>
            <w:vAlign w:val="bottom"/>
            <w:hideMark/>
          </w:tcPr>
          <w:p w14:paraId="374D129D"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10.37</w:t>
            </w:r>
          </w:p>
        </w:tc>
        <w:tc>
          <w:tcPr>
            <w:tcW w:w="988" w:type="dxa"/>
            <w:tcBorders>
              <w:top w:val="nil"/>
              <w:left w:val="nil"/>
              <w:bottom w:val="nil"/>
              <w:right w:val="nil"/>
            </w:tcBorders>
          </w:tcPr>
          <w:p w14:paraId="22CFE03D"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41D46230" w14:textId="77777777" w:rsidTr="008E22F5">
        <w:trPr>
          <w:trHeight w:val="315"/>
        </w:trPr>
        <w:tc>
          <w:tcPr>
            <w:tcW w:w="3782" w:type="dxa"/>
            <w:tcBorders>
              <w:top w:val="nil"/>
              <w:left w:val="nil"/>
              <w:right w:val="nil"/>
            </w:tcBorders>
            <w:shd w:val="clear" w:color="auto" w:fill="auto"/>
            <w:noWrap/>
            <w:vAlign w:val="bottom"/>
            <w:hideMark/>
          </w:tcPr>
          <w:p w14:paraId="1D8C9A47" w14:textId="77777777" w:rsidR="00C73116" w:rsidRPr="00E13611" w:rsidRDefault="00C73116" w:rsidP="008E22F5">
            <w:pPr>
              <w:ind w:left="283"/>
              <w:rPr>
                <w:rFonts w:ascii="Garamond" w:eastAsia="Times New Roman" w:hAnsi="Garamond" w:cs="Calibri"/>
                <w:color w:val="000000"/>
                <w:lang w:eastAsia="en-GB"/>
              </w:rPr>
            </w:pPr>
            <w:r w:rsidRPr="00E13611">
              <w:rPr>
                <w:rFonts w:ascii="Garamond" w:eastAsia="Times New Roman" w:hAnsi="Garamond" w:cs="Calibri"/>
                <w:color w:val="000000"/>
                <w:lang w:eastAsia="en-GB"/>
              </w:rPr>
              <w:t>Intermediate</w:t>
            </w:r>
          </w:p>
        </w:tc>
        <w:tc>
          <w:tcPr>
            <w:tcW w:w="2160" w:type="dxa"/>
            <w:tcBorders>
              <w:top w:val="nil"/>
              <w:left w:val="nil"/>
              <w:right w:val="nil"/>
            </w:tcBorders>
            <w:shd w:val="clear" w:color="auto" w:fill="auto"/>
            <w:noWrap/>
            <w:vAlign w:val="bottom"/>
            <w:hideMark/>
          </w:tcPr>
          <w:p w14:paraId="3607552F"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60.38</w:t>
            </w:r>
          </w:p>
        </w:tc>
        <w:tc>
          <w:tcPr>
            <w:tcW w:w="1710" w:type="dxa"/>
            <w:tcBorders>
              <w:top w:val="nil"/>
              <w:left w:val="nil"/>
              <w:right w:val="nil"/>
            </w:tcBorders>
            <w:shd w:val="clear" w:color="auto" w:fill="auto"/>
            <w:noWrap/>
            <w:vAlign w:val="bottom"/>
            <w:hideMark/>
          </w:tcPr>
          <w:p w14:paraId="525BB92D"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57.83</w:t>
            </w:r>
          </w:p>
        </w:tc>
        <w:tc>
          <w:tcPr>
            <w:tcW w:w="988" w:type="dxa"/>
            <w:tcBorders>
              <w:top w:val="nil"/>
              <w:left w:val="nil"/>
              <w:right w:val="nil"/>
            </w:tcBorders>
          </w:tcPr>
          <w:p w14:paraId="23DBC9AB" w14:textId="77777777" w:rsidR="00C73116" w:rsidRPr="004B6CC7" w:rsidRDefault="00C73116" w:rsidP="008E22F5">
            <w:pPr>
              <w:jc w:val="center"/>
              <w:rPr>
                <w:rFonts w:ascii="Garamond" w:eastAsia="Times New Roman" w:hAnsi="Garamond" w:cs="Calibri"/>
                <w:color w:val="000000"/>
                <w:lang w:eastAsia="en-GB"/>
              </w:rPr>
            </w:pPr>
          </w:p>
        </w:tc>
      </w:tr>
      <w:tr w:rsidR="00C73116" w:rsidRPr="004B6CC7" w14:paraId="0421CAAD" w14:textId="77777777" w:rsidTr="008E22F5">
        <w:trPr>
          <w:trHeight w:val="315"/>
        </w:trPr>
        <w:tc>
          <w:tcPr>
            <w:tcW w:w="3782" w:type="dxa"/>
            <w:tcBorders>
              <w:top w:val="nil"/>
              <w:left w:val="nil"/>
              <w:bottom w:val="double" w:sz="4" w:space="0" w:color="auto"/>
              <w:right w:val="nil"/>
            </w:tcBorders>
            <w:shd w:val="clear" w:color="auto" w:fill="auto"/>
            <w:noWrap/>
            <w:vAlign w:val="bottom"/>
            <w:hideMark/>
          </w:tcPr>
          <w:p w14:paraId="0BC7A6B4" w14:textId="77777777" w:rsidR="00C73116" w:rsidRPr="00E13611" w:rsidRDefault="00C73116" w:rsidP="008E22F5">
            <w:pPr>
              <w:ind w:left="283"/>
              <w:rPr>
                <w:rFonts w:ascii="Garamond" w:eastAsia="Times New Roman" w:hAnsi="Garamond" w:cs="Calibri"/>
                <w:color w:val="000000"/>
                <w:lang w:eastAsia="en-GB"/>
              </w:rPr>
            </w:pPr>
            <w:r w:rsidRPr="00E13611">
              <w:rPr>
                <w:rFonts w:ascii="Garamond" w:eastAsia="Times New Roman" w:hAnsi="Garamond" w:cs="Calibri"/>
                <w:color w:val="000000"/>
                <w:lang w:eastAsia="en-GB"/>
              </w:rPr>
              <w:t>High</w:t>
            </w:r>
          </w:p>
        </w:tc>
        <w:tc>
          <w:tcPr>
            <w:tcW w:w="2160" w:type="dxa"/>
            <w:tcBorders>
              <w:top w:val="nil"/>
              <w:left w:val="nil"/>
              <w:bottom w:val="double" w:sz="4" w:space="0" w:color="auto"/>
              <w:right w:val="nil"/>
            </w:tcBorders>
            <w:shd w:val="clear" w:color="auto" w:fill="auto"/>
            <w:noWrap/>
            <w:vAlign w:val="bottom"/>
            <w:hideMark/>
          </w:tcPr>
          <w:p w14:paraId="05530403"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28.35</w:t>
            </w:r>
          </w:p>
        </w:tc>
        <w:tc>
          <w:tcPr>
            <w:tcW w:w="1710" w:type="dxa"/>
            <w:tcBorders>
              <w:top w:val="nil"/>
              <w:left w:val="nil"/>
              <w:bottom w:val="double" w:sz="4" w:space="0" w:color="auto"/>
              <w:right w:val="nil"/>
            </w:tcBorders>
            <w:shd w:val="clear" w:color="auto" w:fill="auto"/>
            <w:noWrap/>
            <w:vAlign w:val="bottom"/>
            <w:hideMark/>
          </w:tcPr>
          <w:p w14:paraId="5CCD988B" w14:textId="77777777" w:rsidR="00C73116" w:rsidRPr="004B6CC7" w:rsidRDefault="00C73116" w:rsidP="008E22F5">
            <w:pPr>
              <w:jc w:val="center"/>
              <w:rPr>
                <w:rFonts w:ascii="Garamond" w:eastAsia="Times New Roman" w:hAnsi="Garamond" w:cs="Calibri"/>
                <w:color w:val="000000"/>
                <w:lang w:eastAsia="en-GB"/>
              </w:rPr>
            </w:pPr>
            <w:r w:rsidRPr="004B6CC7">
              <w:rPr>
                <w:rFonts w:ascii="Garamond" w:eastAsia="Times New Roman" w:hAnsi="Garamond" w:cs="Calibri"/>
                <w:color w:val="000000"/>
                <w:lang w:eastAsia="en-GB"/>
              </w:rPr>
              <w:t>31.8</w:t>
            </w:r>
          </w:p>
        </w:tc>
        <w:tc>
          <w:tcPr>
            <w:tcW w:w="988" w:type="dxa"/>
            <w:tcBorders>
              <w:top w:val="nil"/>
              <w:left w:val="nil"/>
              <w:bottom w:val="double" w:sz="4" w:space="0" w:color="auto"/>
              <w:right w:val="nil"/>
            </w:tcBorders>
          </w:tcPr>
          <w:p w14:paraId="5661E1D7" w14:textId="77777777" w:rsidR="00C73116" w:rsidRPr="004B6CC7" w:rsidRDefault="00C73116" w:rsidP="008E22F5">
            <w:pPr>
              <w:jc w:val="center"/>
              <w:rPr>
                <w:rFonts w:ascii="Garamond" w:eastAsia="Times New Roman" w:hAnsi="Garamond" w:cs="Calibri"/>
                <w:color w:val="000000"/>
                <w:lang w:eastAsia="en-GB"/>
              </w:rPr>
            </w:pPr>
          </w:p>
        </w:tc>
      </w:tr>
    </w:tbl>
    <w:p w14:paraId="1F6912F6" w14:textId="77777777" w:rsidR="00C73116" w:rsidRDefault="00C73116" w:rsidP="00C73116">
      <w:pPr>
        <w:rPr>
          <w:rFonts w:ascii="Garamond" w:hAnsi="Garamond"/>
          <w:lang w:val="en-GB"/>
        </w:rPr>
        <w:sectPr w:rsidR="00C73116" w:rsidSect="00C27089">
          <w:pgSz w:w="11900" w:h="16840"/>
          <w:pgMar w:top="1440" w:right="1440" w:bottom="1440" w:left="1440" w:header="720" w:footer="720" w:gutter="0"/>
          <w:cols w:space="720"/>
          <w:docGrid w:linePitch="360"/>
        </w:sectPr>
      </w:pPr>
      <w:r w:rsidRPr="004B6CC7">
        <w:rPr>
          <w:rFonts w:ascii="Garamond" w:hAnsi="Garamond"/>
          <w:i/>
        </w:rPr>
        <w:t>Notes:</w:t>
      </w:r>
      <w:r>
        <w:rPr>
          <w:rFonts w:ascii="Garamond" w:hAnsi="Garamond"/>
          <w:i/>
        </w:rPr>
        <w:t xml:space="preserve"> </w:t>
      </w:r>
      <w:r w:rsidRPr="0089596E">
        <w:rPr>
          <w:rFonts w:ascii="Garamond" w:hAnsi="Garamond"/>
        </w:rPr>
        <w:t xml:space="preserve">Data come from the </w:t>
      </w:r>
      <w:proofErr w:type="spellStart"/>
      <w:r w:rsidRPr="0089596E">
        <w:rPr>
          <w:rFonts w:ascii="Garamond" w:hAnsi="Garamond"/>
        </w:rPr>
        <w:t>Constances</w:t>
      </w:r>
      <w:proofErr w:type="spellEnd"/>
      <w:r w:rsidRPr="0089596E">
        <w:rPr>
          <w:rFonts w:ascii="Garamond" w:hAnsi="Garamond"/>
        </w:rPr>
        <w:t xml:space="preserve"> cohort.</w:t>
      </w:r>
      <w:r>
        <w:rPr>
          <w:rFonts w:ascii="Garamond" w:hAnsi="Garamond"/>
          <w:i/>
        </w:rPr>
        <w:t xml:space="preserve"> </w:t>
      </w:r>
      <w:r>
        <w:rPr>
          <w:rFonts w:ascii="Garamond" w:hAnsi="Garamond"/>
          <w:lang w:val="en-GB"/>
        </w:rPr>
        <w:t>SD, Standard Deviation</w:t>
      </w:r>
      <w:r w:rsidRPr="00DA0996">
        <w:rPr>
          <w:rFonts w:ascii="Garamond" w:hAnsi="Garamond"/>
          <w:lang w:val="en-GB"/>
        </w:rPr>
        <w:t>.</w:t>
      </w:r>
      <w:r>
        <w:rPr>
          <w:rFonts w:ascii="Garamond" w:hAnsi="Garamond"/>
          <w:i/>
        </w:rPr>
        <w:t xml:space="preserve"> </w:t>
      </w:r>
      <w:r>
        <w:rPr>
          <w:rFonts w:ascii="Garamond" w:hAnsi="Garamond"/>
          <w:lang w:val="en-GB"/>
        </w:rPr>
        <w:t>Only respondents born within 48 months of the reform are included in our sample.</w:t>
      </w:r>
    </w:p>
    <w:p w14:paraId="1D091F1E" w14:textId="77777777" w:rsidR="00C73116" w:rsidRPr="00515E78" w:rsidRDefault="00C73116" w:rsidP="00C73116">
      <w:pPr>
        <w:contextualSpacing/>
        <w:rPr>
          <w:rFonts w:ascii="Garamond" w:hAnsi="Garamond"/>
        </w:rPr>
      </w:pPr>
      <w:r w:rsidRPr="00515E78">
        <w:rPr>
          <w:rFonts w:ascii="Garamond" w:hAnsi="Garamond"/>
          <w:b/>
        </w:rPr>
        <w:lastRenderedPageBreak/>
        <w:t xml:space="preserve">Table </w:t>
      </w:r>
      <w:r>
        <w:rPr>
          <w:rFonts w:ascii="Garamond" w:hAnsi="Garamond"/>
          <w:b/>
        </w:rPr>
        <w:t>2</w:t>
      </w:r>
      <w:r w:rsidRPr="00515E78">
        <w:rPr>
          <w:rFonts w:ascii="Garamond" w:hAnsi="Garamond"/>
        </w:rPr>
        <w:t xml:space="preserve">. Effect of </w:t>
      </w:r>
      <w:r>
        <w:rPr>
          <w:rFonts w:ascii="Garamond" w:hAnsi="Garamond"/>
        </w:rPr>
        <w:t xml:space="preserve">eligibility to the 1959 </w:t>
      </w:r>
      <w:proofErr w:type="spellStart"/>
      <w:r>
        <w:rPr>
          <w:rFonts w:ascii="Garamond" w:hAnsi="Garamond"/>
        </w:rPr>
        <w:t>Berthoin</w:t>
      </w:r>
      <w:proofErr w:type="spellEnd"/>
      <w:r>
        <w:rPr>
          <w:rFonts w:ascii="Garamond" w:hAnsi="Garamond"/>
        </w:rPr>
        <w:t xml:space="preserve"> reform on school leaving age and odds of leaving school after the age of 16</w:t>
      </w:r>
      <w:r w:rsidRPr="00515E78">
        <w:rPr>
          <w:rFonts w:ascii="Garamond" w:hAnsi="Garamond"/>
        </w:rPr>
        <w:t xml:space="preserve">, by parental </w:t>
      </w:r>
      <w:r>
        <w:rPr>
          <w:rFonts w:ascii="Garamond" w:hAnsi="Garamond"/>
        </w:rPr>
        <w:t>social class during adolescence</w:t>
      </w:r>
    </w:p>
    <w:tbl>
      <w:tblPr>
        <w:tblW w:w="5269" w:type="pct"/>
        <w:tblLayout w:type="fixed"/>
        <w:tblLook w:val="04A0" w:firstRow="1" w:lastRow="0" w:firstColumn="1" w:lastColumn="0" w:noHBand="0" w:noVBand="1"/>
      </w:tblPr>
      <w:tblGrid>
        <w:gridCol w:w="2257"/>
        <w:gridCol w:w="648"/>
        <w:gridCol w:w="943"/>
        <w:gridCol w:w="654"/>
        <w:gridCol w:w="1062"/>
        <w:gridCol w:w="708"/>
        <w:gridCol w:w="1060"/>
        <w:gridCol w:w="708"/>
        <w:gridCol w:w="1065"/>
      </w:tblGrid>
      <w:tr w:rsidR="00C73116" w:rsidRPr="00F95A8A" w14:paraId="1FCDFAF7" w14:textId="77777777" w:rsidTr="008E22F5">
        <w:trPr>
          <w:trHeight w:val="378"/>
        </w:trPr>
        <w:tc>
          <w:tcPr>
            <w:tcW w:w="1239" w:type="pct"/>
            <w:tcBorders>
              <w:top w:val="double" w:sz="6" w:space="0" w:color="auto"/>
              <w:left w:val="nil"/>
              <w:right w:val="nil"/>
            </w:tcBorders>
            <w:shd w:val="clear" w:color="auto" w:fill="auto"/>
            <w:noWrap/>
            <w:vAlign w:val="bottom"/>
          </w:tcPr>
          <w:p w14:paraId="01FB7AC6" w14:textId="77777777" w:rsidR="00C73116" w:rsidRDefault="00C73116" w:rsidP="008E22F5">
            <w:pPr>
              <w:rPr>
                <w:rFonts w:ascii="Garamond" w:eastAsia="Times New Roman" w:hAnsi="Garamond"/>
                <w:color w:val="000000"/>
              </w:rPr>
            </w:pPr>
          </w:p>
        </w:tc>
        <w:tc>
          <w:tcPr>
            <w:tcW w:w="874" w:type="pct"/>
            <w:gridSpan w:val="2"/>
            <w:tcBorders>
              <w:top w:val="double" w:sz="6" w:space="0" w:color="auto"/>
              <w:left w:val="nil"/>
              <w:bottom w:val="single" w:sz="4" w:space="0" w:color="auto"/>
              <w:right w:val="nil"/>
            </w:tcBorders>
            <w:shd w:val="clear" w:color="auto" w:fill="auto"/>
            <w:noWrap/>
            <w:vAlign w:val="center"/>
          </w:tcPr>
          <w:p w14:paraId="27A1AC3D"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rPr>
              <w:t xml:space="preserve">All </w:t>
            </w:r>
          </w:p>
        </w:tc>
        <w:tc>
          <w:tcPr>
            <w:tcW w:w="942" w:type="pct"/>
            <w:gridSpan w:val="2"/>
            <w:tcBorders>
              <w:top w:val="double" w:sz="6" w:space="0" w:color="auto"/>
              <w:left w:val="nil"/>
              <w:bottom w:val="single" w:sz="4" w:space="0" w:color="auto"/>
              <w:right w:val="nil"/>
            </w:tcBorders>
            <w:vAlign w:val="center"/>
          </w:tcPr>
          <w:p w14:paraId="00595D62"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rPr>
              <w:t xml:space="preserve">High parental </w:t>
            </w:r>
            <w:r>
              <w:rPr>
                <w:rFonts w:ascii="Garamond" w:eastAsia="Times New Roman" w:hAnsi="Garamond"/>
                <w:color w:val="000000"/>
              </w:rPr>
              <w:t>social class</w:t>
            </w:r>
          </w:p>
        </w:tc>
        <w:tc>
          <w:tcPr>
            <w:tcW w:w="971" w:type="pct"/>
            <w:gridSpan w:val="2"/>
            <w:tcBorders>
              <w:top w:val="double" w:sz="6" w:space="0" w:color="auto"/>
              <w:left w:val="nil"/>
              <w:bottom w:val="single" w:sz="4" w:space="0" w:color="auto"/>
              <w:right w:val="nil"/>
            </w:tcBorders>
          </w:tcPr>
          <w:p w14:paraId="7F602C13"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rPr>
              <w:t xml:space="preserve">Intermediate parental </w:t>
            </w:r>
            <w:r>
              <w:rPr>
                <w:rFonts w:ascii="Garamond" w:eastAsia="Times New Roman" w:hAnsi="Garamond"/>
                <w:color w:val="000000"/>
              </w:rPr>
              <w:t>social class</w:t>
            </w:r>
          </w:p>
        </w:tc>
        <w:tc>
          <w:tcPr>
            <w:tcW w:w="974" w:type="pct"/>
            <w:gridSpan w:val="2"/>
            <w:tcBorders>
              <w:top w:val="double" w:sz="6" w:space="0" w:color="auto"/>
              <w:left w:val="nil"/>
              <w:bottom w:val="single" w:sz="4" w:space="0" w:color="auto"/>
              <w:right w:val="nil"/>
            </w:tcBorders>
          </w:tcPr>
          <w:p w14:paraId="2787CCF1"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rPr>
              <w:t xml:space="preserve">Low parental </w:t>
            </w:r>
            <w:r>
              <w:rPr>
                <w:rFonts w:ascii="Garamond" w:eastAsia="Times New Roman" w:hAnsi="Garamond"/>
                <w:color w:val="000000"/>
              </w:rPr>
              <w:t>social class</w:t>
            </w:r>
          </w:p>
        </w:tc>
      </w:tr>
      <w:tr w:rsidR="00C73116" w:rsidRPr="00F95A8A" w14:paraId="571D9610" w14:textId="77777777" w:rsidTr="008E22F5">
        <w:trPr>
          <w:trHeight w:val="378"/>
        </w:trPr>
        <w:tc>
          <w:tcPr>
            <w:tcW w:w="1239" w:type="pct"/>
            <w:tcBorders>
              <w:left w:val="nil"/>
              <w:bottom w:val="nil"/>
              <w:right w:val="nil"/>
            </w:tcBorders>
            <w:shd w:val="clear" w:color="auto" w:fill="auto"/>
            <w:noWrap/>
            <w:vAlign w:val="bottom"/>
            <w:hideMark/>
          </w:tcPr>
          <w:p w14:paraId="3C219F29" w14:textId="77777777" w:rsidR="00C73116" w:rsidRDefault="00C73116" w:rsidP="008E22F5">
            <w:pPr>
              <w:rPr>
                <w:rFonts w:ascii="Garamond" w:eastAsia="Times New Roman" w:hAnsi="Garamond"/>
                <w:color w:val="000000"/>
              </w:rPr>
            </w:pPr>
            <w:r>
              <w:rPr>
                <w:rFonts w:ascii="Garamond" w:eastAsia="Times New Roman" w:hAnsi="Garamond"/>
                <w:color w:val="000000"/>
              </w:rPr>
              <w:t> </w:t>
            </w:r>
          </w:p>
        </w:tc>
        <w:tc>
          <w:tcPr>
            <w:tcW w:w="356" w:type="pct"/>
            <w:tcBorders>
              <w:top w:val="single" w:sz="4" w:space="0" w:color="auto"/>
              <w:left w:val="nil"/>
              <w:bottom w:val="nil"/>
              <w:right w:val="nil"/>
            </w:tcBorders>
            <w:shd w:val="clear" w:color="auto" w:fill="auto"/>
            <w:noWrap/>
            <w:vAlign w:val="center"/>
            <w:hideMark/>
          </w:tcPr>
          <w:p w14:paraId="70E3C208"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sz w:val="22"/>
                <w:szCs w:val="22"/>
              </w:rPr>
              <w:t>ß</w:t>
            </w:r>
          </w:p>
        </w:tc>
        <w:tc>
          <w:tcPr>
            <w:tcW w:w="518" w:type="pct"/>
            <w:tcBorders>
              <w:top w:val="single" w:sz="4" w:space="0" w:color="auto"/>
              <w:left w:val="nil"/>
              <w:bottom w:val="nil"/>
              <w:right w:val="nil"/>
            </w:tcBorders>
            <w:shd w:val="clear" w:color="auto" w:fill="auto"/>
            <w:noWrap/>
            <w:vAlign w:val="center"/>
            <w:hideMark/>
          </w:tcPr>
          <w:p w14:paraId="6C979A73"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rPr>
              <w:t>95% CI</w:t>
            </w:r>
          </w:p>
        </w:tc>
        <w:tc>
          <w:tcPr>
            <w:tcW w:w="359" w:type="pct"/>
            <w:tcBorders>
              <w:top w:val="single" w:sz="4" w:space="0" w:color="auto"/>
              <w:left w:val="nil"/>
              <w:bottom w:val="nil"/>
              <w:right w:val="nil"/>
            </w:tcBorders>
            <w:vAlign w:val="center"/>
          </w:tcPr>
          <w:p w14:paraId="0F0D1D33"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sz w:val="22"/>
                <w:szCs w:val="22"/>
              </w:rPr>
              <w:t>ß</w:t>
            </w:r>
          </w:p>
        </w:tc>
        <w:tc>
          <w:tcPr>
            <w:tcW w:w="583" w:type="pct"/>
            <w:tcBorders>
              <w:top w:val="single" w:sz="4" w:space="0" w:color="auto"/>
              <w:left w:val="nil"/>
              <w:bottom w:val="nil"/>
              <w:right w:val="nil"/>
            </w:tcBorders>
            <w:vAlign w:val="center"/>
          </w:tcPr>
          <w:p w14:paraId="0525E4E7"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rPr>
              <w:t>95% CI</w:t>
            </w:r>
          </w:p>
        </w:tc>
        <w:tc>
          <w:tcPr>
            <w:tcW w:w="389" w:type="pct"/>
            <w:tcBorders>
              <w:top w:val="single" w:sz="4" w:space="0" w:color="auto"/>
              <w:left w:val="nil"/>
              <w:bottom w:val="nil"/>
              <w:right w:val="nil"/>
            </w:tcBorders>
            <w:vAlign w:val="center"/>
          </w:tcPr>
          <w:p w14:paraId="19CB2E50"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sz w:val="22"/>
                <w:szCs w:val="22"/>
              </w:rPr>
              <w:t>ß</w:t>
            </w:r>
          </w:p>
        </w:tc>
        <w:tc>
          <w:tcPr>
            <w:tcW w:w="582" w:type="pct"/>
            <w:tcBorders>
              <w:top w:val="single" w:sz="4" w:space="0" w:color="auto"/>
              <w:left w:val="nil"/>
              <w:bottom w:val="nil"/>
              <w:right w:val="nil"/>
            </w:tcBorders>
            <w:vAlign w:val="center"/>
          </w:tcPr>
          <w:p w14:paraId="22BC75FA"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rPr>
              <w:t>95% CI</w:t>
            </w:r>
          </w:p>
        </w:tc>
        <w:tc>
          <w:tcPr>
            <w:tcW w:w="389" w:type="pct"/>
            <w:tcBorders>
              <w:top w:val="single" w:sz="4" w:space="0" w:color="auto"/>
              <w:left w:val="nil"/>
              <w:bottom w:val="nil"/>
              <w:right w:val="nil"/>
            </w:tcBorders>
            <w:vAlign w:val="center"/>
          </w:tcPr>
          <w:p w14:paraId="3306B32A"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sz w:val="22"/>
                <w:szCs w:val="22"/>
              </w:rPr>
              <w:t>ß</w:t>
            </w:r>
          </w:p>
        </w:tc>
        <w:tc>
          <w:tcPr>
            <w:tcW w:w="585" w:type="pct"/>
            <w:tcBorders>
              <w:top w:val="single" w:sz="4" w:space="0" w:color="auto"/>
              <w:left w:val="nil"/>
              <w:bottom w:val="nil"/>
              <w:right w:val="nil"/>
            </w:tcBorders>
            <w:vAlign w:val="center"/>
          </w:tcPr>
          <w:p w14:paraId="231426B4" w14:textId="77777777" w:rsidR="00C73116" w:rsidRPr="00F95A8A" w:rsidRDefault="00C73116" w:rsidP="008E22F5">
            <w:pPr>
              <w:jc w:val="center"/>
              <w:rPr>
                <w:rFonts w:ascii="Garamond" w:eastAsia="Times New Roman" w:hAnsi="Garamond"/>
                <w:color w:val="000000"/>
              </w:rPr>
            </w:pPr>
            <w:r w:rsidRPr="00F95A8A">
              <w:rPr>
                <w:rFonts w:ascii="Garamond" w:eastAsia="Times New Roman" w:hAnsi="Garamond"/>
                <w:color w:val="000000"/>
              </w:rPr>
              <w:t>95% CI</w:t>
            </w:r>
          </w:p>
        </w:tc>
      </w:tr>
      <w:tr w:rsidR="00C73116" w14:paraId="5FC724EF" w14:textId="77777777" w:rsidTr="008E22F5">
        <w:trPr>
          <w:trHeight w:val="320"/>
        </w:trPr>
        <w:tc>
          <w:tcPr>
            <w:tcW w:w="1239" w:type="pct"/>
            <w:tcBorders>
              <w:top w:val="nil"/>
              <w:left w:val="nil"/>
              <w:bottom w:val="nil"/>
              <w:right w:val="nil"/>
            </w:tcBorders>
            <w:shd w:val="clear" w:color="auto" w:fill="auto"/>
            <w:noWrap/>
            <w:vAlign w:val="center"/>
            <w:hideMark/>
          </w:tcPr>
          <w:p w14:paraId="2512D961" w14:textId="77777777" w:rsidR="00C73116" w:rsidRDefault="00C73116" w:rsidP="008E22F5">
            <w:pPr>
              <w:rPr>
                <w:rFonts w:ascii="Garamond" w:eastAsia="Times New Roman" w:hAnsi="Garamond"/>
                <w:color w:val="000000"/>
              </w:rPr>
            </w:pPr>
            <w:r>
              <w:rPr>
                <w:rFonts w:ascii="Garamond" w:eastAsia="Times New Roman" w:hAnsi="Garamond"/>
                <w:color w:val="000000"/>
              </w:rPr>
              <w:t>School leaving age</w:t>
            </w:r>
          </w:p>
        </w:tc>
        <w:tc>
          <w:tcPr>
            <w:tcW w:w="356" w:type="pct"/>
            <w:tcBorders>
              <w:top w:val="nil"/>
              <w:left w:val="nil"/>
              <w:bottom w:val="nil"/>
              <w:right w:val="nil"/>
            </w:tcBorders>
            <w:shd w:val="clear" w:color="auto" w:fill="auto"/>
            <w:noWrap/>
            <w:vAlign w:val="center"/>
            <w:hideMark/>
          </w:tcPr>
          <w:p w14:paraId="5F2A117D"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0.242***</w:t>
            </w:r>
          </w:p>
        </w:tc>
        <w:tc>
          <w:tcPr>
            <w:tcW w:w="518" w:type="pct"/>
            <w:tcBorders>
              <w:top w:val="nil"/>
              <w:left w:val="nil"/>
              <w:bottom w:val="nil"/>
              <w:right w:val="nil"/>
            </w:tcBorders>
            <w:shd w:val="clear" w:color="auto" w:fill="auto"/>
            <w:noWrap/>
            <w:vAlign w:val="center"/>
            <w:hideMark/>
          </w:tcPr>
          <w:p w14:paraId="6BEDCB8A"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0.151 to 0.333</w:t>
            </w:r>
          </w:p>
        </w:tc>
        <w:tc>
          <w:tcPr>
            <w:tcW w:w="359" w:type="pct"/>
            <w:tcBorders>
              <w:top w:val="nil"/>
              <w:left w:val="nil"/>
              <w:bottom w:val="nil"/>
              <w:right w:val="nil"/>
            </w:tcBorders>
            <w:vAlign w:val="center"/>
          </w:tcPr>
          <w:p w14:paraId="1CA652E3"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0.154</w:t>
            </w:r>
          </w:p>
        </w:tc>
        <w:tc>
          <w:tcPr>
            <w:tcW w:w="583" w:type="pct"/>
            <w:tcBorders>
              <w:top w:val="nil"/>
              <w:left w:val="nil"/>
              <w:bottom w:val="nil"/>
              <w:right w:val="nil"/>
            </w:tcBorders>
            <w:vAlign w:val="center"/>
          </w:tcPr>
          <w:p w14:paraId="33C69BB8"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-0.296 to 0.604</w:t>
            </w:r>
          </w:p>
        </w:tc>
        <w:tc>
          <w:tcPr>
            <w:tcW w:w="389" w:type="pct"/>
            <w:tcBorders>
              <w:top w:val="nil"/>
              <w:left w:val="nil"/>
              <w:bottom w:val="nil"/>
              <w:right w:val="nil"/>
            </w:tcBorders>
            <w:vAlign w:val="center"/>
          </w:tcPr>
          <w:p w14:paraId="65509FBC"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0.058</w:t>
            </w:r>
          </w:p>
        </w:tc>
        <w:tc>
          <w:tcPr>
            <w:tcW w:w="582" w:type="pct"/>
            <w:tcBorders>
              <w:top w:val="nil"/>
              <w:left w:val="nil"/>
              <w:bottom w:val="nil"/>
              <w:right w:val="nil"/>
            </w:tcBorders>
            <w:vAlign w:val="center"/>
          </w:tcPr>
          <w:p w14:paraId="610CCA7C"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-0.109 to 0.225</w:t>
            </w:r>
          </w:p>
        </w:tc>
        <w:tc>
          <w:tcPr>
            <w:tcW w:w="389" w:type="pct"/>
            <w:tcBorders>
              <w:top w:val="nil"/>
              <w:left w:val="nil"/>
              <w:bottom w:val="nil"/>
              <w:right w:val="nil"/>
            </w:tcBorders>
            <w:vAlign w:val="center"/>
          </w:tcPr>
          <w:p w14:paraId="42C0D30F"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0.360***</w:t>
            </w:r>
          </w:p>
        </w:tc>
        <w:tc>
          <w:tcPr>
            <w:tcW w:w="585" w:type="pct"/>
            <w:tcBorders>
              <w:top w:val="nil"/>
              <w:left w:val="nil"/>
              <w:bottom w:val="nil"/>
              <w:right w:val="nil"/>
            </w:tcBorders>
            <w:vAlign w:val="center"/>
          </w:tcPr>
          <w:p w14:paraId="7A6DC262"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0.234 to 0.485</w:t>
            </w:r>
          </w:p>
        </w:tc>
      </w:tr>
      <w:tr w:rsidR="00C73116" w14:paraId="40EBD98A" w14:textId="77777777" w:rsidTr="008E22F5">
        <w:trPr>
          <w:trHeight w:val="351"/>
        </w:trPr>
        <w:tc>
          <w:tcPr>
            <w:tcW w:w="1239" w:type="pct"/>
            <w:tcBorders>
              <w:top w:val="nil"/>
              <w:left w:val="nil"/>
              <w:right w:val="nil"/>
            </w:tcBorders>
            <w:shd w:val="clear" w:color="auto" w:fill="auto"/>
            <w:noWrap/>
            <w:vAlign w:val="center"/>
            <w:hideMark/>
          </w:tcPr>
          <w:p w14:paraId="75E0BE10" w14:textId="77777777" w:rsidR="00C73116" w:rsidRDefault="00C73116" w:rsidP="008E22F5">
            <w:pPr>
              <w:rPr>
                <w:rFonts w:ascii="Garamond" w:eastAsia="Times New Roman" w:hAnsi="Garamond"/>
                <w:color w:val="000000"/>
              </w:rPr>
            </w:pPr>
          </w:p>
        </w:tc>
        <w:tc>
          <w:tcPr>
            <w:tcW w:w="356" w:type="pct"/>
            <w:tcBorders>
              <w:top w:val="nil"/>
              <w:left w:val="nil"/>
              <w:right w:val="nil"/>
            </w:tcBorders>
            <w:shd w:val="clear" w:color="auto" w:fill="auto"/>
            <w:noWrap/>
            <w:vAlign w:val="center"/>
            <w:hideMark/>
          </w:tcPr>
          <w:p w14:paraId="49E85277"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518" w:type="pct"/>
            <w:tcBorders>
              <w:top w:val="nil"/>
              <w:left w:val="nil"/>
              <w:right w:val="nil"/>
            </w:tcBorders>
            <w:shd w:val="clear" w:color="auto" w:fill="auto"/>
            <w:noWrap/>
            <w:vAlign w:val="center"/>
            <w:hideMark/>
          </w:tcPr>
          <w:p w14:paraId="70B0735F"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95% CI</w:t>
            </w:r>
          </w:p>
        </w:tc>
        <w:tc>
          <w:tcPr>
            <w:tcW w:w="359" w:type="pct"/>
            <w:tcBorders>
              <w:top w:val="nil"/>
              <w:left w:val="nil"/>
              <w:right w:val="nil"/>
            </w:tcBorders>
            <w:vAlign w:val="center"/>
          </w:tcPr>
          <w:p w14:paraId="3C47030A"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583" w:type="pct"/>
            <w:tcBorders>
              <w:top w:val="nil"/>
              <w:left w:val="nil"/>
              <w:right w:val="nil"/>
            </w:tcBorders>
            <w:vAlign w:val="center"/>
          </w:tcPr>
          <w:p w14:paraId="0B4C7678"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95% CI</w:t>
            </w:r>
          </w:p>
        </w:tc>
        <w:tc>
          <w:tcPr>
            <w:tcW w:w="389" w:type="pct"/>
            <w:tcBorders>
              <w:top w:val="nil"/>
              <w:left w:val="nil"/>
              <w:right w:val="nil"/>
            </w:tcBorders>
            <w:vAlign w:val="center"/>
          </w:tcPr>
          <w:p w14:paraId="0F699949"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582" w:type="pct"/>
            <w:tcBorders>
              <w:top w:val="nil"/>
              <w:left w:val="nil"/>
              <w:right w:val="nil"/>
            </w:tcBorders>
            <w:vAlign w:val="center"/>
          </w:tcPr>
          <w:p w14:paraId="612A4821"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95% CI</w:t>
            </w:r>
          </w:p>
        </w:tc>
        <w:tc>
          <w:tcPr>
            <w:tcW w:w="389" w:type="pct"/>
            <w:tcBorders>
              <w:top w:val="nil"/>
              <w:left w:val="nil"/>
              <w:right w:val="nil"/>
            </w:tcBorders>
            <w:vAlign w:val="center"/>
          </w:tcPr>
          <w:p w14:paraId="2E1E0630"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585" w:type="pct"/>
            <w:tcBorders>
              <w:top w:val="nil"/>
              <w:left w:val="nil"/>
              <w:right w:val="nil"/>
            </w:tcBorders>
            <w:vAlign w:val="center"/>
          </w:tcPr>
          <w:p w14:paraId="50E01E00"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95% CI</w:t>
            </w:r>
          </w:p>
        </w:tc>
      </w:tr>
      <w:tr w:rsidR="00C73116" w14:paraId="6B38BF04" w14:textId="77777777" w:rsidTr="008E22F5">
        <w:trPr>
          <w:trHeight w:val="351"/>
        </w:trPr>
        <w:tc>
          <w:tcPr>
            <w:tcW w:w="1239" w:type="pct"/>
            <w:tcBorders>
              <w:top w:val="nil"/>
              <w:left w:val="nil"/>
              <w:bottom w:val="double" w:sz="4" w:space="0" w:color="auto"/>
              <w:right w:val="nil"/>
            </w:tcBorders>
            <w:shd w:val="clear" w:color="auto" w:fill="auto"/>
            <w:noWrap/>
            <w:vAlign w:val="center"/>
            <w:hideMark/>
          </w:tcPr>
          <w:p w14:paraId="3305606B" w14:textId="77777777" w:rsidR="00C73116" w:rsidRDefault="00C73116" w:rsidP="008E22F5">
            <w:pPr>
              <w:rPr>
                <w:rFonts w:ascii="Garamond" w:eastAsia="Times New Roman" w:hAnsi="Garamond"/>
                <w:color w:val="000000"/>
              </w:rPr>
            </w:pPr>
            <w:r>
              <w:rPr>
                <w:rFonts w:ascii="Garamond" w:eastAsia="Times New Roman" w:hAnsi="Garamond"/>
                <w:color w:val="000000"/>
              </w:rPr>
              <w:t>Leaving school after the age of 16</w:t>
            </w:r>
          </w:p>
        </w:tc>
        <w:tc>
          <w:tcPr>
            <w:tcW w:w="356" w:type="pct"/>
            <w:tcBorders>
              <w:top w:val="nil"/>
              <w:left w:val="nil"/>
              <w:bottom w:val="double" w:sz="4" w:space="0" w:color="auto"/>
              <w:right w:val="nil"/>
            </w:tcBorders>
            <w:shd w:val="clear" w:color="auto" w:fill="auto"/>
            <w:noWrap/>
            <w:vAlign w:val="center"/>
            <w:hideMark/>
          </w:tcPr>
          <w:p w14:paraId="7050C82D"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1.698***</w:t>
            </w:r>
          </w:p>
        </w:tc>
        <w:tc>
          <w:tcPr>
            <w:tcW w:w="518" w:type="pct"/>
            <w:tcBorders>
              <w:top w:val="nil"/>
              <w:left w:val="nil"/>
              <w:bottom w:val="double" w:sz="4" w:space="0" w:color="auto"/>
              <w:right w:val="nil"/>
            </w:tcBorders>
            <w:shd w:val="clear" w:color="auto" w:fill="auto"/>
            <w:noWrap/>
            <w:vAlign w:val="center"/>
            <w:hideMark/>
          </w:tcPr>
          <w:p w14:paraId="661C6859"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1.545 to 1.865</w:t>
            </w:r>
          </w:p>
        </w:tc>
        <w:tc>
          <w:tcPr>
            <w:tcW w:w="359" w:type="pct"/>
            <w:tcBorders>
              <w:top w:val="nil"/>
              <w:left w:val="nil"/>
              <w:bottom w:val="double" w:sz="4" w:space="0" w:color="auto"/>
              <w:right w:val="nil"/>
            </w:tcBorders>
            <w:vAlign w:val="center"/>
          </w:tcPr>
          <w:p w14:paraId="6ADBFDDD"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0.936</w:t>
            </w:r>
          </w:p>
        </w:tc>
        <w:tc>
          <w:tcPr>
            <w:tcW w:w="583" w:type="pct"/>
            <w:tcBorders>
              <w:top w:val="nil"/>
              <w:left w:val="nil"/>
              <w:bottom w:val="double" w:sz="4" w:space="0" w:color="auto"/>
              <w:right w:val="nil"/>
            </w:tcBorders>
            <w:vAlign w:val="center"/>
          </w:tcPr>
          <w:p w14:paraId="14A6F7D5"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0.454 to 1.929</w:t>
            </w:r>
          </w:p>
        </w:tc>
        <w:tc>
          <w:tcPr>
            <w:tcW w:w="389" w:type="pct"/>
            <w:tcBorders>
              <w:top w:val="nil"/>
              <w:left w:val="nil"/>
              <w:bottom w:val="double" w:sz="4" w:space="0" w:color="auto"/>
              <w:right w:val="nil"/>
            </w:tcBorders>
            <w:vAlign w:val="center"/>
          </w:tcPr>
          <w:p w14:paraId="647E5342"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1.283*</w:t>
            </w:r>
          </w:p>
        </w:tc>
        <w:tc>
          <w:tcPr>
            <w:tcW w:w="582" w:type="pct"/>
            <w:tcBorders>
              <w:top w:val="nil"/>
              <w:left w:val="nil"/>
              <w:bottom w:val="double" w:sz="4" w:space="0" w:color="auto"/>
              <w:right w:val="nil"/>
            </w:tcBorders>
            <w:vAlign w:val="center"/>
          </w:tcPr>
          <w:p w14:paraId="5D4D039C"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1.060 to 1.553</w:t>
            </w:r>
          </w:p>
        </w:tc>
        <w:tc>
          <w:tcPr>
            <w:tcW w:w="389" w:type="pct"/>
            <w:tcBorders>
              <w:top w:val="nil"/>
              <w:left w:val="nil"/>
              <w:bottom w:val="double" w:sz="4" w:space="0" w:color="auto"/>
              <w:right w:val="nil"/>
            </w:tcBorders>
            <w:vAlign w:val="center"/>
          </w:tcPr>
          <w:p w14:paraId="6E906271"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1.875***</w:t>
            </w:r>
          </w:p>
        </w:tc>
        <w:tc>
          <w:tcPr>
            <w:tcW w:w="585" w:type="pct"/>
            <w:tcBorders>
              <w:top w:val="nil"/>
              <w:left w:val="nil"/>
              <w:bottom w:val="double" w:sz="4" w:space="0" w:color="auto"/>
              <w:right w:val="nil"/>
            </w:tcBorders>
            <w:vAlign w:val="center"/>
          </w:tcPr>
          <w:p w14:paraId="341D8309" w14:textId="77777777" w:rsidR="00C73116"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1.696 to 2.074</w:t>
            </w:r>
          </w:p>
        </w:tc>
      </w:tr>
    </w:tbl>
    <w:p w14:paraId="7B04F8FB" w14:textId="77777777" w:rsidR="00C73116" w:rsidRDefault="00C73116" w:rsidP="00C73116">
      <w:pPr>
        <w:rPr>
          <w:rFonts w:ascii="Garamond" w:hAnsi="Garamond"/>
        </w:rPr>
      </w:pPr>
      <w:r w:rsidRPr="00515E78">
        <w:rPr>
          <w:rFonts w:ascii="Garamond" w:hAnsi="Garamond"/>
          <w:i/>
        </w:rPr>
        <w:t>Notes</w:t>
      </w:r>
      <w:r w:rsidRPr="00515E78">
        <w:rPr>
          <w:rFonts w:ascii="Garamond" w:hAnsi="Garamond"/>
        </w:rPr>
        <w:t xml:space="preserve">: </w:t>
      </w:r>
      <w:r>
        <w:rPr>
          <w:rFonts w:ascii="Garamond" w:hAnsi="Garamond"/>
        </w:rPr>
        <w:t xml:space="preserve">Data come from the French Labor Force Survey (2003-2012). </w:t>
      </w:r>
      <w:r w:rsidRPr="00515E78">
        <w:rPr>
          <w:rFonts w:ascii="Garamond" w:hAnsi="Garamond"/>
        </w:rPr>
        <w:t xml:space="preserve">All models control for age, age squared, month of birth, birth cohort relative to the cut-off point, interacted with the treatment. Standard errors </w:t>
      </w:r>
      <w:r>
        <w:rPr>
          <w:rFonts w:ascii="Garamond" w:hAnsi="Garamond"/>
        </w:rPr>
        <w:t xml:space="preserve">are </w:t>
      </w:r>
      <w:r w:rsidRPr="00515E78">
        <w:rPr>
          <w:rFonts w:ascii="Garamond" w:hAnsi="Garamond"/>
        </w:rPr>
        <w:t xml:space="preserve">clustered at the month of birth level. Bandwidth </w:t>
      </w:r>
      <w:r>
        <w:rPr>
          <w:rFonts w:ascii="Garamond" w:hAnsi="Garamond"/>
        </w:rPr>
        <w:t xml:space="preserve">is </w:t>
      </w:r>
      <w:r w:rsidRPr="00515E78">
        <w:rPr>
          <w:rFonts w:ascii="Garamond" w:hAnsi="Garamond"/>
        </w:rPr>
        <w:t xml:space="preserve">fixed at </w:t>
      </w:r>
      <w:r>
        <w:rPr>
          <w:rFonts w:ascii="Garamond" w:hAnsi="Garamond"/>
        </w:rPr>
        <w:t>48</w:t>
      </w:r>
      <w:r w:rsidRPr="00515E78">
        <w:rPr>
          <w:rFonts w:ascii="Garamond" w:hAnsi="Garamond"/>
        </w:rPr>
        <w:t xml:space="preserve"> months. </w:t>
      </w:r>
      <w:r>
        <w:rPr>
          <w:rFonts w:ascii="Garamond" w:hAnsi="Garamond"/>
        </w:rPr>
        <w:t xml:space="preserve">** </w:t>
      </w:r>
      <w:r w:rsidRPr="004B6CC7">
        <w:rPr>
          <w:rFonts w:ascii="Garamond" w:hAnsi="Garamond"/>
          <w:i/>
        </w:rPr>
        <w:t>p</w:t>
      </w:r>
      <w:r>
        <w:rPr>
          <w:rFonts w:ascii="Garamond" w:hAnsi="Garamond"/>
        </w:rPr>
        <w:t xml:space="preserve">&lt;0.01; *** </w:t>
      </w:r>
      <w:r w:rsidRPr="004B6CC7">
        <w:rPr>
          <w:rFonts w:ascii="Garamond" w:hAnsi="Garamond"/>
          <w:i/>
        </w:rPr>
        <w:t>p</w:t>
      </w:r>
      <w:r>
        <w:rPr>
          <w:rFonts w:ascii="Garamond" w:hAnsi="Garamond"/>
        </w:rPr>
        <w:t>&lt;0.001.</w:t>
      </w:r>
    </w:p>
    <w:p w14:paraId="08D0B132" w14:textId="77777777" w:rsidR="00C73116" w:rsidRDefault="00C73116" w:rsidP="00C73116">
      <w:pPr>
        <w:rPr>
          <w:rFonts w:ascii="Garamond" w:hAnsi="Garamond"/>
        </w:rPr>
      </w:pPr>
      <w:r>
        <w:rPr>
          <w:rFonts w:ascii="Garamond" w:hAnsi="Garamond"/>
        </w:rPr>
        <w:br w:type="page"/>
      </w:r>
    </w:p>
    <w:p w14:paraId="492A6FF4" w14:textId="77777777" w:rsidR="00C73116" w:rsidRPr="00D56A34" w:rsidRDefault="00C73116" w:rsidP="00C73116">
      <w:pPr>
        <w:rPr>
          <w:rFonts w:ascii="Garamond" w:hAnsi="Garamond"/>
        </w:rPr>
      </w:pPr>
      <w:r w:rsidRPr="00D56A34">
        <w:rPr>
          <w:rFonts w:ascii="Garamond" w:hAnsi="Garamond"/>
          <w:b/>
        </w:rPr>
        <w:lastRenderedPageBreak/>
        <w:t xml:space="preserve">Table </w:t>
      </w:r>
      <w:r>
        <w:rPr>
          <w:rFonts w:ascii="Garamond" w:hAnsi="Garamond"/>
          <w:b/>
        </w:rPr>
        <w:t>3</w:t>
      </w:r>
      <w:r w:rsidRPr="00D56A34">
        <w:rPr>
          <w:rFonts w:ascii="Garamond" w:hAnsi="Garamond"/>
          <w:b/>
        </w:rPr>
        <w:t xml:space="preserve">. </w:t>
      </w:r>
      <w:r w:rsidRPr="00D56A34">
        <w:rPr>
          <w:rFonts w:ascii="Garamond" w:hAnsi="Garamond"/>
        </w:rPr>
        <w:t xml:space="preserve">Effect of eligibility to the </w:t>
      </w:r>
      <w:r>
        <w:rPr>
          <w:rFonts w:ascii="Garamond" w:hAnsi="Garamond"/>
        </w:rPr>
        <w:t xml:space="preserve">1959 </w:t>
      </w:r>
      <w:proofErr w:type="spellStart"/>
      <w:r>
        <w:rPr>
          <w:rFonts w:ascii="Garamond" w:hAnsi="Garamond"/>
        </w:rPr>
        <w:t>Berthoin</w:t>
      </w:r>
      <w:proofErr w:type="spellEnd"/>
      <w:r>
        <w:rPr>
          <w:rFonts w:ascii="Garamond" w:hAnsi="Garamond"/>
        </w:rPr>
        <w:t xml:space="preserve"> </w:t>
      </w:r>
      <w:r w:rsidRPr="00D56A34">
        <w:rPr>
          <w:rFonts w:ascii="Garamond" w:hAnsi="Garamond"/>
        </w:rPr>
        <w:t xml:space="preserve">reform on anthropometry, </w:t>
      </w:r>
      <w:r>
        <w:rPr>
          <w:rFonts w:ascii="Garamond" w:hAnsi="Garamond"/>
        </w:rPr>
        <w:t>blood pressure, glucose and lipids, liver and kidney functions and hematology, by parental social class during adolescence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562"/>
        <w:gridCol w:w="1076"/>
        <w:gridCol w:w="569"/>
        <w:gridCol w:w="1064"/>
        <w:gridCol w:w="751"/>
        <w:gridCol w:w="1291"/>
        <w:gridCol w:w="771"/>
        <w:gridCol w:w="1046"/>
      </w:tblGrid>
      <w:tr w:rsidR="00C73116" w:rsidRPr="00F95A8A" w14:paraId="1A7BEF32" w14:textId="77777777" w:rsidTr="008E22F5">
        <w:trPr>
          <w:trHeight w:val="300"/>
        </w:trPr>
        <w:tc>
          <w:tcPr>
            <w:tcW w:w="1203" w:type="pct"/>
            <w:tcBorders>
              <w:top w:val="double" w:sz="4" w:space="0" w:color="auto"/>
            </w:tcBorders>
            <w:noWrap/>
            <w:hideMark/>
          </w:tcPr>
          <w:p w14:paraId="7C15C498" w14:textId="77777777" w:rsidR="00C73116" w:rsidRPr="008552AC" w:rsidRDefault="00C73116" w:rsidP="008E22F5">
            <w:pPr>
              <w:rPr>
                <w:rFonts w:ascii="Garamond" w:eastAsia="Times New Roman" w:hAnsi="Garamond"/>
                <w:sz w:val="22"/>
                <w:szCs w:val="22"/>
              </w:rPr>
            </w:pPr>
          </w:p>
        </w:tc>
        <w:tc>
          <w:tcPr>
            <w:tcW w:w="913" w:type="pct"/>
            <w:gridSpan w:val="2"/>
            <w:tcBorders>
              <w:top w:val="double" w:sz="4" w:space="0" w:color="auto"/>
            </w:tcBorders>
            <w:noWrap/>
            <w:hideMark/>
          </w:tcPr>
          <w:p w14:paraId="6A23FD11"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All</w:t>
            </w:r>
          </w:p>
        </w:tc>
        <w:tc>
          <w:tcPr>
            <w:tcW w:w="895" w:type="pct"/>
            <w:gridSpan w:val="2"/>
            <w:tcBorders>
              <w:top w:val="double" w:sz="4" w:space="0" w:color="auto"/>
            </w:tcBorders>
            <w:noWrap/>
            <w:hideMark/>
          </w:tcPr>
          <w:p w14:paraId="01B06D24"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High parental </w:t>
            </w:r>
            <w:r>
              <w:rPr>
                <w:rFonts w:ascii="Garamond" w:eastAsia="Times New Roman" w:hAnsi="Garamond"/>
                <w:color w:val="000000"/>
                <w:sz w:val="22"/>
                <w:szCs w:val="22"/>
              </w:rPr>
              <w:t>social class</w:t>
            </w:r>
          </w:p>
        </w:tc>
        <w:tc>
          <w:tcPr>
            <w:tcW w:w="957" w:type="pct"/>
            <w:gridSpan w:val="2"/>
            <w:tcBorders>
              <w:top w:val="double" w:sz="4" w:space="0" w:color="auto"/>
            </w:tcBorders>
            <w:noWrap/>
            <w:hideMark/>
          </w:tcPr>
          <w:p w14:paraId="6857AA22"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Intermediate parental </w:t>
            </w:r>
            <w:r>
              <w:rPr>
                <w:rFonts w:ascii="Garamond" w:eastAsia="Times New Roman" w:hAnsi="Garamond"/>
                <w:color w:val="000000"/>
                <w:sz w:val="22"/>
                <w:szCs w:val="22"/>
              </w:rPr>
              <w:t>social class</w:t>
            </w:r>
          </w:p>
        </w:tc>
        <w:tc>
          <w:tcPr>
            <w:tcW w:w="1032" w:type="pct"/>
            <w:gridSpan w:val="2"/>
            <w:tcBorders>
              <w:top w:val="double" w:sz="4" w:space="0" w:color="auto"/>
            </w:tcBorders>
            <w:noWrap/>
            <w:hideMark/>
          </w:tcPr>
          <w:p w14:paraId="0626D311"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Low parental </w:t>
            </w:r>
            <w:r>
              <w:rPr>
                <w:rFonts w:ascii="Garamond" w:eastAsia="Times New Roman" w:hAnsi="Garamond"/>
                <w:color w:val="000000"/>
                <w:sz w:val="22"/>
                <w:szCs w:val="22"/>
              </w:rPr>
              <w:t>social class</w:t>
            </w:r>
          </w:p>
        </w:tc>
      </w:tr>
      <w:tr w:rsidR="00C73116" w:rsidRPr="00F95A8A" w14:paraId="1E6B0D09" w14:textId="77777777" w:rsidTr="008E22F5">
        <w:trPr>
          <w:trHeight w:val="300"/>
        </w:trPr>
        <w:tc>
          <w:tcPr>
            <w:tcW w:w="1203" w:type="pct"/>
            <w:noWrap/>
            <w:hideMark/>
          </w:tcPr>
          <w:p w14:paraId="1F941799" w14:textId="77777777" w:rsidR="00C73116" w:rsidRPr="008552AC" w:rsidRDefault="00C73116" w:rsidP="008E22F5">
            <w:pPr>
              <w:rPr>
                <w:rFonts w:ascii="Garamond" w:eastAsia="Times New Roman" w:hAnsi="Garamond"/>
                <w:sz w:val="22"/>
                <w:szCs w:val="22"/>
              </w:rPr>
            </w:pPr>
          </w:p>
        </w:tc>
        <w:tc>
          <w:tcPr>
            <w:tcW w:w="297" w:type="pct"/>
            <w:tcBorders>
              <w:bottom w:val="single" w:sz="4" w:space="0" w:color="auto"/>
            </w:tcBorders>
            <w:noWrap/>
            <w:hideMark/>
          </w:tcPr>
          <w:p w14:paraId="0F5A1889"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16" w:type="pct"/>
            <w:tcBorders>
              <w:bottom w:val="single" w:sz="4" w:space="0" w:color="auto"/>
            </w:tcBorders>
            <w:noWrap/>
            <w:hideMark/>
          </w:tcPr>
          <w:p w14:paraId="0E6BEBFB"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297" w:type="pct"/>
            <w:tcBorders>
              <w:bottom w:val="single" w:sz="4" w:space="0" w:color="auto"/>
            </w:tcBorders>
            <w:noWrap/>
            <w:hideMark/>
          </w:tcPr>
          <w:p w14:paraId="5D48B61A"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598" w:type="pct"/>
            <w:tcBorders>
              <w:bottom w:val="single" w:sz="4" w:space="0" w:color="auto"/>
            </w:tcBorders>
            <w:noWrap/>
            <w:hideMark/>
          </w:tcPr>
          <w:p w14:paraId="497EECF2"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341" w:type="pct"/>
            <w:tcBorders>
              <w:bottom w:val="single" w:sz="4" w:space="0" w:color="auto"/>
            </w:tcBorders>
            <w:noWrap/>
            <w:hideMark/>
          </w:tcPr>
          <w:p w14:paraId="2554D02A"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16" w:type="pct"/>
            <w:tcBorders>
              <w:bottom w:val="single" w:sz="4" w:space="0" w:color="auto"/>
            </w:tcBorders>
            <w:noWrap/>
            <w:hideMark/>
          </w:tcPr>
          <w:p w14:paraId="41C2A357"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427" w:type="pct"/>
            <w:tcBorders>
              <w:bottom w:val="single" w:sz="4" w:space="0" w:color="auto"/>
            </w:tcBorders>
            <w:noWrap/>
            <w:hideMark/>
          </w:tcPr>
          <w:p w14:paraId="63011067"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05" w:type="pct"/>
            <w:tcBorders>
              <w:bottom w:val="single" w:sz="4" w:space="0" w:color="auto"/>
            </w:tcBorders>
            <w:noWrap/>
            <w:hideMark/>
          </w:tcPr>
          <w:p w14:paraId="3ADF2A6B" w14:textId="77777777" w:rsidR="00C73116" w:rsidRPr="00F95A8A" w:rsidRDefault="00C73116" w:rsidP="008E22F5">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r>
      <w:tr w:rsidR="00C73116" w:rsidRPr="008552AC" w14:paraId="753186D0" w14:textId="77777777" w:rsidTr="008E22F5">
        <w:trPr>
          <w:trHeight w:val="300"/>
        </w:trPr>
        <w:tc>
          <w:tcPr>
            <w:tcW w:w="1203" w:type="pct"/>
            <w:noWrap/>
            <w:hideMark/>
          </w:tcPr>
          <w:p w14:paraId="0BDFD4A9"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color w:val="000000"/>
                <w:sz w:val="22"/>
                <w:szCs w:val="22"/>
              </w:rPr>
              <w:t>BMI</w:t>
            </w:r>
          </w:p>
        </w:tc>
        <w:tc>
          <w:tcPr>
            <w:tcW w:w="297" w:type="pct"/>
            <w:noWrap/>
            <w:hideMark/>
          </w:tcPr>
          <w:p w14:paraId="24EE085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0.024</w:t>
            </w:r>
          </w:p>
        </w:tc>
        <w:tc>
          <w:tcPr>
            <w:tcW w:w="616" w:type="pct"/>
            <w:noWrap/>
            <w:hideMark/>
          </w:tcPr>
          <w:p w14:paraId="5AC22314"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.029</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.077</w:t>
            </w:r>
          </w:p>
        </w:tc>
        <w:tc>
          <w:tcPr>
            <w:tcW w:w="297" w:type="pct"/>
            <w:noWrap/>
            <w:hideMark/>
          </w:tcPr>
          <w:p w14:paraId="64C8A8AE"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0.104</w:t>
            </w:r>
          </w:p>
        </w:tc>
        <w:tc>
          <w:tcPr>
            <w:tcW w:w="598" w:type="pct"/>
            <w:noWrap/>
            <w:hideMark/>
          </w:tcPr>
          <w:p w14:paraId="00FC0311"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.038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.247</w:t>
            </w:r>
          </w:p>
        </w:tc>
        <w:tc>
          <w:tcPr>
            <w:tcW w:w="341" w:type="pct"/>
            <w:noWrap/>
            <w:hideMark/>
          </w:tcPr>
          <w:p w14:paraId="5F0E4D3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-0.031</w:t>
            </w:r>
          </w:p>
        </w:tc>
        <w:tc>
          <w:tcPr>
            <w:tcW w:w="616" w:type="pct"/>
            <w:noWrap/>
            <w:hideMark/>
          </w:tcPr>
          <w:p w14:paraId="42B4E6A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.117</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.054</w:t>
            </w:r>
          </w:p>
        </w:tc>
        <w:tc>
          <w:tcPr>
            <w:tcW w:w="427" w:type="pct"/>
            <w:noWrap/>
            <w:hideMark/>
          </w:tcPr>
          <w:p w14:paraId="3100CE3D"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0.084*</w:t>
            </w:r>
          </w:p>
        </w:tc>
        <w:tc>
          <w:tcPr>
            <w:tcW w:w="605" w:type="pct"/>
            <w:noWrap/>
            <w:hideMark/>
          </w:tcPr>
          <w:p w14:paraId="06F4B788"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.007</w:t>
            </w:r>
            <w:r>
              <w:rPr>
                <w:rFonts w:ascii="Garamond" w:eastAsia="Times New Roman" w:hAnsi="Garamond"/>
                <w:color w:val="000000"/>
                <w:sz w:val="22"/>
                <w:szCs w:val="22"/>
              </w:rPr>
              <w:t xml:space="preserve"> to 0.161</w:t>
            </w:r>
          </w:p>
        </w:tc>
      </w:tr>
      <w:tr w:rsidR="00C73116" w:rsidRPr="008552AC" w14:paraId="4F38EB7E" w14:textId="77777777" w:rsidTr="008E22F5">
        <w:trPr>
          <w:trHeight w:val="300"/>
        </w:trPr>
        <w:tc>
          <w:tcPr>
            <w:tcW w:w="1203" w:type="pct"/>
            <w:noWrap/>
            <w:hideMark/>
          </w:tcPr>
          <w:p w14:paraId="080DD26D"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 xml:space="preserve">Waist circumference </w:t>
            </w:r>
          </w:p>
        </w:tc>
        <w:tc>
          <w:tcPr>
            <w:tcW w:w="297" w:type="pct"/>
            <w:noWrap/>
            <w:hideMark/>
          </w:tcPr>
          <w:p w14:paraId="154E52A0"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0.009</w:t>
            </w:r>
          </w:p>
        </w:tc>
        <w:tc>
          <w:tcPr>
            <w:tcW w:w="616" w:type="pct"/>
            <w:noWrap/>
            <w:hideMark/>
          </w:tcPr>
          <w:p w14:paraId="78C49259"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.048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.067</w:t>
            </w:r>
          </w:p>
        </w:tc>
        <w:tc>
          <w:tcPr>
            <w:tcW w:w="297" w:type="pct"/>
            <w:noWrap/>
            <w:hideMark/>
          </w:tcPr>
          <w:p w14:paraId="282F527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0.007</w:t>
            </w:r>
          </w:p>
        </w:tc>
        <w:tc>
          <w:tcPr>
            <w:tcW w:w="598" w:type="pct"/>
            <w:noWrap/>
            <w:hideMark/>
          </w:tcPr>
          <w:p w14:paraId="3A7AD1D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.144</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.159</w:t>
            </w:r>
          </w:p>
        </w:tc>
        <w:tc>
          <w:tcPr>
            <w:tcW w:w="341" w:type="pct"/>
            <w:noWrap/>
            <w:hideMark/>
          </w:tcPr>
          <w:p w14:paraId="14D099DF"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-0.081</w:t>
            </w:r>
          </w:p>
        </w:tc>
        <w:tc>
          <w:tcPr>
            <w:tcW w:w="616" w:type="pct"/>
            <w:noWrap/>
            <w:hideMark/>
          </w:tcPr>
          <w:p w14:paraId="21ABAA0C"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.164</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.0009</w:t>
            </w:r>
          </w:p>
        </w:tc>
        <w:tc>
          <w:tcPr>
            <w:tcW w:w="427" w:type="pct"/>
            <w:noWrap/>
            <w:hideMark/>
          </w:tcPr>
          <w:p w14:paraId="51A76460"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0.113**</w:t>
            </w:r>
          </w:p>
        </w:tc>
        <w:tc>
          <w:tcPr>
            <w:tcW w:w="605" w:type="pct"/>
            <w:noWrap/>
            <w:hideMark/>
          </w:tcPr>
          <w:p w14:paraId="1DC2A4CC"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0.029</w:t>
            </w:r>
            <w:r w:rsidRPr="008552AC">
              <w:rPr>
                <w:rFonts w:ascii="Garamond" w:eastAsia="Times New Roman" w:hAnsi="Garamond"/>
                <w:color w:val="000000"/>
                <w:sz w:val="22"/>
                <w:szCs w:val="22"/>
              </w:rPr>
              <w:t xml:space="preserve"> </w:t>
            </w:r>
            <w:r>
              <w:rPr>
                <w:rFonts w:ascii="Garamond" w:eastAsia="Times New Roman" w:hAnsi="Garamond"/>
                <w:color w:val="000000"/>
                <w:sz w:val="22"/>
                <w:szCs w:val="22"/>
              </w:rPr>
              <w:t>to 0</w:t>
            </w:r>
            <w:r w:rsidRPr="008552AC">
              <w:rPr>
                <w:rFonts w:ascii="Garamond" w:eastAsia="Times New Roman" w:hAnsi="Garamond"/>
                <w:color w:val="000000"/>
                <w:sz w:val="22"/>
                <w:szCs w:val="22"/>
              </w:rPr>
              <w:t>.196</w:t>
            </w:r>
          </w:p>
        </w:tc>
      </w:tr>
      <w:tr w:rsidR="00C73116" w:rsidRPr="008552AC" w14:paraId="5C1EDB32" w14:textId="77777777" w:rsidTr="008E22F5">
        <w:trPr>
          <w:trHeight w:val="225"/>
        </w:trPr>
        <w:tc>
          <w:tcPr>
            <w:tcW w:w="1203" w:type="pct"/>
            <w:noWrap/>
            <w:hideMark/>
          </w:tcPr>
          <w:p w14:paraId="55AF2241"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Waist-hip ratio</w:t>
            </w:r>
          </w:p>
        </w:tc>
        <w:tc>
          <w:tcPr>
            <w:tcW w:w="297" w:type="pct"/>
            <w:noWrap/>
            <w:hideMark/>
          </w:tcPr>
          <w:p w14:paraId="3AC1FD84"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-0.014</w:t>
            </w:r>
          </w:p>
        </w:tc>
        <w:tc>
          <w:tcPr>
            <w:tcW w:w="616" w:type="pct"/>
            <w:noWrap/>
            <w:hideMark/>
          </w:tcPr>
          <w:p w14:paraId="3F278BFE"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.073</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.044</w:t>
            </w:r>
          </w:p>
        </w:tc>
        <w:tc>
          <w:tcPr>
            <w:tcW w:w="297" w:type="pct"/>
            <w:noWrap/>
            <w:hideMark/>
          </w:tcPr>
          <w:p w14:paraId="6B325D59"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-0.093</w:t>
            </w:r>
          </w:p>
        </w:tc>
        <w:tc>
          <w:tcPr>
            <w:tcW w:w="598" w:type="pct"/>
            <w:noWrap/>
            <w:hideMark/>
          </w:tcPr>
          <w:p w14:paraId="06340384"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.250</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.064</w:t>
            </w:r>
          </w:p>
        </w:tc>
        <w:tc>
          <w:tcPr>
            <w:tcW w:w="341" w:type="pct"/>
            <w:noWrap/>
            <w:hideMark/>
          </w:tcPr>
          <w:p w14:paraId="14778CE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-0.085</w:t>
            </w:r>
          </w:p>
        </w:tc>
        <w:tc>
          <w:tcPr>
            <w:tcW w:w="616" w:type="pct"/>
            <w:noWrap/>
            <w:hideMark/>
          </w:tcPr>
          <w:p w14:paraId="4964A134"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.172</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.002</w:t>
            </w:r>
          </w:p>
        </w:tc>
        <w:tc>
          <w:tcPr>
            <w:tcW w:w="427" w:type="pct"/>
            <w:noWrap/>
            <w:hideMark/>
          </w:tcPr>
          <w:p w14:paraId="34891F5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0.086*</w:t>
            </w:r>
          </w:p>
        </w:tc>
        <w:tc>
          <w:tcPr>
            <w:tcW w:w="605" w:type="pct"/>
            <w:noWrap/>
            <w:hideMark/>
          </w:tcPr>
          <w:p w14:paraId="0B83D8BF"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.005</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.166</w:t>
            </w:r>
          </w:p>
        </w:tc>
      </w:tr>
      <w:tr w:rsidR="00C73116" w:rsidRPr="008552AC" w14:paraId="25EF9248" w14:textId="77777777" w:rsidTr="008E22F5">
        <w:trPr>
          <w:trHeight w:val="324"/>
        </w:trPr>
        <w:tc>
          <w:tcPr>
            <w:tcW w:w="1203" w:type="pct"/>
            <w:noWrap/>
            <w:hideMark/>
          </w:tcPr>
          <w:p w14:paraId="26CBF5C4"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Systolic blood pressure</w:t>
            </w:r>
          </w:p>
        </w:tc>
        <w:tc>
          <w:tcPr>
            <w:tcW w:w="297" w:type="pct"/>
            <w:noWrap/>
            <w:hideMark/>
          </w:tcPr>
          <w:p w14:paraId="79A0298E"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0.07</w:t>
            </w:r>
          </w:p>
        </w:tc>
        <w:tc>
          <w:tcPr>
            <w:tcW w:w="616" w:type="pct"/>
            <w:noWrap/>
            <w:hideMark/>
          </w:tcPr>
          <w:p w14:paraId="1067261F"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-0.016 to 0</w:t>
            </w:r>
            <w:r w:rsidRPr="008552AC">
              <w:rPr>
                <w:rFonts w:ascii="Garamond" w:eastAsia="Times New Roman" w:hAnsi="Garamond"/>
                <w:color w:val="000000"/>
                <w:sz w:val="22"/>
                <w:szCs w:val="22"/>
              </w:rPr>
              <w:t>.124</w:t>
            </w:r>
          </w:p>
        </w:tc>
        <w:tc>
          <w:tcPr>
            <w:tcW w:w="297" w:type="pct"/>
            <w:noWrap/>
            <w:hideMark/>
          </w:tcPr>
          <w:p w14:paraId="602E3EB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0.103</w:t>
            </w:r>
          </w:p>
        </w:tc>
        <w:tc>
          <w:tcPr>
            <w:tcW w:w="598" w:type="pct"/>
            <w:noWrap/>
            <w:hideMark/>
          </w:tcPr>
          <w:p w14:paraId="6928C8F2"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.041</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.249</w:t>
            </w:r>
          </w:p>
        </w:tc>
        <w:tc>
          <w:tcPr>
            <w:tcW w:w="341" w:type="pct"/>
            <w:noWrap/>
            <w:hideMark/>
          </w:tcPr>
          <w:p w14:paraId="5CB1DD47"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-0.014</w:t>
            </w:r>
          </w:p>
        </w:tc>
        <w:tc>
          <w:tcPr>
            <w:tcW w:w="616" w:type="pct"/>
            <w:noWrap/>
            <w:hideMark/>
          </w:tcPr>
          <w:p w14:paraId="2E82E62E"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.114</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.085</w:t>
            </w:r>
          </w:p>
        </w:tc>
        <w:tc>
          <w:tcPr>
            <w:tcW w:w="427" w:type="pct"/>
            <w:noWrap/>
            <w:hideMark/>
          </w:tcPr>
          <w:p w14:paraId="6EC5301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0.128**</w:t>
            </w:r>
          </w:p>
        </w:tc>
        <w:tc>
          <w:tcPr>
            <w:tcW w:w="605" w:type="pct"/>
            <w:noWrap/>
            <w:hideMark/>
          </w:tcPr>
          <w:p w14:paraId="1DD2400A"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.038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.217</w:t>
            </w:r>
          </w:p>
        </w:tc>
      </w:tr>
      <w:tr w:rsidR="00C73116" w:rsidRPr="008552AC" w14:paraId="113D64CD" w14:textId="77777777" w:rsidTr="008E22F5">
        <w:trPr>
          <w:trHeight w:val="300"/>
        </w:trPr>
        <w:tc>
          <w:tcPr>
            <w:tcW w:w="1203" w:type="pct"/>
            <w:noWrap/>
            <w:hideMark/>
          </w:tcPr>
          <w:p w14:paraId="72CB950B"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Diastolic blood pressure</w:t>
            </w:r>
          </w:p>
        </w:tc>
        <w:tc>
          <w:tcPr>
            <w:tcW w:w="297" w:type="pct"/>
            <w:noWrap/>
            <w:hideMark/>
          </w:tcPr>
          <w:p w14:paraId="0721AC61"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0.072</w:t>
            </w:r>
          </w:p>
        </w:tc>
        <w:tc>
          <w:tcPr>
            <w:tcW w:w="616" w:type="pct"/>
            <w:noWrap/>
            <w:hideMark/>
          </w:tcPr>
          <w:p w14:paraId="31DEAF93"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-0.018 to 0</w:t>
            </w:r>
            <w:r w:rsidRPr="008552AC">
              <w:rPr>
                <w:rFonts w:ascii="Garamond" w:eastAsia="Times New Roman" w:hAnsi="Garamond"/>
                <w:color w:val="000000"/>
                <w:sz w:val="22"/>
                <w:szCs w:val="22"/>
              </w:rPr>
              <w:t>.126</w:t>
            </w:r>
          </w:p>
        </w:tc>
        <w:tc>
          <w:tcPr>
            <w:tcW w:w="297" w:type="pct"/>
            <w:noWrap/>
            <w:hideMark/>
          </w:tcPr>
          <w:p w14:paraId="470265EE"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-0.03</w:t>
            </w:r>
          </w:p>
        </w:tc>
        <w:tc>
          <w:tcPr>
            <w:tcW w:w="598" w:type="pct"/>
            <w:noWrap/>
            <w:hideMark/>
          </w:tcPr>
          <w:p w14:paraId="420D38E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.158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.097</w:t>
            </w:r>
          </w:p>
        </w:tc>
        <w:tc>
          <w:tcPr>
            <w:tcW w:w="341" w:type="pct"/>
            <w:noWrap/>
            <w:hideMark/>
          </w:tcPr>
          <w:p w14:paraId="104C9671"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0.005</w:t>
            </w:r>
          </w:p>
        </w:tc>
        <w:tc>
          <w:tcPr>
            <w:tcW w:w="616" w:type="pct"/>
            <w:noWrap/>
            <w:hideMark/>
          </w:tcPr>
          <w:p w14:paraId="65341A1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.098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.109</w:t>
            </w:r>
          </w:p>
        </w:tc>
        <w:tc>
          <w:tcPr>
            <w:tcW w:w="427" w:type="pct"/>
            <w:noWrap/>
            <w:hideMark/>
          </w:tcPr>
          <w:p w14:paraId="1AD977D7"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0.153***</w:t>
            </w:r>
            <w:r w:rsidRPr="008552AC">
              <w:rPr>
                <w:rFonts w:ascii="Garamond" w:eastAsia="Times New Roman" w:hAnsi="Garamond"/>
                <w:b/>
                <w:bCs/>
                <w:color w:val="000000"/>
                <w:sz w:val="22"/>
                <w:szCs w:val="22"/>
              </w:rPr>
              <w:t>#</w:t>
            </w:r>
          </w:p>
        </w:tc>
        <w:tc>
          <w:tcPr>
            <w:tcW w:w="605" w:type="pct"/>
            <w:noWrap/>
            <w:hideMark/>
          </w:tcPr>
          <w:p w14:paraId="23D72F46"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.066</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.239</w:t>
            </w:r>
          </w:p>
        </w:tc>
      </w:tr>
      <w:tr w:rsidR="00C73116" w:rsidRPr="008552AC" w14:paraId="790CBE81" w14:textId="77777777" w:rsidTr="008E22F5">
        <w:trPr>
          <w:trHeight w:val="300"/>
        </w:trPr>
        <w:tc>
          <w:tcPr>
            <w:tcW w:w="1203" w:type="pct"/>
            <w:noWrap/>
            <w:hideMark/>
          </w:tcPr>
          <w:p w14:paraId="7B50D42D"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Blood glucose</w:t>
            </w:r>
          </w:p>
        </w:tc>
        <w:tc>
          <w:tcPr>
            <w:tcW w:w="297" w:type="pct"/>
            <w:noWrap/>
            <w:hideMark/>
          </w:tcPr>
          <w:p w14:paraId="66E8BC07"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0.047</w:t>
            </w:r>
          </w:p>
        </w:tc>
        <w:tc>
          <w:tcPr>
            <w:tcW w:w="616" w:type="pct"/>
            <w:noWrap/>
            <w:hideMark/>
          </w:tcPr>
          <w:p w14:paraId="0982582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.004</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.098</w:t>
            </w:r>
          </w:p>
        </w:tc>
        <w:tc>
          <w:tcPr>
            <w:tcW w:w="297" w:type="pct"/>
            <w:noWrap/>
            <w:hideMark/>
          </w:tcPr>
          <w:p w14:paraId="687C6A17"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-0.016</w:t>
            </w:r>
          </w:p>
        </w:tc>
        <w:tc>
          <w:tcPr>
            <w:tcW w:w="598" w:type="pct"/>
            <w:noWrap/>
            <w:hideMark/>
          </w:tcPr>
          <w:p w14:paraId="07FEEEB8"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.173</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.141</w:t>
            </w:r>
          </w:p>
        </w:tc>
        <w:tc>
          <w:tcPr>
            <w:tcW w:w="341" w:type="pct"/>
            <w:noWrap/>
            <w:hideMark/>
          </w:tcPr>
          <w:p w14:paraId="5A18ADB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-0.052</w:t>
            </w:r>
          </w:p>
        </w:tc>
        <w:tc>
          <w:tcPr>
            <w:tcW w:w="616" w:type="pct"/>
            <w:noWrap/>
            <w:hideMark/>
          </w:tcPr>
          <w:p w14:paraId="7FCCE0AD"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.172</w:t>
            </w:r>
            <w:r>
              <w:rPr>
                <w:rFonts w:ascii="Garamond" w:eastAsia="Times New Roman" w:hAnsi="Garamond"/>
                <w:color w:val="000000"/>
                <w:sz w:val="22"/>
                <w:szCs w:val="22"/>
              </w:rPr>
              <w:t xml:space="preserve"> to</w:t>
            </w:r>
            <w:r w:rsidRPr="008552AC">
              <w:rPr>
                <w:rFonts w:ascii="Garamond" w:eastAsia="Times New Roman" w:hAnsi="Garamond"/>
                <w:color w:val="000000"/>
                <w:sz w:val="22"/>
                <w:szCs w:val="22"/>
              </w:rPr>
              <w:t xml:space="preserve"> </w:t>
            </w:r>
            <w:r>
              <w:rPr>
                <w:rFonts w:ascii="Garamond" w:eastAsia="Times New Roman" w:hAnsi="Garamond"/>
                <w:color w:val="000000"/>
                <w:sz w:val="22"/>
                <w:szCs w:val="22"/>
              </w:rPr>
              <w:t>0</w:t>
            </w:r>
            <w:r w:rsidRPr="008552AC">
              <w:rPr>
                <w:rFonts w:ascii="Garamond" w:eastAsia="Times New Roman" w:hAnsi="Garamond"/>
                <w:color w:val="000000"/>
                <w:sz w:val="22"/>
                <w:szCs w:val="22"/>
              </w:rPr>
              <w:t>.068</w:t>
            </w:r>
          </w:p>
        </w:tc>
        <w:tc>
          <w:tcPr>
            <w:tcW w:w="427" w:type="pct"/>
            <w:noWrap/>
            <w:hideMark/>
          </w:tcPr>
          <w:p w14:paraId="71D44A9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0.092</w:t>
            </w:r>
          </w:p>
        </w:tc>
        <w:tc>
          <w:tcPr>
            <w:tcW w:w="605" w:type="pct"/>
            <w:noWrap/>
            <w:hideMark/>
          </w:tcPr>
          <w:p w14:paraId="783DE1CF"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.011</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.173</w:t>
            </w:r>
          </w:p>
        </w:tc>
      </w:tr>
      <w:tr w:rsidR="00C73116" w:rsidRPr="008552AC" w14:paraId="01E41A06" w14:textId="77777777" w:rsidTr="008E22F5">
        <w:trPr>
          <w:trHeight w:val="300"/>
        </w:trPr>
        <w:tc>
          <w:tcPr>
            <w:tcW w:w="1203" w:type="pct"/>
            <w:noWrap/>
            <w:hideMark/>
          </w:tcPr>
          <w:p w14:paraId="78F541E3"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Total cholesterol</w:t>
            </w:r>
          </w:p>
        </w:tc>
        <w:tc>
          <w:tcPr>
            <w:tcW w:w="297" w:type="pct"/>
            <w:noWrap/>
            <w:hideMark/>
          </w:tcPr>
          <w:p w14:paraId="73ED9860"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0.031</w:t>
            </w:r>
          </w:p>
        </w:tc>
        <w:tc>
          <w:tcPr>
            <w:tcW w:w="616" w:type="pct"/>
            <w:noWrap/>
            <w:hideMark/>
          </w:tcPr>
          <w:p w14:paraId="7CFB7EE7"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.018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.081</w:t>
            </w:r>
          </w:p>
        </w:tc>
        <w:tc>
          <w:tcPr>
            <w:tcW w:w="297" w:type="pct"/>
            <w:noWrap/>
            <w:hideMark/>
          </w:tcPr>
          <w:p w14:paraId="574050A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0.189*</w:t>
            </w:r>
          </w:p>
        </w:tc>
        <w:tc>
          <w:tcPr>
            <w:tcW w:w="598" w:type="pct"/>
            <w:noWrap/>
            <w:hideMark/>
          </w:tcPr>
          <w:p w14:paraId="59626CA2"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.030</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.347</w:t>
            </w:r>
          </w:p>
        </w:tc>
        <w:tc>
          <w:tcPr>
            <w:tcW w:w="341" w:type="pct"/>
            <w:noWrap/>
            <w:hideMark/>
          </w:tcPr>
          <w:p w14:paraId="2FEE608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0.026</w:t>
            </w:r>
          </w:p>
        </w:tc>
        <w:tc>
          <w:tcPr>
            <w:tcW w:w="616" w:type="pct"/>
            <w:noWrap/>
            <w:hideMark/>
          </w:tcPr>
          <w:p w14:paraId="66F95D60"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.062</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.115</w:t>
            </w:r>
          </w:p>
        </w:tc>
        <w:tc>
          <w:tcPr>
            <w:tcW w:w="427" w:type="pct"/>
            <w:noWrap/>
            <w:hideMark/>
          </w:tcPr>
          <w:p w14:paraId="0780194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0.033</w:t>
            </w:r>
          </w:p>
        </w:tc>
        <w:tc>
          <w:tcPr>
            <w:tcW w:w="605" w:type="pct"/>
            <w:noWrap/>
            <w:hideMark/>
          </w:tcPr>
          <w:p w14:paraId="58564D6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.041</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.108</w:t>
            </w:r>
          </w:p>
        </w:tc>
      </w:tr>
      <w:tr w:rsidR="00C73116" w:rsidRPr="008552AC" w14:paraId="64D40BFB" w14:textId="77777777" w:rsidTr="008E22F5">
        <w:trPr>
          <w:trHeight w:val="300"/>
        </w:trPr>
        <w:tc>
          <w:tcPr>
            <w:tcW w:w="1203" w:type="pct"/>
            <w:noWrap/>
            <w:hideMark/>
          </w:tcPr>
          <w:p w14:paraId="26C71519"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 xml:space="preserve">Cholesterol HDL  </w:t>
            </w:r>
          </w:p>
        </w:tc>
        <w:tc>
          <w:tcPr>
            <w:tcW w:w="297" w:type="pct"/>
            <w:noWrap/>
            <w:hideMark/>
          </w:tcPr>
          <w:p w14:paraId="3E812D69"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0.01</w:t>
            </w:r>
          </w:p>
        </w:tc>
        <w:tc>
          <w:tcPr>
            <w:tcW w:w="616" w:type="pct"/>
            <w:noWrap/>
            <w:hideMark/>
          </w:tcPr>
          <w:p w14:paraId="7CB7F101"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.047</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.068</w:t>
            </w:r>
          </w:p>
        </w:tc>
        <w:tc>
          <w:tcPr>
            <w:tcW w:w="297" w:type="pct"/>
            <w:noWrap/>
            <w:hideMark/>
          </w:tcPr>
          <w:p w14:paraId="37A5A7BA"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0.17</w:t>
            </w:r>
          </w:p>
        </w:tc>
        <w:tc>
          <w:tcPr>
            <w:tcW w:w="598" w:type="pct"/>
            <w:noWrap/>
            <w:hideMark/>
          </w:tcPr>
          <w:p w14:paraId="692067DB"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.002</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.339</w:t>
            </w:r>
          </w:p>
        </w:tc>
        <w:tc>
          <w:tcPr>
            <w:tcW w:w="341" w:type="pct"/>
            <w:noWrap/>
            <w:hideMark/>
          </w:tcPr>
          <w:p w14:paraId="1B3D1BDF"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0.04</w:t>
            </w:r>
          </w:p>
        </w:tc>
        <w:tc>
          <w:tcPr>
            <w:tcW w:w="616" w:type="pct"/>
            <w:noWrap/>
            <w:hideMark/>
          </w:tcPr>
          <w:p w14:paraId="1262EF4A"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.049</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.130</w:t>
            </w:r>
          </w:p>
        </w:tc>
        <w:tc>
          <w:tcPr>
            <w:tcW w:w="427" w:type="pct"/>
            <w:noWrap/>
            <w:hideMark/>
          </w:tcPr>
          <w:p w14:paraId="7882A2FA"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-0.083</w:t>
            </w:r>
          </w:p>
        </w:tc>
        <w:tc>
          <w:tcPr>
            <w:tcW w:w="605" w:type="pct"/>
            <w:noWrap/>
            <w:hideMark/>
          </w:tcPr>
          <w:p w14:paraId="46B33A6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.193</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.026</w:t>
            </w:r>
          </w:p>
        </w:tc>
      </w:tr>
      <w:tr w:rsidR="00C73116" w:rsidRPr="008552AC" w14:paraId="25568669" w14:textId="77777777" w:rsidTr="008E22F5">
        <w:trPr>
          <w:trHeight w:val="300"/>
        </w:trPr>
        <w:tc>
          <w:tcPr>
            <w:tcW w:w="1203" w:type="pct"/>
            <w:noWrap/>
            <w:hideMark/>
          </w:tcPr>
          <w:p w14:paraId="35DC8D7A"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Triglycerides</w:t>
            </w:r>
          </w:p>
        </w:tc>
        <w:tc>
          <w:tcPr>
            <w:tcW w:w="297" w:type="pct"/>
            <w:noWrap/>
            <w:hideMark/>
          </w:tcPr>
          <w:p w14:paraId="692C4D5F"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0.052*</w:t>
            </w:r>
          </w:p>
        </w:tc>
        <w:tc>
          <w:tcPr>
            <w:tcW w:w="616" w:type="pct"/>
            <w:noWrap/>
            <w:hideMark/>
          </w:tcPr>
          <w:p w14:paraId="63A11D5C"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.006</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.098</w:t>
            </w:r>
          </w:p>
        </w:tc>
        <w:tc>
          <w:tcPr>
            <w:tcW w:w="297" w:type="pct"/>
            <w:noWrap/>
            <w:hideMark/>
          </w:tcPr>
          <w:p w14:paraId="36F0492F"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0.015</w:t>
            </w:r>
          </w:p>
        </w:tc>
        <w:tc>
          <w:tcPr>
            <w:tcW w:w="598" w:type="pct"/>
            <w:noWrap/>
            <w:hideMark/>
          </w:tcPr>
          <w:p w14:paraId="3B346618"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.122</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.153</w:t>
            </w:r>
          </w:p>
        </w:tc>
        <w:tc>
          <w:tcPr>
            <w:tcW w:w="341" w:type="pct"/>
            <w:noWrap/>
            <w:hideMark/>
          </w:tcPr>
          <w:p w14:paraId="643D6E4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0.025</w:t>
            </w:r>
          </w:p>
        </w:tc>
        <w:tc>
          <w:tcPr>
            <w:tcW w:w="616" w:type="pct"/>
            <w:noWrap/>
            <w:hideMark/>
          </w:tcPr>
          <w:p w14:paraId="23BC5F2E"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.065</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.117</w:t>
            </w:r>
          </w:p>
        </w:tc>
        <w:tc>
          <w:tcPr>
            <w:tcW w:w="427" w:type="pct"/>
            <w:noWrap/>
            <w:hideMark/>
          </w:tcPr>
          <w:p w14:paraId="0C9C22D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0.113***</w:t>
            </w:r>
          </w:p>
        </w:tc>
        <w:tc>
          <w:tcPr>
            <w:tcW w:w="605" w:type="pct"/>
            <w:noWrap/>
            <w:hideMark/>
          </w:tcPr>
          <w:p w14:paraId="5CF104EB"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.044</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.181</w:t>
            </w:r>
          </w:p>
        </w:tc>
      </w:tr>
      <w:tr w:rsidR="00C73116" w:rsidRPr="008552AC" w14:paraId="72D7C015" w14:textId="77777777" w:rsidTr="008E22F5">
        <w:trPr>
          <w:trHeight w:val="300"/>
        </w:trPr>
        <w:tc>
          <w:tcPr>
            <w:tcW w:w="1203" w:type="pct"/>
            <w:noWrap/>
            <w:hideMark/>
          </w:tcPr>
          <w:p w14:paraId="036F3839"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Gamma GT</w:t>
            </w:r>
          </w:p>
        </w:tc>
        <w:tc>
          <w:tcPr>
            <w:tcW w:w="297" w:type="pct"/>
            <w:noWrap/>
            <w:hideMark/>
          </w:tcPr>
          <w:p w14:paraId="5CCCA08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-0.006</w:t>
            </w:r>
          </w:p>
        </w:tc>
        <w:tc>
          <w:tcPr>
            <w:tcW w:w="616" w:type="pct"/>
            <w:noWrap/>
            <w:hideMark/>
          </w:tcPr>
          <w:p w14:paraId="313708E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.067</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.054</w:t>
            </w:r>
          </w:p>
        </w:tc>
        <w:tc>
          <w:tcPr>
            <w:tcW w:w="297" w:type="pct"/>
            <w:noWrap/>
            <w:hideMark/>
          </w:tcPr>
          <w:p w14:paraId="275D3FB1"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-0.068</w:t>
            </w:r>
          </w:p>
        </w:tc>
        <w:tc>
          <w:tcPr>
            <w:tcW w:w="598" w:type="pct"/>
            <w:noWrap/>
            <w:hideMark/>
          </w:tcPr>
          <w:p w14:paraId="3F611E80"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.239</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.103</w:t>
            </w:r>
          </w:p>
        </w:tc>
        <w:tc>
          <w:tcPr>
            <w:tcW w:w="341" w:type="pct"/>
            <w:noWrap/>
            <w:hideMark/>
          </w:tcPr>
          <w:p w14:paraId="0BDBECFE"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-0.06</w:t>
            </w:r>
          </w:p>
        </w:tc>
        <w:tc>
          <w:tcPr>
            <w:tcW w:w="616" w:type="pct"/>
            <w:noWrap/>
            <w:hideMark/>
          </w:tcPr>
          <w:p w14:paraId="0F1F939C"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.153</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.033</w:t>
            </w:r>
          </w:p>
        </w:tc>
        <w:tc>
          <w:tcPr>
            <w:tcW w:w="427" w:type="pct"/>
            <w:noWrap/>
            <w:hideMark/>
          </w:tcPr>
          <w:p w14:paraId="496E782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0.03</w:t>
            </w:r>
          </w:p>
        </w:tc>
        <w:tc>
          <w:tcPr>
            <w:tcW w:w="605" w:type="pct"/>
            <w:noWrap/>
            <w:hideMark/>
          </w:tcPr>
          <w:p w14:paraId="2E0437A7"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.062</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.124</w:t>
            </w:r>
          </w:p>
        </w:tc>
      </w:tr>
      <w:tr w:rsidR="00C73116" w:rsidRPr="008552AC" w14:paraId="70DC4CB1" w14:textId="77777777" w:rsidTr="008E22F5">
        <w:trPr>
          <w:trHeight w:val="300"/>
        </w:trPr>
        <w:tc>
          <w:tcPr>
            <w:tcW w:w="1203" w:type="pct"/>
            <w:noWrap/>
            <w:hideMark/>
          </w:tcPr>
          <w:p w14:paraId="59F0CB3B"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Transaminase</w:t>
            </w:r>
          </w:p>
        </w:tc>
        <w:tc>
          <w:tcPr>
            <w:tcW w:w="297" w:type="pct"/>
            <w:noWrap/>
            <w:hideMark/>
          </w:tcPr>
          <w:p w14:paraId="05B17BF7"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0.005</w:t>
            </w:r>
          </w:p>
        </w:tc>
        <w:tc>
          <w:tcPr>
            <w:tcW w:w="616" w:type="pct"/>
            <w:noWrap/>
            <w:hideMark/>
          </w:tcPr>
          <w:p w14:paraId="04ED6AEE"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.042</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.052</w:t>
            </w:r>
          </w:p>
        </w:tc>
        <w:tc>
          <w:tcPr>
            <w:tcW w:w="297" w:type="pct"/>
            <w:noWrap/>
            <w:hideMark/>
          </w:tcPr>
          <w:p w14:paraId="232BE8C8"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-0.023</w:t>
            </w:r>
          </w:p>
        </w:tc>
        <w:tc>
          <w:tcPr>
            <w:tcW w:w="598" w:type="pct"/>
            <w:noWrap/>
            <w:hideMark/>
          </w:tcPr>
          <w:p w14:paraId="668DFC99"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.163</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.117</w:t>
            </w:r>
          </w:p>
        </w:tc>
        <w:tc>
          <w:tcPr>
            <w:tcW w:w="341" w:type="pct"/>
            <w:noWrap/>
            <w:hideMark/>
          </w:tcPr>
          <w:p w14:paraId="70205F68"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-0.004</w:t>
            </w:r>
          </w:p>
        </w:tc>
        <w:tc>
          <w:tcPr>
            <w:tcW w:w="616" w:type="pct"/>
            <w:noWrap/>
            <w:hideMark/>
          </w:tcPr>
          <w:p w14:paraId="24F91337"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.094</w:t>
            </w:r>
            <w:r>
              <w:rPr>
                <w:rFonts w:ascii="Garamond" w:eastAsia="Times New Roman" w:hAnsi="Garamond"/>
                <w:color w:val="000000"/>
                <w:sz w:val="22"/>
                <w:szCs w:val="22"/>
              </w:rPr>
              <w:t xml:space="preserve"> to</w:t>
            </w:r>
            <w:r w:rsidRPr="008552AC">
              <w:rPr>
                <w:rFonts w:ascii="Garamond" w:eastAsia="Times New Roman" w:hAnsi="Garamond"/>
                <w:color w:val="000000"/>
                <w:sz w:val="22"/>
                <w:szCs w:val="22"/>
              </w:rPr>
              <w:t xml:space="preserve"> </w:t>
            </w:r>
            <w:r>
              <w:rPr>
                <w:rFonts w:ascii="Garamond" w:eastAsia="Times New Roman" w:hAnsi="Garamond"/>
                <w:color w:val="000000"/>
                <w:sz w:val="22"/>
                <w:szCs w:val="22"/>
              </w:rPr>
              <w:t>0</w:t>
            </w:r>
            <w:r w:rsidRPr="008552AC">
              <w:rPr>
                <w:rFonts w:ascii="Garamond" w:eastAsia="Times New Roman" w:hAnsi="Garamond"/>
                <w:color w:val="000000"/>
                <w:sz w:val="22"/>
                <w:szCs w:val="22"/>
              </w:rPr>
              <w:t>.084</w:t>
            </w:r>
          </w:p>
        </w:tc>
        <w:tc>
          <w:tcPr>
            <w:tcW w:w="427" w:type="pct"/>
            <w:noWrap/>
            <w:hideMark/>
          </w:tcPr>
          <w:p w14:paraId="0262F75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-0.02</w:t>
            </w:r>
          </w:p>
        </w:tc>
        <w:tc>
          <w:tcPr>
            <w:tcW w:w="605" w:type="pct"/>
            <w:noWrap/>
            <w:hideMark/>
          </w:tcPr>
          <w:p w14:paraId="29B71CE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.091</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.049</w:t>
            </w:r>
          </w:p>
        </w:tc>
      </w:tr>
      <w:tr w:rsidR="00C73116" w:rsidRPr="008552AC" w14:paraId="29A4B605" w14:textId="77777777" w:rsidTr="008E22F5">
        <w:trPr>
          <w:trHeight w:val="300"/>
        </w:trPr>
        <w:tc>
          <w:tcPr>
            <w:tcW w:w="1203" w:type="pct"/>
            <w:noWrap/>
            <w:hideMark/>
          </w:tcPr>
          <w:p w14:paraId="4E77086D"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Creatinine</w:t>
            </w:r>
          </w:p>
        </w:tc>
        <w:tc>
          <w:tcPr>
            <w:tcW w:w="297" w:type="pct"/>
            <w:noWrap/>
            <w:hideMark/>
          </w:tcPr>
          <w:p w14:paraId="478B2D9E" w14:textId="77777777" w:rsidR="00C73116" w:rsidRPr="008552AC" w:rsidRDefault="00C73116" w:rsidP="008E22F5">
            <w:pPr>
              <w:jc w:val="right"/>
              <w:rPr>
                <w:rFonts w:ascii="Garamond" w:eastAsia="Times New Roman" w:hAnsi="Garamond"/>
                <w:color w:val="000000"/>
                <w:sz w:val="22"/>
                <w:szCs w:val="22"/>
              </w:rPr>
            </w:pPr>
            <w:r w:rsidRPr="008552AC">
              <w:rPr>
                <w:rFonts w:ascii="Garamond" w:eastAsia="Times New Roman" w:hAnsi="Garamond"/>
                <w:color w:val="000000"/>
                <w:sz w:val="22"/>
                <w:szCs w:val="22"/>
              </w:rPr>
              <w:t>0.011</w:t>
            </w:r>
          </w:p>
        </w:tc>
        <w:tc>
          <w:tcPr>
            <w:tcW w:w="616" w:type="pct"/>
            <w:noWrap/>
            <w:hideMark/>
          </w:tcPr>
          <w:p w14:paraId="4161CF14" w14:textId="77777777" w:rsidR="00C73116" w:rsidRPr="008552AC" w:rsidRDefault="00C73116" w:rsidP="008E22F5">
            <w:pPr>
              <w:rPr>
                <w:rFonts w:ascii="Garamond" w:eastAsia="Times New Roman" w:hAnsi="Garamond"/>
                <w:color w:val="000000"/>
                <w:sz w:val="22"/>
                <w:szCs w:val="22"/>
              </w:rPr>
            </w:pPr>
            <w:r w:rsidRPr="008552AC">
              <w:rPr>
                <w:rFonts w:ascii="Garamond" w:eastAsia="Times New Roman" w:hAnsi="Garamond"/>
                <w:color w:val="000000"/>
                <w:sz w:val="22"/>
                <w:szCs w:val="22"/>
              </w:rPr>
              <w:t xml:space="preserve"> -</w:t>
            </w:r>
            <w:r>
              <w:rPr>
                <w:rFonts w:ascii="Garamond" w:eastAsia="Times New Roman" w:hAnsi="Garamond"/>
                <w:color w:val="000000"/>
                <w:sz w:val="22"/>
                <w:szCs w:val="22"/>
              </w:rPr>
              <w:t>0</w:t>
            </w:r>
            <w:r w:rsidRPr="008552AC">
              <w:rPr>
                <w:rFonts w:ascii="Garamond" w:eastAsia="Times New Roman" w:hAnsi="Garamond"/>
                <w:color w:val="000000"/>
                <w:sz w:val="22"/>
                <w:szCs w:val="22"/>
              </w:rPr>
              <w:t>.046</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.069</w:t>
            </w:r>
          </w:p>
        </w:tc>
        <w:tc>
          <w:tcPr>
            <w:tcW w:w="297" w:type="pct"/>
            <w:noWrap/>
            <w:hideMark/>
          </w:tcPr>
          <w:p w14:paraId="60521372" w14:textId="77777777" w:rsidR="00C73116" w:rsidRPr="008552AC" w:rsidRDefault="00C73116" w:rsidP="008E22F5">
            <w:pPr>
              <w:jc w:val="right"/>
              <w:rPr>
                <w:rFonts w:ascii="Garamond" w:eastAsia="Times New Roman" w:hAnsi="Garamond"/>
                <w:color w:val="000000"/>
                <w:sz w:val="22"/>
                <w:szCs w:val="22"/>
              </w:rPr>
            </w:pPr>
            <w:r w:rsidRPr="008552AC">
              <w:rPr>
                <w:rFonts w:ascii="Garamond" w:eastAsia="Times New Roman" w:hAnsi="Garamond"/>
                <w:color w:val="000000"/>
                <w:sz w:val="22"/>
                <w:szCs w:val="22"/>
              </w:rPr>
              <w:t>-0.085</w:t>
            </w:r>
          </w:p>
        </w:tc>
        <w:tc>
          <w:tcPr>
            <w:tcW w:w="598" w:type="pct"/>
            <w:noWrap/>
            <w:hideMark/>
          </w:tcPr>
          <w:p w14:paraId="47C0ECCE" w14:textId="77777777" w:rsidR="00C73116" w:rsidRPr="008552AC" w:rsidRDefault="00C73116" w:rsidP="008E22F5">
            <w:pPr>
              <w:rPr>
                <w:rFonts w:ascii="Garamond" w:eastAsia="Times New Roman" w:hAnsi="Garamond"/>
                <w:color w:val="000000"/>
                <w:sz w:val="22"/>
                <w:szCs w:val="22"/>
              </w:rPr>
            </w:pPr>
            <w:r w:rsidRPr="008552AC">
              <w:rPr>
                <w:rFonts w:ascii="Garamond" w:eastAsia="Times New Roman" w:hAnsi="Garamond"/>
                <w:color w:val="000000"/>
                <w:sz w:val="22"/>
                <w:szCs w:val="22"/>
              </w:rPr>
              <w:t xml:space="preserve"> -</w:t>
            </w:r>
            <w:r>
              <w:rPr>
                <w:rFonts w:ascii="Garamond" w:eastAsia="Times New Roman" w:hAnsi="Garamond"/>
                <w:color w:val="000000"/>
                <w:sz w:val="22"/>
                <w:szCs w:val="22"/>
              </w:rPr>
              <w:t>0</w:t>
            </w:r>
            <w:r w:rsidRPr="008552AC">
              <w:rPr>
                <w:rFonts w:ascii="Garamond" w:eastAsia="Times New Roman" w:hAnsi="Garamond"/>
                <w:color w:val="000000"/>
                <w:sz w:val="22"/>
                <w:szCs w:val="22"/>
              </w:rPr>
              <w:t>.254</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.083</w:t>
            </w:r>
          </w:p>
        </w:tc>
        <w:tc>
          <w:tcPr>
            <w:tcW w:w="341" w:type="pct"/>
            <w:noWrap/>
            <w:hideMark/>
          </w:tcPr>
          <w:p w14:paraId="4F49865C" w14:textId="77777777" w:rsidR="00C73116" w:rsidRPr="008552AC" w:rsidRDefault="00C73116" w:rsidP="008E22F5">
            <w:pPr>
              <w:jc w:val="right"/>
              <w:rPr>
                <w:rFonts w:ascii="Garamond" w:eastAsia="Times New Roman" w:hAnsi="Garamond"/>
                <w:color w:val="000000"/>
                <w:sz w:val="22"/>
                <w:szCs w:val="22"/>
              </w:rPr>
            </w:pPr>
            <w:r w:rsidRPr="008552AC">
              <w:rPr>
                <w:rFonts w:ascii="Garamond" w:eastAsia="Times New Roman" w:hAnsi="Garamond"/>
                <w:color w:val="000000"/>
                <w:sz w:val="22"/>
                <w:szCs w:val="22"/>
              </w:rPr>
              <w:t>0.022</w:t>
            </w:r>
          </w:p>
        </w:tc>
        <w:tc>
          <w:tcPr>
            <w:tcW w:w="616" w:type="pct"/>
            <w:noWrap/>
            <w:hideMark/>
          </w:tcPr>
          <w:p w14:paraId="52B443FF" w14:textId="77777777" w:rsidR="00C73116" w:rsidRPr="008552AC" w:rsidRDefault="00C73116" w:rsidP="008E22F5">
            <w:pPr>
              <w:rPr>
                <w:rFonts w:ascii="Garamond" w:eastAsia="Times New Roman" w:hAnsi="Garamond"/>
                <w:color w:val="000000"/>
                <w:sz w:val="22"/>
                <w:szCs w:val="22"/>
              </w:rPr>
            </w:pPr>
            <w:r w:rsidRPr="008552AC">
              <w:rPr>
                <w:rFonts w:ascii="Garamond" w:eastAsia="Times New Roman" w:hAnsi="Garamond"/>
                <w:color w:val="000000"/>
                <w:sz w:val="22"/>
                <w:szCs w:val="22"/>
              </w:rPr>
              <w:t xml:space="preserve"> -</w:t>
            </w:r>
            <w:r>
              <w:rPr>
                <w:rFonts w:ascii="Garamond" w:eastAsia="Times New Roman" w:hAnsi="Garamond"/>
                <w:color w:val="000000"/>
                <w:sz w:val="22"/>
                <w:szCs w:val="22"/>
              </w:rPr>
              <w:t>0</w:t>
            </w:r>
            <w:r w:rsidRPr="008552AC">
              <w:rPr>
                <w:rFonts w:ascii="Garamond" w:eastAsia="Times New Roman" w:hAnsi="Garamond"/>
                <w:color w:val="000000"/>
                <w:sz w:val="22"/>
                <w:szCs w:val="22"/>
              </w:rPr>
              <w:t>.068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.113</w:t>
            </w:r>
          </w:p>
        </w:tc>
        <w:tc>
          <w:tcPr>
            <w:tcW w:w="427" w:type="pct"/>
            <w:noWrap/>
            <w:hideMark/>
          </w:tcPr>
          <w:p w14:paraId="68A17FE6" w14:textId="77777777" w:rsidR="00C73116" w:rsidRPr="008552AC" w:rsidRDefault="00C73116" w:rsidP="008E22F5">
            <w:pPr>
              <w:jc w:val="right"/>
              <w:rPr>
                <w:rFonts w:ascii="Garamond" w:eastAsia="Times New Roman" w:hAnsi="Garamond"/>
                <w:color w:val="000000"/>
                <w:sz w:val="22"/>
                <w:szCs w:val="22"/>
              </w:rPr>
            </w:pPr>
            <w:r w:rsidRPr="008552AC">
              <w:rPr>
                <w:rFonts w:ascii="Garamond" w:eastAsia="Times New Roman" w:hAnsi="Garamond"/>
                <w:color w:val="000000"/>
                <w:sz w:val="22"/>
                <w:szCs w:val="22"/>
              </w:rPr>
              <w:t>0.043</w:t>
            </w:r>
          </w:p>
        </w:tc>
        <w:tc>
          <w:tcPr>
            <w:tcW w:w="605" w:type="pct"/>
            <w:noWrap/>
            <w:hideMark/>
          </w:tcPr>
          <w:p w14:paraId="16B49AD6" w14:textId="77777777" w:rsidR="00C73116" w:rsidRPr="008552AC" w:rsidRDefault="00C73116" w:rsidP="008E22F5">
            <w:pPr>
              <w:rPr>
                <w:rFonts w:ascii="Garamond" w:eastAsia="Times New Roman" w:hAnsi="Garamond"/>
                <w:color w:val="000000"/>
                <w:sz w:val="22"/>
                <w:szCs w:val="22"/>
              </w:rPr>
            </w:pPr>
            <w:r w:rsidRPr="008552AC">
              <w:rPr>
                <w:rFonts w:ascii="Garamond" w:eastAsia="Times New Roman" w:hAnsi="Garamond"/>
                <w:color w:val="000000"/>
                <w:sz w:val="22"/>
                <w:szCs w:val="22"/>
              </w:rPr>
              <w:t xml:space="preserve"> -</w:t>
            </w:r>
            <w:r>
              <w:rPr>
                <w:rFonts w:ascii="Garamond" w:eastAsia="Times New Roman" w:hAnsi="Garamond"/>
                <w:color w:val="000000"/>
                <w:sz w:val="22"/>
                <w:szCs w:val="22"/>
              </w:rPr>
              <w:t>0</w:t>
            </w:r>
            <w:r w:rsidRPr="008552AC">
              <w:rPr>
                <w:rFonts w:ascii="Garamond" w:eastAsia="Times New Roman" w:hAnsi="Garamond"/>
                <w:color w:val="000000"/>
                <w:sz w:val="22"/>
                <w:szCs w:val="22"/>
              </w:rPr>
              <w:t>.042</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.128</w:t>
            </w:r>
          </w:p>
        </w:tc>
      </w:tr>
      <w:tr w:rsidR="00C73116" w:rsidRPr="008552AC" w14:paraId="2929E894" w14:textId="77777777" w:rsidTr="008E22F5">
        <w:trPr>
          <w:trHeight w:val="300"/>
        </w:trPr>
        <w:tc>
          <w:tcPr>
            <w:tcW w:w="1203" w:type="pct"/>
            <w:noWrap/>
            <w:hideMark/>
          </w:tcPr>
          <w:p w14:paraId="2EE7B316"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White blood cells</w:t>
            </w:r>
          </w:p>
        </w:tc>
        <w:tc>
          <w:tcPr>
            <w:tcW w:w="297" w:type="pct"/>
            <w:noWrap/>
            <w:hideMark/>
          </w:tcPr>
          <w:p w14:paraId="09CE2198"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0.042</w:t>
            </w:r>
          </w:p>
        </w:tc>
        <w:tc>
          <w:tcPr>
            <w:tcW w:w="616" w:type="pct"/>
            <w:noWrap/>
            <w:hideMark/>
          </w:tcPr>
          <w:p w14:paraId="43EB8C7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0.014 to 0</w:t>
            </w:r>
            <w:r w:rsidRPr="008552AC">
              <w:rPr>
                <w:rFonts w:ascii="Garamond" w:eastAsia="Times New Roman" w:hAnsi="Garamond"/>
                <w:color w:val="000000"/>
                <w:sz w:val="22"/>
                <w:szCs w:val="22"/>
              </w:rPr>
              <w:t>.100</w:t>
            </w:r>
          </w:p>
        </w:tc>
        <w:tc>
          <w:tcPr>
            <w:tcW w:w="297" w:type="pct"/>
            <w:noWrap/>
            <w:hideMark/>
          </w:tcPr>
          <w:p w14:paraId="3E77F58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-0.003</w:t>
            </w:r>
          </w:p>
        </w:tc>
        <w:tc>
          <w:tcPr>
            <w:tcW w:w="598" w:type="pct"/>
            <w:noWrap/>
            <w:hideMark/>
          </w:tcPr>
          <w:p w14:paraId="1B128559"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.169</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.161</w:t>
            </w:r>
          </w:p>
        </w:tc>
        <w:tc>
          <w:tcPr>
            <w:tcW w:w="341" w:type="pct"/>
            <w:noWrap/>
            <w:hideMark/>
          </w:tcPr>
          <w:p w14:paraId="30926A3F"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w:t>
            </w:r>
            <w:r>
              <w:rPr>
                <w:rFonts w:ascii="Garamond" w:eastAsia="Times New Roman" w:hAnsi="Garamond"/>
                <w:color w:val="000000"/>
                <w:sz w:val="22"/>
                <w:szCs w:val="22"/>
              </w:rPr>
              <w:t>.00001</w:t>
            </w:r>
          </w:p>
        </w:tc>
        <w:tc>
          <w:tcPr>
            <w:tcW w:w="616" w:type="pct"/>
            <w:noWrap/>
            <w:hideMark/>
          </w:tcPr>
          <w:p w14:paraId="7C02AE3A"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.078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.078</w:t>
            </w:r>
          </w:p>
        </w:tc>
        <w:tc>
          <w:tcPr>
            <w:tcW w:w="427" w:type="pct"/>
            <w:noWrap/>
            <w:hideMark/>
          </w:tcPr>
          <w:p w14:paraId="0DE2E1E2"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0.146***</w:t>
            </w:r>
            <w:r w:rsidRPr="008552AC">
              <w:rPr>
                <w:rFonts w:ascii="Garamond" w:eastAsia="Times New Roman" w:hAnsi="Garamond"/>
                <w:b/>
                <w:bCs/>
                <w:color w:val="000000"/>
                <w:sz w:val="22"/>
                <w:szCs w:val="22"/>
              </w:rPr>
              <w:t>#</w:t>
            </w:r>
          </w:p>
        </w:tc>
        <w:tc>
          <w:tcPr>
            <w:tcW w:w="605" w:type="pct"/>
            <w:noWrap/>
            <w:hideMark/>
          </w:tcPr>
          <w:p w14:paraId="5400437D"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.052</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.240</w:t>
            </w:r>
          </w:p>
        </w:tc>
      </w:tr>
      <w:tr w:rsidR="00C73116" w:rsidRPr="008552AC" w14:paraId="033C18C1" w14:textId="77777777" w:rsidTr="008E22F5">
        <w:trPr>
          <w:trHeight w:val="300"/>
        </w:trPr>
        <w:tc>
          <w:tcPr>
            <w:tcW w:w="1203" w:type="pct"/>
            <w:noWrap/>
            <w:hideMark/>
          </w:tcPr>
          <w:p w14:paraId="47CC4B42" w14:textId="77777777" w:rsidR="00C73116" w:rsidRPr="00657631" w:rsidRDefault="00C73116" w:rsidP="008E22F5">
            <w:pPr>
              <w:rPr>
                <w:rFonts w:ascii="Garamond" w:eastAsia="Times New Roman" w:hAnsi="Garamond"/>
                <w:color w:val="000000"/>
                <w:sz w:val="22"/>
                <w:szCs w:val="22"/>
              </w:rPr>
            </w:pPr>
            <w:proofErr w:type="spellStart"/>
            <w:r w:rsidRPr="00657631">
              <w:rPr>
                <w:rFonts w:ascii="Garamond" w:eastAsia="Times New Roman" w:hAnsi="Garamond"/>
                <w:bCs/>
                <w:iCs/>
                <w:color w:val="000000"/>
                <w:sz w:val="22"/>
                <w:szCs w:val="22"/>
              </w:rPr>
              <w:t>Haemoglobin</w:t>
            </w:r>
            <w:proofErr w:type="spellEnd"/>
          </w:p>
        </w:tc>
        <w:tc>
          <w:tcPr>
            <w:tcW w:w="297" w:type="pct"/>
            <w:noWrap/>
            <w:hideMark/>
          </w:tcPr>
          <w:p w14:paraId="0370067C"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-0.036</w:t>
            </w:r>
          </w:p>
        </w:tc>
        <w:tc>
          <w:tcPr>
            <w:tcW w:w="616" w:type="pct"/>
            <w:noWrap/>
            <w:hideMark/>
          </w:tcPr>
          <w:p w14:paraId="7BB57EE9"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.077</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.005</w:t>
            </w:r>
          </w:p>
        </w:tc>
        <w:tc>
          <w:tcPr>
            <w:tcW w:w="297" w:type="pct"/>
            <w:noWrap/>
            <w:hideMark/>
          </w:tcPr>
          <w:p w14:paraId="7CD2B5DD"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-0.094</w:t>
            </w:r>
          </w:p>
        </w:tc>
        <w:tc>
          <w:tcPr>
            <w:tcW w:w="598" w:type="pct"/>
            <w:noWrap/>
            <w:hideMark/>
          </w:tcPr>
          <w:p w14:paraId="3A97DDFD"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.256</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.067</w:t>
            </w:r>
          </w:p>
        </w:tc>
        <w:tc>
          <w:tcPr>
            <w:tcW w:w="341" w:type="pct"/>
            <w:noWrap/>
            <w:hideMark/>
          </w:tcPr>
          <w:p w14:paraId="6F2C12BE"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-0.058</w:t>
            </w:r>
          </w:p>
        </w:tc>
        <w:tc>
          <w:tcPr>
            <w:tcW w:w="616" w:type="pct"/>
            <w:noWrap/>
            <w:hideMark/>
          </w:tcPr>
          <w:p w14:paraId="08D7E914"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.146</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.029</w:t>
            </w:r>
          </w:p>
        </w:tc>
        <w:tc>
          <w:tcPr>
            <w:tcW w:w="427" w:type="pct"/>
            <w:noWrap/>
            <w:hideMark/>
          </w:tcPr>
          <w:p w14:paraId="5E15670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0.023</w:t>
            </w:r>
          </w:p>
        </w:tc>
        <w:tc>
          <w:tcPr>
            <w:tcW w:w="605" w:type="pct"/>
            <w:noWrap/>
            <w:hideMark/>
          </w:tcPr>
          <w:p w14:paraId="761E4B4F"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.058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.106</w:t>
            </w:r>
          </w:p>
        </w:tc>
      </w:tr>
      <w:tr w:rsidR="00C73116" w:rsidRPr="008552AC" w14:paraId="4AAB6DFE" w14:textId="77777777" w:rsidTr="008E22F5">
        <w:trPr>
          <w:trHeight w:val="300"/>
        </w:trPr>
        <w:tc>
          <w:tcPr>
            <w:tcW w:w="1203" w:type="pct"/>
            <w:noWrap/>
            <w:hideMark/>
          </w:tcPr>
          <w:p w14:paraId="338E4BC0" w14:textId="77777777" w:rsidR="00C73116" w:rsidRPr="00657631" w:rsidRDefault="00C73116" w:rsidP="008E22F5">
            <w:pPr>
              <w:rPr>
                <w:rFonts w:ascii="Garamond" w:eastAsia="Times New Roman" w:hAnsi="Garamond"/>
                <w:color w:val="000000"/>
                <w:sz w:val="22"/>
                <w:szCs w:val="22"/>
              </w:rPr>
            </w:pPr>
            <w:proofErr w:type="spellStart"/>
            <w:r w:rsidRPr="00657631">
              <w:rPr>
                <w:rFonts w:ascii="Garamond" w:eastAsia="Times New Roman" w:hAnsi="Garamond"/>
                <w:bCs/>
                <w:iCs/>
                <w:color w:val="000000"/>
                <w:sz w:val="22"/>
                <w:szCs w:val="22"/>
              </w:rPr>
              <w:t>Haematocrit</w:t>
            </w:r>
            <w:proofErr w:type="spellEnd"/>
          </w:p>
        </w:tc>
        <w:tc>
          <w:tcPr>
            <w:tcW w:w="297" w:type="pct"/>
            <w:noWrap/>
            <w:hideMark/>
          </w:tcPr>
          <w:p w14:paraId="74FCE1F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0.015</w:t>
            </w:r>
          </w:p>
        </w:tc>
        <w:tc>
          <w:tcPr>
            <w:tcW w:w="616" w:type="pct"/>
            <w:noWrap/>
            <w:hideMark/>
          </w:tcPr>
          <w:p w14:paraId="247589B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.037</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.0689</w:t>
            </w:r>
          </w:p>
        </w:tc>
        <w:tc>
          <w:tcPr>
            <w:tcW w:w="297" w:type="pct"/>
            <w:noWrap/>
            <w:hideMark/>
          </w:tcPr>
          <w:p w14:paraId="4C30E1F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-0.058</w:t>
            </w:r>
          </w:p>
        </w:tc>
        <w:tc>
          <w:tcPr>
            <w:tcW w:w="598" w:type="pct"/>
            <w:noWrap/>
            <w:hideMark/>
          </w:tcPr>
          <w:p w14:paraId="0A5961DA"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.188</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.071</w:t>
            </w:r>
          </w:p>
        </w:tc>
        <w:tc>
          <w:tcPr>
            <w:tcW w:w="341" w:type="pct"/>
            <w:noWrap/>
            <w:hideMark/>
          </w:tcPr>
          <w:p w14:paraId="220BA69D"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0.05</w:t>
            </w:r>
          </w:p>
        </w:tc>
        <w:tc>
          <w:tcPr>
            <w:tcW w:w="616" w:type="pct"/>
            <w:noWrap/>
            <w:hideMark/>
          </w:tcPr>
          <w:p w14:paraId="34039447"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.059</w:t>
            </w:r>
            <w:r>
              <w:rPr>
                <w:rFonts w:ascii="Garamond" w:eastAsia="Times New Roman" w:hAnsi="Garamond"/>
                <w:color w:val="000000"/>
                <w:sz w:val="22"/>
                <w:szCs w:val="22"/>
              </w:rPr>
              <w:t xml:space="preserve"> to</w:t>
            </w:r>
            <w:r w:rsidRPr="008552AC">
              <w:rPr>
                <w:rFonts w:ascii="Garamond" w:eastAsia="Times New Roman" w:hAnsi="Garamond"/>
                <w:color w:val="000000"/>
                <w:sz w:val="22"/>
                <w:szCs w:val="22"/>
              </w:rPr>
              <w:t xml:space="preserve"> </w:t>
            </w:r>
            <w:r>
              <w:rPr>
                <w:rFonts w:ascii="Garamond" w:eastAsia="Times New Roman" w:hAnsi="Garamond"/>
                <w:color w:val="000000"/>
                <w:sz w:val="22"/>
                <w:szCs w:val="22"/>
              </w:rPr>
              <w:t>0</w:t>
            </w:r>
            <w:r w:rsidRPr="008552AC">
              <w:rPr>
                <w:rFonts w:ascii="Garamond" w:eastAsia="Times New Roman" w:hAnsi="Garamond"/>
                <w:color w:val="000000"/>
                <w:sz w:val="22"/>
                <w:szCs w:val="22"/>
              </w:rPr>
              <w:t>.161</w:t>
            </w:r>
          </w:p>
        </w:tc>
        <w:tc>
          <w:tcPr>
            <w:tcW w:w="427" w:type="pct"/>
            <w:noWrap/>
            <w:hideMark/>
          </w:tcPr>
          <w:p w14:paraId="085C26F6"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0.01</w:t>
            </w:r>
          </w:p>
        </w:tc>
        <w:tc>
          <w:tcPr>
            <w:tcW w:w="605" w:type="pct"/>
            <w:noWrap/>
            <w:hideMark/>
          </w:tcPr>
          <w:p w14:paraId="524F6390"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.091</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.112</w:t>
            </w:r>
          </w:p>
        </w:tc>
      </w:tr>
      <w:tr w:rsidR="00C73116" w:rsidRPr="008552AC" w14:paraId="7ECDEDD4" w14:textId="77777777" w:rsidTr="008E22F5">
        <w:trPr>
          <w:trHeight w:val="300"/>
        </w:trPr>
        <w:tc>
          <w:tcPr>
            <w:tcW w:w="1203" w:type="pct"/>
            <w:tcBorders>
              <w:bottom w:val="double" w:sz="4" w:space="0" w:color="auto"/>
            </w:tcBorders>
            <w:noWrap/>
            <w:hideMark/>
          </w:tcPr>
          <w:p w14:paraId="2DA78B95" w14:textId="77777777" w:rsidR="00C73116" w:rsidRPr="00657631" w:rsidRDefault="00C73116" w:rsidP="008E22F5">
            <w:pPr>
              <w:rPr>
                <w:rFonts w:ascii="Garamond" w:eastAsia="Times New Roman" w:hAnsi="Garamond"/>
                <w:color w:val="000000"/>
                <w:sz w:val="22"/>
                <w:szCs w:val="22"/>
              </w:rPr>
            </w:pPr>
            <w:r w:rsidRPr="00657631">
              <w:rPr>
                <w:rFonts w:ascii="Garamond" w:eastAsia="Times New Roman" w:hAnsi="Garamond"/>
                <w:bCs/>
                <w:iCs/>
                <w:color w:val="000000"/>
                <w:sz w:val="22"/>
                <w:szCs w:val="22"/>
              </w:rPr>
              <w:t>Platelet values</w:t>
            </w:r>
          </w:p>
        </w:tc>
        <w:tc>
          <w:tcPr>
            <w:tcW w:w="297" w:type="pct"/>
            <w:tcBorders>
              <w:bottom w:val="double" w:sz="4" w:space="0" w:color="auto"/>
            </w:tcBorders>
            <w:noWrap/>
            <w:hideMark/>
          </w:tcPr>
          <w:p w14:paraId="0FA29299"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0.035</w:t>
            </w:r>
          </w:p>
        </w:tc>
        <w:tc>
          <w:tcPr>
            <w:tcW w:w="616" w:type="pct"/>
            <w:tcBorders>
              <w:bottom w:val="double" w:sz="4" w:space="0" w:color="auto"/>
            </w:tcBorders>
            <w:noWrap/>
            <w:hideMark/>
          </w:tcPr>
          <w:p w14:paraId="6ADEA549"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.020</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.091</w:t>
            </w:r>
          </w:p>
        </w:tc>
        <w:tc>
          <w:tcPr>
            <w:tcW w:w="297" w:type="pct"/>
            <w:tcBorders>
              <w:bottom w:val="double" w:sz="4" w:space="0" w:color="auto"/>
            </w:tcBorders>
            <w:noWrap/>
            <w:hideMark/>
          </w:tcPr>
          <w:p w14:paraId="7A77DA13"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0.037</w:t>
            </w:r>
          </w:p>
        </w:tc>
        <w:tc>
          <w:tcPr>
            <w:tcW w:w="598" w:type="pct"/>
            <w:tcBorders>
              <w:bottom w:val="double" w:sz="4" w:space="0" w:color="auto"/>
            </w:tcBorders>
            <w:noWrap/>
            <w:hideMark/>
          </w:tcPr>
          <w:p w14:paraId="62F61525"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.126</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.202</w:t>
            </w:r>
          </w:p>
        </w:tc>
        <w:tc>
          <w:tcPr>
            <w:tcW w:w="341" w:type="pct"/>
            <w:tcBorders>
              <w:bottom w:val="double" w:sz="4" w:space="0" w:color="auto"/>
            </w:tcBorders>
            <w:noWrap/>
            <w:hideMark/>
          </w:tcPr>
          <w:p w14:paraId="15960B3B"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0.04</w:t>
            </w:r>
          </w:p>
        </w:tc>
        <w:tc>
          <w:tcPr>
            <w:tcW w:w="616" w:type="pct"/>
            <w:tcBorders>
              <w:bottom w:val="double" w:sz="4" w:space="0" w:color="auto"/>
            </w:tcBorders>
            <w:noWrap/>
            <w:hideMark/>
          </w:tcPr>
          <w:p w14:paraId="3839814B"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.059</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 xml:space="preserve"> .139</w:t>
            </w:r>
          </w:p>
        </w:tc>
        <w:tc>
          <w:tcPr>
            <w:tcW w:w="427" w:type="pct"/>
            <w:tcBorders>
              <w:bottom w:val="double" w:sz="4" w:space="0" w:color="auto"/>
            </w:tcBorders>
            <w:noWrap/>
            <w:hideMark/>
          </w:tcPr>
          <w:p w14:paraId="1121F031" w14:textId="77777777" w:rsidR="00C73116" w:rsidRPr="008552AC" w:rsidRDefault="00C73116" w:rsidP="008E22F5">
            <w:pPr>
              <w:jc w:val="center"/>
              <w:rPr>
                <w:rFonts w:ascii="Garamond" w:eastAsia="Times New Roman" w:hAnsi="Garamond"/>
                <w:color w:val="000000"/>
                <w:sz w:val="22"/>
                <w:szCs w:val="22"/>
              </w:rPr>
            </w:pPr>
            <w:r w:rsidRPr="008552AC">
              <w:rPr>
                <w:rFonts w:ascii="Garamond" w:eastAsia="Times New Roman" w:hAnsi="Garamond"/>
                <w:color w:val="000000"/>
                <w:sz w:val="22"/>
                <w:szCs w:val="22"/>
              </w:rPr>
              <w:t>0.083*</w:t>
            </w:r>
          </w:p>
        </w:tc>
        <w:tc>
          <w:tcPr>
            <w:tcW w:w="605" w:type="pct"/>
            <w:tcBorders>
              <w:bottom w:val="double" w:sz="4" w:space="0" w:color="auto"/>
            </w:tcBorders>
            <w:noWrap/>
            <w:hideMark/>
          </w:tcPr>
          <w:p w14:paraId="5E084863" w14:textId="77777777" w:rsidR="00C73116" w:rsidRPr="008552AC" w:rsidRDefault="00C73116" w:rsidP="008E22F5">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.001</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.165</w:t>
            </w:r>
          </w:p>
        </w:tc>
      </w:tr>
    </w:tbl>
    <w:p w14:paraId="3D29E57D" w14:textId="77777777" w:rsidR="00C73116" w:rsidRPr="00690DB9" w:rsidRDefault="00C73116" w:rsidP="00C73116">
      <w:pPr>
        <w:rPr>
          <w:rFonts w:ascii="Garamond" w:eastAsia="Times New Roman" w:hAnsi="Garamond"/>
          <w:bCs/>
          <w:color w:val="000000"/>
          <w:sz w:val="22"/>
          <w:szCs w:val="22"/>
        </w:rPr>
      </w:pPr>
      <w:r w:rsidRPr="00690DB9">
        <w:rPr>
          <w:rFonts w:ascii="Garamond" w:eastAsia="Times New Roman" w:hAnsi="Garamond"/>
          <w:bCs/>
          <w:i/>
          <w:color w:val="000000"/>
          <w:sz w:val="22"/>
          <w:szCs w:val="22"/>
        </w:rPr>
        <w:t>Notes</w:t>
      </w:r>
      <w:r w:rsidRPr="00690DB9">
        <w:rPr>
          <w:rFonts w:ascii="Garamond" w:eastAsia="Times New Roman" w:hAnsi="Garamond"/>
          <w:bCs/>
          <w:color w:val="000000"/>
          <w:sz w:val="22"/>
          <w:szCs w:val="22"/>
        </w:rPr>
        <w:t xml:space="preserve">: </w:t>
      </w:r>
      <w:r>
        <w:rPr>
          <w:rFonts w:ascii="Garamond" w:eastAsia="Times New Roman" w:hAnsi="Garamond"/>
          <w:bCs/>
          <w:color w:val="000000"/>
          <w:sz w:val="22"/>
          <w:szCs w:val="22"/>
        </w:rPr>
        <w:t xml:space="preserve">Data come the </w:t>
      </w:r>
      <w:proofErr w:type="spellStart"/>
      <w:r>
        <w:rPr>
          <w:rFonts w:ascii="Garamond" w:eastAsia="Times New Roman" w:hAnsi="Garamond"/>
          <w:bCs/>
          <w:color w:val="000000"/>
          <w:sz w:val="22"/>
          <w:szCs w:val="22"/>
        </w:rPr>
        <w:t>Constances</w:t>
      </w:r>
      <w:proofErr w:type="spellEnd"/>
      <w:r>
        <w:rPr>
          <w:rFonts w:ascii="Garamond" w:eastAsia="Times New Roman" w:hAnsi="Garamond"/>
          <w:bCs/>
          <w:color w:val="000000"/>
          <w:sz w:val="22"/>
          <w:szCs w:val="22"/>
        </w:rPr>
        <w:t xml:space="preserve"> cohort. </w:t>
      </w:r>
      <w:r w:rsidRPr="00690DB9">
        <w:rPr>
          <w:rFonts w:ascii="Garamond" w:eastAsia="Times New Roman" w:hAnsi="Garamond"/>
          <w:bCs/>
          <w:color w:val="000000"/>
          <w:sz w:val="22"/>
          <w:szCs w:val="22"/>
        </w:rPr>
        <w:t>All models control for age, age squared, gender, month of birth, birth cohor</w:t>
      </w:r>
      <w:r>
        <w:rPr>
          <w:rFonts w:ascii="Garamond" w:eastAsia="Times New Roman" w:hAnsi="Garamond"/>
          <w:bCs/>
          <w:color w:val="000000"/>
          <w:sz w:val="22"/>
          <w:szCs w:val="22"/>
        </w:rPr>
        <w:t>t</w:t>
      </w:r>
      <w:r w:rsidRPr="00690DB9">
        <w:rPr>
          <w:rFonts w:ascii="Garamond" w:eastAsia="Times New Roman" w:hAnsi="Garamond"/>
          <w:bCs/>
          <w:color w:val="000000"/>
          <w:sz w:val="22"/>
          <w:szCs w:val="22"/>
        </w:rPr>
        <w:t xml:space="preserve"> relative to the cut-off point, interacted with the treatment. Standard errors are clustered at the month of birth level. The bandwidth is fixed at 48 months.</w:t>
      </w:r>
    </w:p>
    <w:p w14:paraId="0B55AF79" w14:textId="77777777" w:rsidR="00C73116" w:rsidRPr="00690DB9" w:rsidRDefault="00C73116" w:rsidP="00C73116">
      <w:pPr>
        <w:rPr>
          <w:rFonts w:ascii="Garamond" w:eastAsia="Times New Roman" w:hAnsi="Garamond"/>
          <w:bCs/>
          <w:color w:val="000000"/>
          <w:sz w:val="22"/>
          <w:szCs w:val="22"/>
        </w:rPr>
      </w:pPr>
      <w:r w:rsidRPr="00690DB9">
        <w:rPr>
          <w:rFonts w:ascii="Garamond" w:eastAsia="Times New Roman" w:hAnsi="Garamond"/>
          <w:bCs/>
          <w:color w:val="000000"/>
          <w:sz w:val="22"/>
          <w:szCs w:val="22"/>
        </w:rPr>
        <w:t>*</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&lt;0.05,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&lt;0.01,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&lt;0.001.</w:t>
      </w:r>
    </w:p>
    <w:p w14:paraId="5DA6F211" w14:textId="71397E3C" w:rsidR="00C73116" w:rsidRDefault="00C73116" w:rsidP="00C73116">
      <w:pPr>
        <w:rPr>
          <w:b/>
        </w:rPr>
      </w:pPr>
      <w:r w:rsidRPr="008552AC">
        <w:rPr>
          <w:rFonts w:ascii="Garamond" w:eastAsia="Times New Roman" w:hAnsi="Garamond"/>
          <w:bCs/>
          <w:color w:val="000000"/>
          <w:sz w:val="22"/>
          <w:szCs w:val="22"/>
        </w:rPr>
        <w:lastRenderedPageBreak/>
        <w:t>#</w:t>
      </w:r>
      <w:r w:rsidRPr="008552AC">
        <w:rPr>
          <w:rFonts w:ascii="Garamond" w:eastAsia="Times New Roman" w:hAnsi="Garamond"/>
          <w:color w:val="000000"/>
          <w:sz w:val="22"/>
          <w:szCs w:val="22"/>
        </w:rPr>
        <w:t xml:space="preserve"> Remains significant after adjustm</w:t>
      </w:r>
      <w:r>
        <w:rPr>
          <w:rFonts w:ascii="Garamond" w:eastAsia="Times New Roman" w:hAnsi="Garamond"/>
          <w:color w:val="000000"/>
          <w:sz w:val="22"/>
          <w:szCs w:val="22"/>
        </w:rPr>
        <w:t xml:space="preserve">ent for multiple testing using </w:t>
      </w:r>
      <w:r w:rsidRPr="008552AC">
        <w:rPr>
          <w:rFonts w:ascii="Garamond" w:eastAsia="Times New Roman" w:hAnsi="Garamond"/>
          <w:color w:val="000000"/>
          <w:sz w:val="22"/>
          <w:szCs w:val="22"/>
        </w:rPr>
        <w:t xml:space="preserve">Bonferroni-Holm, </w:t>
      </w:r>
      <w:proofErr w:type="spellStart"/>
      <w:r w:rsidRPr="008552AC">
        <w:rPr>
          <w:rFonts w:ascii="Garamond" w:eastAsia="Times New Roman" w:hAnsi="Garamond"/>
          <w:color w:val="000000"/>
          <w:sz w:val="22"/>
          <w:szCs w:val="22"/>
        </w:rPr>
        <w:t>Sidak</w:t>
      </w:r>
      <w:proofErr w:type="spellEnd"/>
      <w:r w:rsidRPr="008552AC">
        <w:rPr>
          <w:rFonts w:ascii="Garamond" w:eastAsia="Times New Roman" w:hAnsi="Garamond"/>
          <w:color w:val="000000"/>
          <w:sz w:val="22"/>
          <w:szCs w:val="22"/>
        </w:rPr>
        <w:t>-Holm,</w:t>
      </w:r>
      <w:r>
        <w:rPr>
          <w:rFonts w:ascii="Garamond" w:eastAsia="Times New Roman" w:hAnsi="Garamond"/>
          <w:color w:val="000000"/>
          <w:sz w:val="22"/>
          <w:szCs w:val="22"/>
        </w:rPr>
        <w:t xml:space="preserve"> and Westfall-Young corrections.</w:t>
      </w:r>
      <w:bookmarkStart w:id="64" w:name="_GoBack"/>
      <w:bookmarkEnd w:id="64"/>
      <w:r>
        <w:rPr>
          <w:b/>
        </w:rPr>
        <w:br w:type="page"/>
      </w:r>
    </w:p>
    <w:p w14:paraId="5898FBFE" w14:textId="28D710A9" w:rsidR="00CC3DDD" w:rsidRDefault="00CC3DDD" w:rsidP="00CC3DDD">
      <w:pPr>
        <w:jc w:val="both"/>
        <w:outlineLvl w:val="0"/>
        <w:rPr>
          <w:b/>
        </w:rPr>
      </w:pPr>
      <w:r>
        <w:rPr>
          <w:b/>
        </w:rPr>
        <w:lastRenderedPageBreak/>
        <w:t>APPENDIX</w:t>
      </w:r>
    </w:p>
    <w:p w14:paraId="0008160B" w14:textId="77777777" w:rsidR="00CC3DDD" w:rsidRDefault="00CC3DDD" w:rsidP="00CC3DDD">
      <w:pPr>
        <w:jc w:val="both"/>
        <w:outlineLvl w:val="0"/>
        <w:rPr>
          <w:b/>
        </w:rPr>
      </w:pPr>
    </w:p>
    <w:p w14:paraId="51426482" w14:textId="77777777" w:rsidR="00CC3DDD" w:rsidRDefault="00CC3DDD" w:rsidP="00CC3DDD">
      <w:pPr>
        <w:contextualSpacing/>
        <w:jc w:val="both"/>
        <w:rPr>
          <w:rFonts w:ascii="Garamond" w:hAnsi="Garamond"/>
        </w:rPr>
      </w:pPr>
      <w:r>
        <w:rPr>
          <w:rFonts w:ascii="Garamond" w:hAnsi="Garamond"/>
          <w:b/>
        </w:rPr>
        <w:t>Appendix Table 1</w:t>
      </w:r>
      <w:r w:rsidRPr="000E1D1E">
        <w:rPr>
          <w:rFonts w:ascii="Garamond" w:hAnsi="Garamond"/>
        </w:rPr>
        <w:t>. Association between education</w:t>
      </w:r>
      <w:r>
        <w:rPr>
          <w:rFonts w:ascii="Garamond" w:hAnsi="Garamond"/>
        </w:rPr>
        <w:t>al</w:t>
      </w:r>
      <w:r w:rsidRPr="000E1D1E">
        <w:rPr>
          <w:rFonts w:ascii="Garamond" w:hAnsi="Garamond"/>
        </w:rPr>
        <w:t xml:space="preserve"> attainment and </w:t>
      </w:r>
      <w:r>
        <w:rPr>
          <w:rFonts w:ascii="Garamond" w:hAnsi="Garamond"/>
        </w:rPr>
        <w:t>anthropometry, blood pressure, glucose and lipids, liver and kidney functions and hematology (</w:t>
      </w:r>
      <w:r w:rsidRPr="00C43A0C">
        <w:rPr>
          <w:rFonts w:ascii="Garamond" w:hAnsi="Garamond"/>
          <w:i/>
        </w:rPr>
        <w:t>N</w:t>
      </w:r>
      <w:r>
        <w:rPr>
          <w:rFonts w:ascii="Garamond" w:hAnsi="Garamond"/>
        </w:rPr>
        <w:t>=18,929)</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1785"/>
        <w:gridCol w:w="1757"/>
      </w:tblGrid>
      <w:tr w:rsidR="00CC3DDD" w:rsidRPr="008552AC" w14:paraId="13B3F1AA" w14:textId="77777777" w:rsidTr="00CC3DDD">
        <w:trPr>
          <w:trHeight w:val="300"/>
        </w:trPr>
        <w:tc>
          <w:tcPr>
            <w:tcW w:w="2950" w:type="pct"/>
            <w:tcBorders>
              <w:top w:val="double" w:sz="4" w:space="0" w:color="auto"/>
            </w:tcBorders>
            <w:noWrap/>
            <w:hideMark/>
          </w:tcPr>
          <w:p w14:paraId="7B16B820" w14:textId="77777777" w:rsidR="00CC3DDD" w:rsidRPr="008552AC" w:rsidRDefault="00CC3DDD" w:rsidP="00CC3DDD">
            <w:pPr>
              <w:rPr>
                <w:rFonts w:ascii="Garamond" w:eastAsia="Times New Roman" w:hAnsi="Garamond"/>
                <w:sz w:val="22"/>
                <w:szCs w:val="22"/>
              </w:rPr>
            </w:pPr>
          </w:p>
        </w:tc>
        <w:tc>
          <w:tcPr>
            <w:tcW w:w="1033" w:type="pct"/>
            <w:tcBorders>
              <w:top w:val="double" w:sz="4" w:space="0" w:color="auto"/>
              <w:bottom w:val="single" w:sz="4" w:space="0" w:color="auto"/>
            </w:tcBorders>
            <w:noWrap/>
            <w:hideMark/>
          </w:tcPr>
          <w:p w14:paraId="31A2967E" w14:textId="77777777" w:rsidR="00CC3DDD" w:rsidRPr="004B4CE0" w:rsidRDefault="00CC3DDD" w:rsidP="00CC3DDD">
            <w:pPr>
              <w:jc w:val="center"/>
              <w:rPr>
                <w:rFonts w:ascii="Garamond" w:eastAsia="Times New Roman" w:hAnsi="Garamond"/>
                <w:color w:val="000000"/>
                <w:sz w:val="22"/>
                <w:szCs w:val="22"/>
              </w:rPr>
            </w:pPr>
            <w:r w:rsidRPr="004B4CE0">
              <w:rPr>
                <w:rFonts w:ascii="Garamond" w:eastAsia="Times New Roman" w:hAnsi="Garamond"/>
                <w:color w:val="000000"/>
                <w:sz w:val="22"/>
                <w:szCs w:val="22"/>
              </w:rPr>
              <w:t>ß</w:t>
            </w:r>
          </w:p>
        </w:tc>
        <w:tc>
          <w:tcPr>
            <w:tcW w:w="1017" w:type="pct"/>
            <w:tcBorders>
              <w:top w:val="double" w:sz="4" w:space="0" w:color="auto"/>
              <w:bottom w:val="single" w:sz="4" w:space="0" w:color="auto"/>
            </w:tcBorders>
            <w:noWrap/>
            <w:hideMark/>
          </w:tcPr>
          <w:p w14:paraId="457424C8" w14:textId="77777777" w:rsidR="00CC3DDD" w:rsidRPr="004B4CE0" w:rsidRDefault="00CC3DDD" w:rsidP="00CC3DDD">
            <w:pPr>
              <w:jc w:val="center"/>
              <w:rPr>
                <w:rFonts w:ascii="Garamond" w:eastAsia="Times New Roman" w:hAnsi="Garamond"/>
                <w:color w:val="000000"/>
                <w:sz w:val="22"/>
                <w:szCs w:val="22"/>
              </w:rPr>
            </w:pPr>
            <w:r w:rsidRPr="004B4CE0">
              <w:rPr>
                <w:rFonts w:ascii="Garamond" w:eastAsia="Times New Roman" w:hAnsi="Garamond"/>
                <w:color w:val="000000"/>
                <w:sz w:val="22"/>
                <w:szCs w:val="22"/>
              </w:rPr>
              <w:t>95% CI</w:t>
            </w:r>
          </w:p>
        </w:tc>
      </w:tr>
      <w:tr w:rsidR="00CC3DDD" w:rsidRPr="008552AC" w14:paraId="6AF3AF1A" w14:textId="77777777" w:rsidTr="00CC3DDD">
        <w:trPr>
          <w:trHeight w:val="300"/>
        </w:trPr>
        <w:tc>
          <w:tcPr>
            <w:tcW w:w="2950" w:type="pct"/>
            <w:noWrap/>
          </w:tcPr>
          <w:p w14:paraId="794AB489" w14:textId="77777777" w:rsidR="00CC3DDD" w:rsidRPr="00B869F4" w:rsidRDefault="00CC3DDD" w:rsidP="00CC3DDD">
            <w:pPr>
              <w:rPr>
                <w:rFonts w:ascii="Garamond" w:eastAsia="Times New Roman" w:hAnsi="Garamond"/>
                <w:color w:val="000000"/>
                <w:sz w:val="22"/>
                <w:szCs w:val="22"/>
              </w:rPr>
            </w:pPr>
            <w:r w:rsidRPr="00B869F4">
              <w:rPr>
                <w:rFonts w:ascii="Garamond" w:eastAsia="Times New Roman" w:hAnsi="Garamond"/>
                <w:color w:val="000000"/>
                <w:sz w:val="22"/>
                <w:szCs w:val="22"/>
              </w:rPr>
              <w:t>BMI</w:t>
            </w:r>
          </w:p>
        </w:tc>
        <w:tc>
          <w:tcPr>
            <w:tcW w:w="1033" w:type="pct"/>
            <w:noWrap/>
          </w:tcPr>
          <w:p w14:paraId="41FCEB4C" w14:textId="77777777" w:rsidR="00CC3DDD" w:rsidRPr="00BE7E99" w:rsidRDefault="00CC3DDD" w:rsidP="00CC3DDD">
            <w:pPr>
              <w:jc w:val="center"/>
              <w:rPr>
                <w:rFonts w:ascii="Garamond" w:eastAsia="Times New Roman" w:hAnsi="Garamond"/>
                <w:color w:val="000000"/>
                <w:sz w:val="22"/>
                <w:szCs w:val="22"/>
              </w:rPr>
            </w:pPr>
          </w:p>
        </w:tc>
        <w:tc>
          <w:tcPr>
            <w:tcW w:w="1017" w:type="pct"/>
            <w:noWrap/>
          </w:tcPr>
          <w:p w14:paraId="1EDBA272" w14:textId="77777777" w:rsidR="00CC3DDD" w:rsidRPr="008552AC" w:rsidRDefault="00CC3DDD" w:rsidP="00CC3DDD">
            <w:pPr>
              <w:jc w:val="center"/>
              <w:rPr>
                <w:rFonts w:ascii="Garamond" w:eastAsia="Times New Roman" w:hAnsi="Garamond"/>
                <w:color w:val="000000"/>
                <w:sz w:val="22"/>
                <w:szCs w:val="22"/>
              </w:rPr>
            </w:pPr>
          </w:p>
        </w:tc>
      </w:tr>
      <w:tr w:rsidR="00CC3DDD" w:rsidRPr="008552AC" w14:paraId="4CF591E0" w14:textId="77777777" w:rsidTr="00CC3DDD">
        <w:trPr>
          <w:trHeight w:val="300"/>
        </w:trPr>
        <w:tc>
          <w:tcPr>
            <w:tcW w:w="2950" w:type="pct"/>
            <w:noWrap/>
            <w:hideMark/>
          </w:tcPr>
          <w:p w14:paraId="2191616C"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Secondary education (ref. primary education)</w:t>
            </w:r>
          </w:p>
        </w:tc>
        <w:tc>
          <w:tcPr>
            <w:tcW w:w="1033" w:type="pct"/>
            <w:noWrap/>
            <w:hideMark/>
          </w:tcPr>
          <w:p w14:paraId="61533224"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-0.167***#</w:t>
            </w:r>
          </w:p>
        </w:tc>
        <w:tc>
          <w:tcPr>
            <w:tcW w:w="1017" w:type="pct"/>
            <w:noWrap/>
            <w:hideMark/>
          </w:tcPr>
          <w:p w14:paraId="4FB77AF9" w14:textId="77777777" w:rsidR="00CC3DDD" w:rsidRPr="008552AC" w:rsidRDefault="00CC3DDD" w:rsidP="00CC3DDD">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.029</w:t>
            </w:r>
            <w:r>
              <w:rPr>
                <w:rFonts w:ascii="Garamond" w:eastAsia="Times New Roman" w:hAnsi="Garamond"/>
                <w:color w:val="000000"/>
                <w:sz w:val="22"/>
                <w:szCs w:val="22"/>
              </w:rPr>
              <w:t xml:space="preserve"> to -0</w:t>
            </w:r>
            <w:r w:rsidRPr="008552AC">
              <w:rPr>
                <w:rFonts w:ascii="Garamond" w:eastAsia="Times New Roman" w:hAnsi="Garamond"/>
                <w:color w:val="000000"/>
                <w:sz w:val="22"/>
                <w:szCs w:val="22"/>
              </w:rPr>
              <w:t>.0</w:t>
            </w:r>
            <w:r>
              <w:rPr>
                <w:rFonts w:ascii="Garamond" w:eastAsia="Times New Roman" w:hAnsi="Garamond"/>
                <w:color w:val="000000"/>
                <w:sz w:val="22"/>
                <w:szCs w:val="22"/>
              </w:rPr>
              <w:t>67</w:t>
            </w:r>
          </w:p>
        </w:tc>
      </w:tr>
      <w:tr w:rsidR="00CC3DDD" w:rsidRPr="008552AC" w14:paraId="7E33A703" w14:textId="77777777" w:rsidTr="00CC3DDD">
        <w:trPr>
          <w:trHeight w:val="300"/>
        </w:trPr>
        <w:tc>
          <w:tcPr>
            <w:tcW w:w="2950" w:type="pct"/>
            <w:noWrap/>
          </w:tcPr>
          <w:p w14:paraId="03EA1C0A"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4742610E"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-0.333***#</w:t>
            </w:r>
          </w:p>
        </w:tc>
        <w:tc>
          <w:tcPr>
            <w:tcW w:w="1017" w:type="pct"/>
            <w:noWrap/>
          </w:tcPr>
          <w:p w14:paraId="5892437B" w14:textId="77777777" w:rsidR="00CC3DDD" w:rsidRPr="008552AC" w:rsidRDefault="00CC3DDD" w:rsidP="00CC3DDD">
            <w:pPr>
              <w:jc w:val="center"/>
              <w:rPr>
                <w:rFonts w:ascii="Garamond" w:eastAsia="Times New Roman" w:hAnsi="Garamond"/>
                <w:color w:val="000000"/>
                <w:sz w:val="22"/>
                <w:szCs w:val="22"/>
              </w:rPr>
            </w:pPr>
            <w:r w:rsidRPr="004213B1">
              <w:rPr>
                <w:rFonts w:ascii="Garamond" w:eastAsia="Times New Roman" w:hAnsi="Garamond"/>
                <w:color w:val="000000"/>
                <w:sz w:val="22"/>
                <w:szCs w:val="22"/>
              </w:rPr>
              <w:t>-</w:t>
            </w:r>
            <w:r>
              <w:rPr>
                <w:rFonts w:ascii="Garamond" w:eastAsia="Times New Roman" w:hAnsi="Garamond"/>
                <w:color w:val="000000"/>
                <w:sz w:val="22"/>
                <w:szCs w:val="22"/>
              </w:rPr>
              <w:t>0</w:t>
            </w:r>
            <w:r w:rsidRPr="004213B1">
              <w:rPr>
                <w:rFonts w:ascii="Garamond" w:eastAsia="Times New Roman" w:hAnsi="Garamond"/>
                <w:color w:val="000000"/>
                <w:sz w:val="22"/>
                <w:szCs w:val="22"/>
              </w:rPr>
              <w:t>.437</w:t>
            </w:r>
            <w:r>
              <w:rPr>
                <w:rFonts w:ascii="Garamond" w:eastAsia="Times New Roman" w:hAnsi="Garamond"/>
                <w:color w:val="000000"/>
                <w:sz w:val="22"/>
                <w:szCs w:val="22"/>
              </w:rPr>
              <w:t xml:space="preserve"> to -0.228</w:t>
            </w:r>
          </w:p>
        </w:tc>
      </w:tr>
      <w:tr w:rsidR="00CC3DDD" w:rsidRPr="00BE7E99" w14:paraId="3F9E184D" w14:textId="77777777" w:rsidTr="00CC3DDD">
        <w:trPr>
          <w:trHeight w:val="300"/>
        </w:trPr>
        <w:tc>
          <w:tcPr>
            <w:tcW w:w="5000" w:type="pct"/>
            <w:gridSpan w:val="3"/>
            <w:noWrap/>
            <w:hideMark/>
          </w:tcPr>
          <w:p w14:paraId="1E9B1C6C"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Waist circumference </w:t>
            </w:r>
          </w:p>
        </w:tc>
      </w:tr>
      <w:tr w:rsidR="00CC3DDD" w:rsidRPr="008552AC" w14:paraId="3A753A84" w14:textId="77777777" w:rsidTr="00CC3DDD">
        <w:trPr>
          <w:trHeight w:val="324"/>
        </w:trPr>
        <w:tc>
          <w:tcPr>
            <w:tcW w:w="2950" w:type="pct"/>
            <w:noWrap/>
            <w:hideMark/>
          </w:tcPr>
          <w:p w14:paraId="2F171D3D"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24C969C7"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-0.087</w:t>
            </w:r>
          </w:p>
        </w:tc>
        <w:tc>
          <w:tcPr>
            <w:tcW w:w="1017" w:type="pct"/>
            <w:noWrap/>
            <w:hideMark/>
          </w:tcPr>
          <w:p w14:paraId="5DEBCF1C" w14:textId="77777777" w:rsidR="00CC3DDD" w:rsidRPr="008552AC" w:rsidRDefault="00CC3DDD" w:rsidP="00CC3DDD">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w:t>
            </w:r>
            <w:r>
              <w:rPr>
                <w:rFonts w:ascii="Garamond" w:eastAsia="Times New Roman" w:hAnsi="Garamond"/>
                <w:color w:val="000000"/>
                <w:sz w:val="22"/>
                <w:szCs w:val="22"/>
              </w:rPr>
              <w:t>190 to 0</w:t>
            </w:r>
            <w:r w:rsidRPr="008552AC">
              <w:rPr>
                <w:rFonts w:ascii="Garamond" w:eastAsia="Times New Roman" w:hAnsi="Garamond"/>
                <w:color w:val="000000"/>
                <w:sz w:val="22"/>
                <w:szCs w:val="22"/>
              </w:rPr>
              <w:t>.0</w:t>
            </w:r>
            <w:r>
              <w:rPr>
                <w:rFonts w:ascii="Garamond" w:eastAsia="Times New Roman" w:hAnsi="Garamond"/>
                <w:color w:val="000000"/>
                <w:sz w:val="22"/>
                <w:szCs w:val="22"/>
              </w:rPr>
              <w:t>15</w:t>
            </w:r>
          </w:p>
        </w:tc>
      </w:tr>
      <w:tr w:rsidR="00CC3DDD" w:rsidRPr="008552AC" w14:paraId="22947B02" w14:textId="77777777" w:rsidTr="00CC3DDD">
        <w:trPr>
          <w:trHeight w:val="300"/>
        </w:trPr>
        <w:tc>
          <w:tcPr>
            <w:tcW w:w="2950" w:type="pct"/>
            <w:noWrap/>
          </w:tcPr>
          <w:p w14:paraId="3E52AF86"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05246BCB"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-0.175**#</w:t>
            </w:r>
          </w:p>
        </w:tc>
        <w:tc>
          <w:tcPr>
            <w:tcW w:w="1017" w:type="pct"/>
            <w:noWrap/>
          </w:tcPr>
          <w:p w14:paraId="6148027E"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-0.282 to -0.068</w:t>
            </w:r>
          </w:p>
        </w:tc>
      </w:tr>
      <w:tr w:rsidR="00CC3DDD" w:rsidRPr="008552AC" w14:paraId="2E371171" w14:textId="77777777" w:rsidTr="00CC3DDD">
        <w:trPr>
          <w:trHeight w:val="162"/>
        </w:trPr>
        <w:tc>
          <w:tcPr>
            <w:tcW w:w="2950" w:type="pct"/>
            <w:noWrap/>
          </w:tcPr>
          <w:p w14:paraId="353FD066" w14:textId="77777777" w:rsidR="00CC3DDD" w:rsidRPr="00B869F4" w:rsidRDefault="00CC3DDD" w:rsidP="00CC3DDD">
            <w:pPr>
              <w:rPr>
                <w:rFonts w:ascii="Garamond" w:eastAsia="Times New Roman" w:hAnsi="Garamond"/>
                <w:color w:val="000000"/>
                <w:sz w:val="22"/>
                <w:szCs w:val="22"/>
              </w:rPr>
            </w:pPr>
            <w:r w:rsidRPr="00B869F4">
              <w:rPr>
                <w:rFonts w:ascii="Garamond" w:eastAsia="Times New Roman" w:hAnsi="Garamond"/>
                <w:bCs/>
                <w:iCs/>
                <w:color w:val="000000"/>
                <w:sz w:val="22"/>
                <w:szCs w:val="22"/>
              </w:rPr>
              <w:t>Waist-hip ratio</w:t>
            </w:r>
          </w:p>
        </w:tc>
        <w:tc>
          <w:tcPr>
            <w:tcW w:w="1033" w:type="pct"/>
            <w:noWrap/>
          </w:tcPr>
          <w:p w14:paraId="6C2A9645" w14:textId="77777777" w:rsidR="00CC3DDD" w:rsidRPr="00BE7E99" w:rsidRDefault="00CC3DDD" w:rsidP="00CC3DDD">
            <w:pPr>
              <w:jc w:val="center"/>
              <w:rPr>
                <w:rFonts w:ascii="Garamond" w:eastAsia="Times New Roman" w:hAnsi="Garamond"/>
                <w:color w:val="000000"/>
                <w:sz w:val="22"/>
                <w:szCs w:val="22"/>
              </w:rPr>
            </w:pPr>
          </w:p>
        </w:tc>
        <w:tc>
          <w:tcPr>
            <w:tcW w:w="1017" w:type="pct"/>
            <w:noWrap/>
          </w:tcPr>
          <w:p w14:paraId="38D3BE44" w14:textId="77777777" w:rsidR="00CC3DDD" w:rsidRPr="008552AC" w:rsidRDefault="00CC3DDD" w:rsidP="00CC3DDD">
            <w:pPr>
              <w:jc w:val="center"/>
              <w:rPr>
                <w:rFonts w:ascii="Garamond" w:eastAsia="Times New Roman" w:hAnsi="Garamond"/>
                <w:color w:val="000000"/>
                <w:sz w:val="22"/>
                <w:szCs w:val="22"/>
              </w:rPr>
            </w:pPr>
          </w:p>
        </w:tc>
      </w:tr>
      <w:tr w:rsidR="00CC3DDD" w:rsidRPr="008552AC" w14:paraId="315AD59C" w14:textId="77777777" w:rsidTr="00CC3DDD">
        <w:trPr>
          <w:trHeight w:val="162"/>
        </w:trPr>
        <w:tc>
          <w:tcPr>
            <w:tcW w:w="2950" w:type="pct"/>
            <w:noWrap/>
            <w:hideMark/>
          </w:tcPr>
          <w:p w14:paraId="11A4F49F"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00491FB4"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-0.17</w:t>
            </w:r>
            <w:r>
              <w:rPr>
                <w:rFonts w:ascii="Garamond" w:eastAsia="Times New Roman" w:hAnsi="Garamond"/>
                <w:color w:val="000000"/>
                <w:sz w:val="22"/>
                <w:szCs w:val="22"/>
              </w:rPr>
              <w:t>0</w:t>
            </w:r>
            <w:r w:rsidRPr="00BE7E99">
              <w:rPr>
                <w:rFonts w:ascii="Garamond" w:eastAsia="Times New Roman" w:hAnsi="Garamond"/>
                <w:color w:val="000000"/>
                <w:sz w:val="22"/>
                <w:szCs w:val="22"/>
              </w:rPr>
              <w:t>***</w:t>
            </w:r>
          </w:p>
        </w:tc>
        <w:tc>
          <w:tcPr>
            <w:tcW w:w="1017" w:type="pct"/>
            <w:noWrap/>
            <w:hideMark/>
          </w:tcPr>
          <w:p w14:paraId="1051E8C0" w14:textId="77777777" w:rsidR="00CC3DDD" w:rsidRPr="008552AC" w:rsidRDefault="00CC3DDD" w:rsidP="00CC3DDD">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w:t>
            </w:r>
            <w:r>
              <w:rPr>
                <w:rFonts w:ascii="Garamond" w:eastAsia="Times New Roman" w:hAnsi="Garamond"/>
                <w:color w:val="000000"/>
                <w:sz w:val="22"/>
                <w:szCs w:val="22"/>
              </w:rPr>
              <w:t>249 to -0</w:t>
            </w:r>
            <w:r w:rsidRPr="008552AC">
              <w:rPr>
                <w:rFonts w:ascii="Garamond" w:eastAsia="Times New Roman" w:hAnsi="Garamond"/>
                <w:color w:val="000000"/>
                <w:sz w:val="22"/>
                <w:szCs w:val="22"/>
              </w:rPr>
              <w:t>.0</w:t>
            </w:r>
            <w:r>
              <w:rPr>
                <w:rFonts w:ascii="Garamond" w:eastAsia="Times New Roman" w:hAnsi="Garamond"/>
                <w:color w:val="000000"/>
                <w:sz w:val="22"/>
                <w:szCs w:val="22"/>
              </w:rPr>
              <w:t>91</w:t>
            </w:r>
          </w:p>
        </w:tc>
      </w:tr>
      <w:tr w:rsidR="00CC3DDD" w:rsidRPr="008552AC" w14:paraId="2249E6C5" w14:textId="77777777" w:rsidTr="00CC3DDD">
        <w:trPr>
          <w:trHeight w:val="135"/>
        </w:trPr>
        <w:tc>
          <w:tcPr>
            <w:tcW w:w="2950" w:type="pct"/>
            <w:noWrap/>
          </w:tcPr>
          <w:p w14:paraId="04C18AF0"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0FFBC6E6"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-0.266***#</w:t>
            </w:r>
          </w:p>
        </w:tc>
        <w:tc>
          <w:tcPr>
            <w:tcW w:w="1017" w:type="pct"/>
            <w:noWrap/>
          </w:tcPr>
          <w:p w14:paraId="490A1163"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-0.348 to -0.185</w:t>
            </w:r>
          </w:p>
        </w:tc>
      </w:tr>
      <w:tr w:rsidR="00CC3DDD" w14:paraId="18C858F5" w14:textId="77777777" w:rsidTr="00CC3DDD">
        <w:trPr>
          <w:trHeight w:val="300"/>
        </w:trPr>
        <w:tc>
          <w:tcPr>
            <w:tcW w:w="2950" w:type="pct"/>
            <w:noWrap/>
          </w:tcPr>
          <w:p w14:paraId="0826EB50" w14:textId="77777777" w:rsidR="00CC3DDD" w:rsidRPr="00B869F4" w:rsidRDefault="00CC3DDD" w:rsidP="00CC3DDD">
            <w:pPr>
              <w:rPr>
                <w:rFonts w:ascii="Garamond" w:eastAsia="Times New Roman" w:hAnsi="Garamond"/>
                <w:color w:val="000000"/>
                <w:sz w:val="22"/>
                <w:szCs w:val="22"/>
              </w:rPr>
            </w:pPr>
            <w:r w:rsidRPr="00B869F4">
              <w:rPr>
                <w:rFonts w:ascii="Garamond" w:eastAsia="Times New Roman" w:hAnsi="Garamond"/>
                <w:bCs/>
                <w:iCs/>
                <w:color w:val="000000"/>
                <w:sz w:val="22"/>
                <w:szCs w:val="22"/>
              </w:rPr>
              <w:t>Systolic blood pressure</w:t>
            </w:r>
          </w:p>
        </w:tc>
        <w:tc>
          <w:tcPr>
            <w:tcW w:w="1033" w:type="pct"/>
            <w:noWrap/>
          </w:tcPr>
          <w:p w14:paraId="581E0413" w14:textId="77777777" w:rsidR="00CC3DDD" w:rsidRPr="008552AC" w:rsidRDefault="00CC3DDD" w:rsidP="00CC3DDD">
            <w:pPr>
              <w:jc w:val="center"/>
              <w:rPr>
                <w:rFonts w:ascii="Garamond" w:eastAsia="Times New Roman" w:hAnsi="Garamond"/>
                <w:color w:val="000000"/>
                <w:sz w:val="22"/>
                <w:szCs w:val="22"/>
              </w:rPr>
            </w:pPr>
          </w:p>
        </w:tc>
        <w:tc>
          <w:tcPr>
            <w:tcW w:w="1017" w:type="pct"/>
            <w:noWrap/>
          </w:tcPr>
          <w:p w14:paraId="128F2698" w14:textId="77777777" w:rsidR="00CC3DDD" w:rsidRDefault="00CC3DDD" w:rsidP="00CC3DDD">
            <w:pPr>
              <w:jc w:val="center"/>
              <w:rPr>
                <w:rFonts w:ascii="Garamond" w:eastAsia="Times New Roman" w:hAnsi="Garamond"/>
                <w:color w:val="000000"/>
                <w:sz w:val="22"/>
                <w:szCs w:val="22"/>
              </w:rPr>
            </w:pPr>
          </w:p>
        </w:tc>
      </w:tr>
      <w:tr w:rsidR="00CC3DDD" w:rsidRPr="008552AC" w14:paraId="2EADD517" w14:textId="77777777" w:rsidTr="00CC3DDD">
        <w:trPr>
          <w:trHeight w:val="300"/>
        </w:trPr>
        <w:tc>
          <w:tcPr>
            <w:tcW w:w="2950" w:type="pct"/>
            <w:noWrap/>
            <w:hideMark/>
          </w:tcPr>
          <w:p w14:paraId="59096A45"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593ECCE8"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-0.031</w:t>
            </w:r>
          </w:p>
        </w:tc>
        <w:tc>
          <w:tcPr>
            <w:tcW w:w="1017" w:type="pct"/>
            <w:noWrap/>
            <w:hideMark/>
          </w:tcPr>
          <w:p w14:paraId="5947B313"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-0.138 to 0</w:t>
            </w:r>
            <w:r w:rsidRPr="008552AC">
              <w:rPr>
                <w:rFonts w:ascii="Garamond" w:eastAsia="Times New Roman" w:hAnsi="Garamond"/>
                <w:color w:val="000000"/>
                <w:sz w:val="22"/>
                <w:szCs w:val="22"/>
              </w:rPr>
              <w:t>.</w:t>
            </w:r>
            <w:r>
              <w:rPr>
                <w:rFonts w:ascii="Garamond" w:eastAsia="Times New Roman" w:hAnsi="Garamond"/>
                <w:color w:val="000000"/>
                <w:sz w:val="22"/>
                <w:szCs w:val="22"/>
              </w:rPr>
              <w:t>075</w:t>
            </w:r>
          </w:p>
        </w:tc>
      </w:tr>
      <w:tr w:rsidR="00CC3DDD" w14:paraId="7BF7767F" w14:textId="77777777" w:rsidTr="00CC3DDD">
        <w:trPr>
          <w:trHeight w:val="300"/>
        </w:trPr>
        <w:tc>
          <w:tcPr>
            <w:tcW w:w="2950" w:type="pct"/>
            <w:noWrap/>
          </w:tcPr>
          <w:p w14:paraId="5DD4B07D"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4383A325"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-0.168**</w:t>
            </w:r>
          </w:p>
        </w:tc>
        <w:tc>
          <w:tcPr>
            <w:tcW w:w="1017" w:type="pct"/>
            <w:noWrap/>
          </w:tcPr>
          <w:p w14:paraId="2C16A653" w14:textId="77777777" w:rsidR="00CC3DDD"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-0.279 to -0.056</w:t>
            </w:r>
          </w:p>
        </w:tc>
      </w:tr>
      <w:tr w:rsidR="00CC3DDD" w:rsidRPr="008552AC" w14:paraId="46008441" w14:textId="77777777" w:rsidTr="00CC3DDD">
        <w:trPr>
          <w:trHeight w:val="300"/>
        </w:trPr>
        <w:tc>
          <w:tcPr>
            <w:tcW w:w="5000" w:type="pct"/>
            <w:gridSpan w:val="3"/>
            <w:noWrap/>
            <w:hideMark/>
          </w:tcPr>
          <w:p w14:paraId="5F89D6C1"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Diastolic blood pressure</w:t>
            </w:r>
          </w:p>
        </w:tc>
      </w:tr>
      <w:tr w:rsidR="00CC3DDD" w:rsidRPr="008552AC" w14:paraId="6EDA9260" w14:textId="77777777" w:rsidTr="00CC3DDD">
        <w:trPr>
          <w:trHeight w:val="300"/>
        </w:trPr>
        <w:tc>
          <w:tcPr>
            <w:tcW w:w="2950" w:type="pct"/>
            <w:noWrap/>
            <w:hideMark/>
          </w:tcPr>
          <w:p w14:paraId="1CDE78CC"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1DCCF304"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-0.064</w:t>
            </w:r>
          </w:p>
        </w:tc>
        <w:tc>
          <w:tcPr>
            <w:tcW w:w="1017" w:type="pct"/>
            <w:noWrap/>
            <w:hideMark/>
          </w:tcPr>
          <w:p w14:paraId="5A93B02D"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-0.167 to 0</w:t>
            </w:r>
            <w:r w:rsidRPr="008552AC">
              <w:rPr>
                <w:rFonts w:ascii="Garamond" w:eastAsia="Times New Roman" w:hAnsi="Garamond"/>
                <w:color w:val="000000"/>
                <w:sz w:val="22"/>
                <w:szCs w:val="22"/>
              </w:rPr>
              <w:t>.</w:t>
            </w:r>
            <w:r>
              <w:rPr>
                <w:rFonts w:ascii="Garamond" w:eastAsia="Times New Roman" w:hAnsi="Garamond"/>
                <w:color w:val="000000"/>
                <w:sz w:val="22"/>
                <w:szCs w:val="22"/>
              </w:rPr>
              <w:t>038</w:t>
            </w:r>
          </w:p>
        </w:tc>
      </w:tr>
      <w:tr w:rsidR="00CC3DDD" w14:paraId="0D880BDA" w14:textId="77777777" w:rsidTr="00CC3DDD">
        <w:trPr>
          <w:trHeight w:val="300"/>
        </w:trPr>
        <w:tc>
          <w:tcPr>
            <w:tcW w:w="2950" w:type="pct"/>
            <w:noWrap/>
          </w:tcPr>
          <w:p w14:paraId="522E5985"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572D2BD7"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-0.161**</w:t>
            </w:r>
            <w:r>
              <w:rPr>
                <w:rFonts w:ascii="Garamond" w:eastAsia="Times New Roman" w:hAnsi="Garamond"/>
                <w:color w:val="000000"/>
                <w:sz w:val="22"/>
                <w:szCs w:val="22"/>
              </w:rPr>
              <w:t>*</w:t>
            </w:r>
            <w:r w:rsidRPr="00BE7E99">
              <w:rPr>
                <w:rFonts w:ascii="Garamond" w:eastAsia="Times New Roman" w:hAnsi="Garamond"/>
                <w:color w:val="000000"/>
                <w:sz w:val="22"/>
                <w:szCs w:val="22"/>
              </w:rPr>
              <w:t>#</w:t>
            </w:r>
          </w:p>
        </w:tc>
        <w:tc>
          <w:tcPr>
            <w:tcW w:w="1017" w:type="pct"/>
            <w:noWrap/>
          </w:tcPr>
          <w:p w14:paraId="7AF7BFDA" w14:textId="77777777" w:rsidR="00CC3DDD"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-0.269 to -0.054</w:t>
            </w:r>
          </w:p>
        </w:tc>
      </w:tr>
      <w:tr w:rsidR="00CC3DDD" w:rsidRPr="008552AC" w14:paraId="1BE2CFB5" w14:textId="77777777" w:rsidTr="00CC3DDD">
        <w:trPr>
          <w:trHeight w:val="300"/>
        </w:trPr>
        <w:tc>
          <w:tcPr>
            <w:tcW w:w="2950" w:type="pct"/>
            <w:noWrap/>
          </w:tcPr>
          <w:p w14:paraId="373B7533" w14:textId="77777777" w:rsidR="00CC3DDD" w:rsidRPr="00B869F4" w:rsidRDefault="00CC3DDD" w:rsidP="00CC3DDD">
            <w:pPr>
              <w:rPr>
                <w:rFonts w:ascii="Garamond" w:eastAsia="Times New Roman" w:hAnsi="Garamond"/>
                <w:color w:val="000000"/>
                <w:sz w:val="22"/>
                <w:szCs w:val="22"/>
              </w:rPr>
            </w:pPr>
            <w:r w:rsidRPr="00B869F4">
              <w:rPr>
                <w:rFonts w:ascii="Garamond" w:eastAsia="Times New Roman" w:hAnsi="Garamond"/>
                <w:bCs/>
                <w:iCs/>
                <w:color w:val="000000"/>
                <w:sz w:val="22"/>
                <w:szCs w:val="22"/>
              </w:rPr>
              <w:t>Blood glucose</w:t>
            </w:r>
          </w:p>
        </w:tc>
        <w:tc>
          <w:tcPr>
            <w:tcW w:w="1033" w:type="pct"/>
            <w:noWrap/>
          </w:tcPr>
          <w:p w14:paraId="7F0BF88B" w14:textId="77777777" w:rsidR="00CC3DDD" w:rsidRPr="008552AC" w:rsidRDefault="00CC3DDD" w:rsidP="00CC3DDD">
            <w:pPr>
              <w:jc w:val="center"/>
              <w:rPr>
                <w:rFonts w:ascii="Garamond" w:eastAsia="Times New Roman" w:hAnsi="Garamond"/>
                <w:color w:val="000000"/>
                <w:sz w:val="22"/>
                <w:szCs w:val="22"/>
              </w:rPr>
            </w:pPr>
          </w:p>
        </w:tc>
        <w:tc>
          <w:tcPr>
            <w:tcW w:w="1017" w:type="pct"/>
            <w:noWrap/>
          </w:tcPr>
          <w:p w14:paraId="094AF698" w14:textId="77777777" w:rsidR="00CC3DDD" w:rsidRPr="008552AC" w:rsidRDefault="00CC3DDD" w:rsidP="00CC3DDD">
            <w:pPr>
              <w:jc w:val="center"/>
              <w:rPr>
                <w:rFonts w:ascii="Garamond" w:eastAsia="Times New Roman" w:hAnsi="Garamond"/>
                <w:color w:val="000000"/>
                <w:sz w:val="22"/>
                <w:szCs w:val="22"/>
              </w:rPr>
            </w:pPr>
          </w:p>
        </w:tc>
      </w:tr>
      <w:tr w:rsidR="00CC3DDD" w:rsidRPr="008552AC" w14:paraId="2D91E1BD" w14:textId="77777777" w:rsidTr="00CC3DDD">
        <w:trPr>
          <w:trHeight w:val="300"/>
        </w:trPr>
        <w:tc>
          <w:tcPr>
            <w:tcW w:w="2950" w:type="pct"/>
            <w:noWrap/>
            <w:hideMark/>
          </w:tcPr>
          <w:p w14:paraId="674705DA"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2AB877C1"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-0.22</w:t>
            </w:r>
            <w:r>
              <w:rPr>
                <w:rFonts w:ascii="Garamond" w:eastAsia="Times New Roman" w:hAnsi="Garamond"/>
                <w:color w:val="000000"/>
                <w:sz w:val="22"/>
                <w:szCs w:val="22"/>
              </w:rPr>
              <w:t>2</w:t>
            </w:r>
            <w:r w:rsidRPr="00BE7E99">
              <w:rPr>
                <w:rFonts w:ascii="Garamond" w:eastAsia="Times New Roman" w:hAnsi="Garamond"/>
                <w:color w:val="000000"/>
                <w:sz w:val="22"/>
                <w:szCs w:val="22"/>
              </w:rPr>
              <w:t>***#</w:t>
            </w:r>
          </w:p>
        </w:tc>
        <w:tc>
          <w:tcPr>
            <w:tcW w:w="1017" w:type="pct"/>
            <w:noWrap/>
            <w:hideMark/>
          </w:tcPr>
          <w:p w14:paraId="01D6EEC0" w14:textId="77777777" w:rsidR="00CC3DDD" w:rsidRPr="008552AC" w:rsidRDefault="00CC3DDD" w:rsidP="00CC3DDD">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w:t>
            </w:r>
            <w:r>
              <w:rPr>
                <w:rFonts w:ascii="Garamond" w:eastAsia="Times New Roman" w:hAnsi="Garamond"/>
                <w:color w:val="000000"/>
                <w:sz w:val="22"/>
                <w:szCs w:val="22"/>
              </w:rPr>
              <w:t>332 to -0.108</w:t>
            </w:r>
          </w:p>
        </w:tc>
      </w:tr>
      <w:tr w:rsidR="00CC3DDD" w:rsidRPr="008552AC" w14:paraId="15528124" w14:textId="77777777" w:rsidTr="00CC3DDD">
        <w:trPr>
          <w:trHeight w:val="300"/>
        </w:trPr>
        <w:tc>
          <w:tcPr>
            <w:tcW w:w="2950" w:type="pct"/>
            <w:noWrap/>
          </w:tcPr>
          <w:p w14:paraId="508DED06"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6FCAD618"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-0.319***#</w:t>
            </w:r>
          </w:p>
        </w:tc>
        <w:tc>
          <w:tcPr>
            <w:tcW w:w="1017" w:type="pct"/>
            <w:noWrap/>
          </w:tcPr>
          <w:p w14:paraId="53844B88"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-0.436 to -0.202</w:t>
            </w:r>
          </w:p>
        </w:tc>
      </w:tr>
      <w:tr w:rsidR="00CC3DDD" w:rsidRPr="008552AC" w14:paraId="09261949" w14:textId="77777777" w:rsidTr="00CC3DDD">
        <w:trPr>
          <w:trHeight w:val="300"/>
        </w:trPr>
        <w:tc>
          <w:tcPr>
            <w:tcW w:w="5000" w:type="pct"/>
            <w:gridSpan w:val="3"/>
            <w:noWrap/>
            <w:hideMark/>
          </w:tcPr>
          <w:p w14:paraId="193108AA"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Total cholesterol </w:t>
            </w:r>
          </w:p>
        </w:tc>
      </w:tr>
      <w:tr w:rsidR="00CC3DDD" w:rsidRPr="008552AC" w14:paraId="3664369C" w14:textId="77777777" w:rsidTr="00CC3DDD">
        <w:trPr>
          <w:trHeight w:val="300"/>
        </w:trPr>
        <w:tc>
          <w:tcPr>
            <w:tcW w:w="2950" w:type="pct"/>
            <w:noWrap/>
            <w:hideMark/>
          </w:tcPr>
          <w:p w14:paraId="15A4A97D"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6906DB14"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0.136**</w:t>
            </w:r>
          </w:p>
        </w:tc>
        <w:tc>
          <w:tcPr>
            <w:tcW w:w="1017" w:type="pct"/>
            <w:noWrap/>
            <w:hideMark/>
          </w:tcPr>
          <w:p w14:paraId="470F70B9"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0.036 to 0.236</w:t>
            </w:r>
          </w:p>
        </w:tc>
      </w:tr>
      <w:tr w:rsidR="00CC3DDD" w:rsidRPr="008552AC" w14:paraId="1A5D383E" w14:textId="77777777" w:rsidTr="00CC3DDD">
        <w:trPr>
          <w:trHeight w:val="300"/>
        </w:trPr>
        <w:tc>
          <w:tcPr>
            <w:tcW w:w="2950" w:type="pct"/>
            <w:noWrap/>
          </w:tcPr>
          <w:p w14:paraId="3D8FCA80"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50586372"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0.102</w:t>
            </w:r>
          </w:p>
        </w:tc>
        <w:tc>
          <w:tcPr>
            <w:tcW w:w="1017" w:type="pct"/>
            <w:noWrap/>
          </w:tcPr>
          <w:p w14:paraId="69EBE92C"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-0.002 to 0.207</w:t>
            </w:r>
          </w:p>
        </w:tc>
      </w:tr>
      <w:tr w:rsidR="00CC3DDD" w:rsidRPr="008552AC" w14:paraId="07DEBAC8" w14:textId="77777777" w:rsidTr="00CC3DDD">
        <w:trPr>
          <w:trHeight w:val="300"/>
        </w:trPr>
        <w:tc>
          <w:tcPr>
            <w:tcW w:w="5000" w:type="pct"/>
            <w:gridSpan w:val="3"/>
            <w:noWrap/>
            <w:hideMark/>
          </w:tcPr>
          <w:p w14:paraId="054374A6"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Cholesterol HDL  </w:t>
            </w:r>
          </w:p>
        </w:tc>
      </w:tr>
      <w:tr w:rsidR="00CC3DDD" w:rsidRPr="008552AC" w14:paraId="4F3B77BD" w14:textId="77777777" w:rsidTr="00CC3DDD">
        <w:trPr>
          <w:trHeight w:val="270"/>
        </w:trPr>
        <w:tc>
          <w:tcPr>
            <w:tcW w:w="2950" w:type="pct"/>
            <w:noWrap/>
            <w:hideMark/>
          </w:tcPr>
          <w:p w14:paraId="06B04029"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329A0C88"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0.249***#</w:t>
            </w:r>
          </w:p>
        </w:tc>
        <w:tc>
          <w:tcPr>
            <w:tcW w:w="1017" w:type="pct"/>
            <w:noWrap/>
            <w:hideMark/>
          </w:tcPr>
          <w:p w14:paraId="5ADF9A9E"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0.146 to 0</w:t>
            </w:r>
            <w:r w:rsidRPr="008552AC">
              <w:rPr>
                <w:rFonts w:ascii="Garamond" w:eastAsia="Times New Roman" w:hAnsi="Garamond"/>
                <w:color w:val="000000"/>
                <w:sz w:val="22"/>
                <w:szCs w:val="22"/>
              </w:rPr>
              <w:t>.</w:t>
            </w:r>
            <w:r>
              <w:rPr>
                <w:rFonts w:ascii="Garamond" w:eastAsia="Times New Roman" w:hAnsi="Garamond"/>
                <w:color w:val="000000"/>
                <w:sz w:val="22"/>
                <w:szCs w:val="22"/>
              </w:rPr>
              <w:t>352</w:t>
            </w:r>
          </w:p>
        </w:tc>
      </w:tr>
      <w:tr w:rsidR="00CC3DDD" w:rsidRPr="008552AC" w14:paraId="3739011F" w14:textId="77777777" w:rsidTr="00CC3DDD">
        <w:trPr>
          <w:trHeight w:val="300"/>
        </w:trPr>
        <w:tc>
          <w:tcPr>
            <w:tcW w:w="2950" w:type="pct"/>
            <w:noWrap/>
          </w:tcPr>
          <w:p w14:paraId="376D6D6B"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7C0B80F4"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0.289***#</w:t>
            </w:r>
          </w:p>
        </w:tc>
        <w:tc>
          <w:tcPr>
            <w:tcW w:w="1017" w:type="pct"/>
            <w:noWrap/>
          </w:tcPr>
          <w:p w14:paraId="605EFDBC"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0.181 to 0.397</w:t>
            </w:r>
          </w:p>
        </w:tc>
      </w:tr>
      <w:tr w:rsidR="00CC3DDD" w:rsidRPr="008552AC" w14:paraId="36356C1D" w14:textId="77777777" w:rsidTr="00CC3DDD">
        <w:trPr>
          <w:trHeight w:val="300"/>
        </w:trPr>
        <w:tc>
          <w:tcPr>
            <w:tcW w:w="5000" w:type="pct"/>
            <w:gridSpan w:val="3"/>
            <w:noWrap/>
            <w:hideMark/>
          </w:tcPr>
          <w:p w14:paraId="20ECC45A"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Triglycerides  </w:t>
            </w:r>
          </w:p>
        </w:tc>
      </w:tr>
      <w:tr w:rsidR="00CC3DDD" w:rsidRPr="008552AC" w14:paraId="5751F7BB" w14:textId="77777777" w:rsidTr="00CC3DDD">
        <w:trPr>
          <w:trHeight w:val="300"/>
        </w:trPr>
        <w:tc>
          <w:tcPr>
            <w:tcW w:w="2950" w:type="pct"/>
            <w:noWrap/>
            <w:hideMark/>
          </w:tcPr>
          <w:p w14:paraId="3A816FF3"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12B087D6"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-0.132**</w:t>
            </w:r>
          </w:p>
        </w:tc>
        <w:tc>
          <w:tcPr>
            <w:tcW w:w="1017" w:type="pct"/>
            <w:noWrap/>
            <w:hideMark/>
          </w:tcPr>
          <w:p w14:paraId="1957C5F5"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-0.230 to -0</w:t>
            </w:r>
            <w:r w:rsidRPr="008552AC">
              <w:rPr>
                <w:rFonts w:ascii="Garamond" w:eastAsia="Times New Roman" w:hAnsi="Garamond"/>
                <w:color w:val="000000"/>
                <w:sz w:val="22"/>
                <w:szCs w:val="22"/>
              </w:rPr>
              <w:t>.0</w:t>
            </w:r>
            <w:r>
              <w:rPr>
                <w:rFonts w:ascii="Garamond" w:eastAsia="Times New Roman" w:hAnsi="Garamond"/>
                <w:color w:val="000000"/>
                <w:sz w:val="22"/>
                <w:szCs w:val="22"/>
              </w:rPr>
              <w:t>34</w:t>
            </w:r>
          </w:p>
        </w:tc>
      </w:tr>
      <w:tr w:rsidR="00CC3DDD" w14:paraId="4FE9EA89" w14:textId="77777777" w:rsidTr="00CC3DDD">
        <w:trPr>
          <w:trHeight w:val="300"/>
        </w:trPr>
        <w:tc>
          <w:tcPr>
            <w:tcW w:w="2950" w:type="pct"/>
            <w:noWrap/>
          </w:tcPr>
          <w:p w14:paraId="7E99B5D1"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69E120EA"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-0.211***#</w:t>
            </w:r>
          </w:p>
        </w:tc>
        <w:tc>
          <w:tcPr>
            <w:tcW w:w="1017" w:type="pct"/>
            <w:noWrap/>
          </w:tcPr>
          <w:p w14:paraId="7CB892F0" w14:textId="77777777" w:rsidR="00CC3DDD"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-0.313 to -0.109</w:t>
            </w:r>
          </w:p>
        </w:tc>
      </w:tr>
      <w:tr w:rsidR="00CC3DDD" w:rsidRPr="008552AC" w14:paraId="73540F7A" w14:textId="77777777" w:rsidTr="00CC3DDD">
        <w:trPr>
          <w:trHeight w:val="135"/>
        </w:trPr>
        <w:tc>
          <w:tcPr>
            <w:tcW w:w="5000" w:type="pct"/>
            <w:gridSpan w:val="3"/>
            <w:noWrap/>
            <w:hideMark/>
          </w:tcPr>
          <w:p w14:paraId="5BD77298"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Gamma GT </w:t>
            </w:r>
          </w:p>
        </w:tc>
      </w:tr>
      <w:tr w:rsidR="00CC3DDD" w:rsidRPr="008552AC" w14:paraId="5F1F4B79" w14:textId="77777777" w:rsidTr="00CC3DDD">
        <w:trPr>
          <w:trHeight w:val="300"/>
        </w:trPr>
        <w:tc>
          <w:tcPr>
            <w:tcW w:w="2950" w:type="pct"/>
            <w:noWrap/>
            <w:hideMark/>
          </w:tcPr>
          <w:p w14:paraId="7AE2A87D"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6466B646"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-0.026</w:t>
            </w:r>
          </w:p>
        </w:tc>
        <w:tc>
          <w:tcPr>
            <w:tcW w:w="1017" w:type="pct"/>
            <w:noWrap/>
            <w:hideMark/>
          </w:tcPr>
          <w:p w14:paraId="536B86CD" w14:textId="77777777" w:rsidR="00CC3DDD" w:rsidRPr="008552AC" w:rsidRDefault="00CC3DDD" w:rsidP="00CC3DDD">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w:t>
            </w:r>
            <w:r>
              <w:rPr>
                <w:rFonts w:ascii="Garamond" w:eastAsia="Times New Roman" w:hAnsi="Garamond"/>
                <w:color w:val="000000"/>
                <w:sz w:val="22"/>
                <w:szCs w:val="22"/>
              </w:rPr>
              <w:t>128 to 0</w:t>
            </w:r>
            <w:r w:rsidRPr="008552AC">
              <w:rPr>
                <w:rFonts w:ascii="Garamond" w:eastAsia="Times New Roman" w:hAnsi="Garamond"/>
                <w:color w:val="000000"/>
                <w:sz w:val="22"/>
                <w:szCs w:val="22"/>
              </w:rPr>
              <w:t>.0</w:t>
            </w:r>
            <w:r>
              <w:rPr>
                <w:rFonts w:ascii="Garamond" w:eastAsia="Times New Roman" w:hAnsi="Garamond"/>
                <w:color w:val="000000"/>
                <w:sz w:val="22"/>
                <w:szCs w:val="22"/>
              </w:rPr>
              <w:t>74</w:t>
            </w:r>
          </w:p>
        </w:tc>
      </w:tr>
      <w:tr w:rsidR="00CC3DDD" w:rsidRPr="008552AC" w14:paraId="695559FD" w14:textId="77777777" w:rsidTr="00CC3DDD">
        <w:trPr>
          <w:trHeight w:val="300"/>
        </w:trPr>
        <w:tc>
          <w:tcPr>
            <w:tcW w:w="2950" w:type="pct"/>
            <w:noWrap/>
          </w:tcPr>
          <w:p w14:paraId="4E9F5B77"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5284BD65"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-0.167**</w:t>
            </w:r>
          </w:p>
        </w:tc>
        <w:tc>
          <w:tcPr>
            <w:tcW w:w="1017" w:type="pct"/>
            <w:noWrap/>
          </w:tcPr>
          <w:p w14:paraId="4962AB60"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-0.273 to -0.061</w:t>
            </w:r>
          </w:p>
        </w:tc>
      </w:tr>
      <w:tr w:rsidR="00CC3DDD" w:rsidRPr="008552AC" w14:paraId="26C52713" w14:textId="77777777" w:rsidTr="00CC3DDD">
        <w:trPr>
          <w:trHeight w:val="300"/>
        </w:trPr>
        <w:tc>
          <w:tcPr>
            <w:tcW w:w="5000" w:type="pct"/>
            <w:gridSpan w:val="3"/>
            <w:noWrap/>
            <w:hideMark/>
          </w:tcPr>
          <w:p w14:paraId="0A6A3021"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Transaminase </w:t>
            </w:r>
          </w:p>
        </w:tc>
      </w:tr>
      <w:tr w:rsidR="00CC3DDD" w:rsidRPr="008552AC" w14:paraId="3AE36991" w14:textId="77777777" w:rsidTr="00CC3DDD">
        <w:trPr>
          <w:trHeight w:val="300"/>
        </w:trPr>
        <w:tc>
          <w:tcPr>
            <w:tcW w:w="2950" w:type="pct"/>
            <w:noWrap/>
            <w:hideMark/>
          </w:tcPr>
          <w:p w14:paraId="7478C982"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58D7769D"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0.012</w:t>
            </w:r>
          </w:p>
        </w:tc>
        <w:tc>
          <w:tcPr>
            <w:tcW w:w="1017" w:type="pct"/>
            <w:noWrap/>
            <w:hideMark/>
          </w:tcPr>
          <w:p w14:paraId="5CEE3E93" w14:textId="77777777" w:rsidR="00CC3DDD" w:rsidRPr="008552AC" w:rsidRDefault="00CC3DDD" w:rsidP="00CC3DDD">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w:t>
            </w:r>
            <w:r>
              <w:rPr>
                <w:rFonts w:ascii="Garamond" w:eastAsia="Times New Roman" w:hAnsi="Garamond"/>
                <w:color w:val="000000"/>
                <w:sz w:val="22"/>
                <w:szCs w:val="22"/>
              </w:rPr>
              <w:t>84 to 0</w:t>
            </w:r>
            <w:r w:rsidRPr="008552AC">
              <w:rPr>
                <w:rFonts w:ascii="Garamond" w:eastAsia="Times New Roman" w:hAnsi="Garamond"/>
                <w:color w:val="000000"/>
                <w:sz w:val="22"/>
                <w:szCs w:val="22"/>
              </w:rPr>
              <w:t>.</w:t>
            </w:r>
            <w:r>
              <w:rPr>
                <w:rFonts w:ascii="Garamond" w:eastAsia="Times New Roman" w:hAnsi="Garamond"/>
                <w:color w:val="000000"/>
                <w:sz w:val="22"/>
                <w:szCs w:val="22"/>
              </w:rPr>
              <w:t>108</w:t>
            </w:r>
          </w:p>
        </w:tc>
      </w:tr>
      <w:tr w:rsidR="00CC3DDD" w:rsidRPr="008552AC" w14:paraId="56BF9EC1" w14:textId="77777777" w:rsidTr="00CC3DDD">
        <w:trPr>
          <w:trHeight w:val="300"/>
        </w:trPr>
        <w:tc>
          <w:tcPr>
            <w:tcW w:w="2950" w:type="pct"/>
            <w:noWrap/>
          </w:tcPr>
          <w:p w14:paraId="4155A330"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0D62352B"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-0.094</w:t>
            </w:r>
          </w:p>
        </w:tc>
        <w:tc>
          <w:tcPr>
            <w:tcW w:w="1017" w:type="pct"/>
            <w:noWrap/>
          </w:tcPr>
          <w:p w14:paraId="0B9E661A"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-0.194 to 0.006</w:t>
            </w:r>
          </w:p>
        </w:tc>
      </w:tr>
      <w:tr w:rsidR="00CC3DDD" w:rsidRPr="008552AC" w14:paraId="22A3C217" w14:textId="77777777" w:rsidTr="00CC3DDD">
        <w:trPr>
          <w:trHeight w:val="300"/>
        </w:trPr>
        <w:tc>
          <w:tcPr>
            <w:tcW w:w="5000" w:type="pct"/>
            <w:gridSpan w:val="3"/>
            <w:noWrap/>
            <w:hideMark/>
          </w:tcPr>
          <w:p w14:paraId="103A2B82"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Creatinine </w:t>
            </w:r>
          </w:p>
        </w:tc>
      </w:tr>
      <w:tr w:rsidR="00CC3DDD" w:rsidRPr="008552AC" w14:paraId="3CF60433" w14:textId="77777777" w:rsidTr="00CC3DDD">
        <w:trPr>
          <w:trHeight w:val="300"/>
        </w:trPr>
        <w:tc>
          <w:tcPr>
            <w:tcW w:w="2950" w:type="pct"/>
            <w:noWrap/>
            <w:hideMark/>
          </w:tcPr>
          <w:p w14:paraId="7F59B81B"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2FF8D627"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w:t>
            </w:r>
            <w:r>
              <w:rPr>
                <w:rFonts w:ascii="Garamond" w:eastAsia="Times New Roman" w:hAnsi="Garamond"/>
                <w:color w:val="000000"/>
                <w:sz w:val="22"/>
                <w:szCs w:val="22"/>
              </w:rPr>
              <w:t>87</w:t>
            </w:r>
            <w:r w:rsidRPr="00BE7E99">
              <w:rPr>
                <w:rFonts w:ascii="Garamond" w:eastAsia="Times New Roman" w:hAnsi="Garamond"/>
                <w:color w:val="000000"/>
                <w:sz w:val="22"/>
                <w:szCs w:val="22"/>
              </w:rPr>
              <w:t>*</w:t>
            </w:r>
          </w:p>
        </w:tc>
        <w:tc>
          <w:tcPr>
            <w:tcW w:w="1017" w:type="pct"/>
            <w:noWrap/>
            <w:hideMark/>
          </w:tcPr>
          <w:p w14:paraId="783C50D5" w14:textId="77777777" w:rsidR="00CC3DDD" w:rsidRPr="008552AC" w:rsidRDefault="00CC3DDD" w:rsidP="00CC3DDD">
            <w:pPr>
              <w:rPr>
                <w:rFonts w:ascii="Garamond" w:eastAsia="Times New Roman" w:hAnsi="Garamond"/>
                <w:color w:val="000000"/>
                <w:sz w:val="22"/>
                <w:szCs w:val="22"/>
              </w:rPr>
            </w:pPr>
            <w:r w:rsidRPr="008552AC">
              <w:rPr>
                <w:rFonts w:ascii="Garamond" w:eastAsia="Times New Roman" w:hAnsi="Garamond"/>
                <w:color w:val="000000"/>
                <w:sz w:val="22"/>
                <w:szCs w:val="22"/>
              </w:rPr>
              <w:t xml:space="preserve"> </w:t>
            </w:r>
            <w:r>
              <w:rPr>
                <w:rFonts w:ascii="Garamond" w:eastAsia="Times New Roman" w:hAnsi="Garamond"/>
                <w:color w:val="000000"/>
                <w:sz w:val="22"/>
                <w:szCs w:val="22"/>
              </w:rPr>
              <w:t>0.002 to 0</w:t>
            </w:r>
            <w:r w:rsidRPr="008552AC">
              <w:rPr>
                <w:rFonts w:ascii="Garamond" w:eastAsia="Times New Roman" w:hAnsi="Garamond"/>
                <w:color w:val="000000"/>
                <w:sz w:val="22"/>
                <w:szCs w:val="22"/>
              </w:rPr>
              <w:t>.</w:t>
            </w:r>
            <w:r>
              <w:rPr>
                <w:rFonts w:ascii="Garamond" w:eastAsia="Times New Roman" w:hAnsi="Garamond"/>
                <w:color w:val="000000"/>
                <w:sz w:val="22"/>
                <w:szCs w:val="22"/>
              </w:rPr>
              <w:t>173</w:t>
            </w:r>
          </w:p>
        </w:tc>
      </w:tr>
      <w:tr w:rsidR="00CC3DDD" w:rsidRPr="008552AC" w14:paraId="13590643" w14:textId="77777777" w:rsidTr="00CC3DDD">
        <w:trPr>
          <w:trHeight w:val="300"/>
        </w:trPr>
        <w:tc>
          <w:tcPr>
            <w:tcW w:w="2950" w:type="pct"/>
            <w:noWrap/>
          </w:tcPr>
          <w:p w14:paraId="450BE614"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74866707"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0.114*</w:t>
            </w:r>
          </w:p>
        </w:tc>
        <w:tc>
          <w:tcPr>
            <w:tcW w:w="1017" w:type="pct"/>
            <w:noWrap/>
          </w:tcPr>
          <w:p w14:paraId="632B689C"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0.025 to 0.203</w:t>
            </w:r>
          </w:p>
        </w:tc>
      </w:tr>
      <w:tr w:rsidR="00CC3DDD" w:rsidRPr="008552AC" w14:paraId="360FEB43" w14:textId="77777777" w:rsidTr="00CC3DDD">
        <w:trPr>
          <w:trHeight w:val="324"/>
        </w:trPr>
        <w:tc>
          <w:tcPr>
            <w:tcW w:w="5000" w:type="pct"/>
            <w:gridSpan w:val="3"/>
            <w:noWrap/>
            <w:hideMark/>
          </w:tcPr>
          <w:p w14:paraId="5951E6CB"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White cells </w:t>
            </w:r>
          </w:p>
        </w:tc>
      </w:tr>
      <w:tr w:rsidR="00CC3DDD" w:rsidRPr="008552AC" w14:paraId="1DAB3EC4" w14:textId="77777777" w:rsidTr="00CC3DDD">
        <w:trPr>
          <w:trHeight w:val="300"/>
        </w:trPr>
        <w:tc>
          <w:tcPr>
            <w:tcW w:w="2950" w:type="pct"/>
            <w:noWrap/>
            <w:hideMark/>
          </w:tcPr>
          <w:p w14:paraId="1BC14A4D"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614C2118"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-0.083</w:t>
            </w:r>
          </w:p>
        </w:tc>
        <w:tc>
          <w:tcPr>
            <w:tcW w:w="1017" w:type="pct"/>
            <w:noWrap/>
            <w:hideMark/>
          </w:tcPr>
          <w:p w14:paraId="409E8D9B" w14:textId="77777777" w:rsidR="00CC3DDD" w:rsidRPr="008552AC" w:rsidRDefault="00CC3DDD" w:rsidP="00CC3DDD">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0.184 to 0</w:t>
            </w:r>
            <w:r w:rsidRPr="008552AC">
              <w:rPr>
                <w:rFonts w:ascii="Garamond" w:eastAsia="Times New Roman" w:hAnsi="Garamond"/>
                <w:color w:val="000000"/>
                <w:sz w:val="22"/>
                <w:szCs w:val="22"/>
              </w:rPr>
              <w:t>.1</w:t>
            </w:r>
            <w:r>
              <w:rPr>
                <w:rFonts w:ascii="Garamond" w:eastAsia="Times New Roman" w:hAnsi="Garamond"/>
                <w:color w:val="000000"/>
                <w:sz w:val="22"/>
                <w:szCs w:val="22"/>
              </w:rPr>
              <w:t>83</w:t>
            </w:r>
          </w:p>
        </w:tc>
      </w:tr>
      <w:tr w:rsidR="00CC3DDD" w:rsidRPr="008552AC" w14:paraId="14570DE1" w14:textId="77777777" w:rsidTr="00CC3DDD">
        <w:trPr>
          <w:trHeight w:val="300"/>
        </w:trPr>
        <w:tc>
          <w:tcPr>
            <w:tcW w:w="2950" w:type="pct"/>
            <w:noWrap/>
          </w:tcPr>
          <w:p w14:paraId="4D93954E"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31D3C2B4"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-0.152**#</w:t>
            </w:r>
          </w:p>
        </w:tc>
        <w:tc>
          <w:tcPr>
            <w:tcW w:w="1017" w:type="pct"/>
            <w:noWrap/>
          </w:tcPr>
          <w:p w14:paraId="23E1466A"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-0.257 to -0.045</w:t>
            </w:r>
          </w:p>
        </w:tc>
      </w:tr>
      <w:tr w:rsidR="00CC3DDD" w:rsidRPr="008552AC" w14:paraId="4D6A534D" w14:textId="77777777" w:rsidTr="00CC3DDD">
        <w:trPr>
          <w:trHeight w:val="300"/>
        </w:trPr>
        <w:tc>
          <w:tcPr>
            <w:tcW w:w="5000" w:type="pct"/>
            <w:gridSpan w:val="3"/>
            <w:noWrap/>
            <w:hideMark/>
          </w:tcPr>
          <w:p w14:paraId="6ABC1B25"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lastRenderedPageBreak/>
              <w:t xml:space="preserve">Hemoglobin </w:t>
            </w:r>
          </w:p>
        </w:tc>
      </w:tr>
      <w:tr w:rsidR="00CC3DDD" w:rsidRPr="008552AC" w14:paraId="342E573F" w14:textId="77777777" w:rsidTr="00CC3DDD">
        <w:trPr>
          <w:trHeight w:val="153"/>
        </w:trPr>
        <w:tc>
          <w:tcPr>
            <w:tcW w:w="2950" w:type="pct"/>
            <w:noWrap/>
            <w:hideMark/>
          </w:tcPr>
          <w:p w14:paraId="030A8A4B"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46680024"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-0.016</w:t>
            </w:r>
          </w:p>
        </w:tc>
        <w:tc>
          <w:tcPr>
            <w:tcW w:w="1017" w:type="pct"/>
            <w:noWrap/>
            <w:hideMark/>
          </w:tcPr>
          <w:p w14:paraId="1EDA34F5" w14:textId="77777777" w:rsidR="00CC3DDD" w:rsidRPr="008552AC" w:rsidRDefault="00CC3DDD" w:rsidP="00CC3DDD">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.0</w:t>
            </w:r>
            <w:r>
              <w:rPr>
                <w:rFonts w:ascii="Garamond" w:eastAsia="Times New Roman" w:hAnsi="Garamond"/>
                <w:color w:val="000000"/>
                <w:sz w:val="22"/>
                <w:szCs w:val="22"/>
              </w:rPr>
              <w:t>95 to 0</w:t>
            </w:r>
            <w:r w:rsidRPr="008552AC">
              <w:rPr>
                <w:rFonts w:ascii="Garamond" w:eastAsia="Times New Roman" w:hAnsi="Garamond"/>
                <w:color w:val="000000"/>
                <w:sz w:val="22"/>
                <w:szCs w:val="22"/>
              </w:rPr>
              <w:t>.0</w:t>
            </w:r>
            <w:r>
              <w:rPr>
                <w:rFonts w:ascii="Garamond" w:eastAsia="Times New Roman" w:hAnsi="Garamond"/>
                <w:color w:val="000000"/>
                <w:sz w:val="22"/>
                <w:szCs w:val="22"/>
              </w:rPr>
              <w:t>63</w:t>
            </w:r>
          </w:p>
        </w:tc>
      </w:tr>
      <w:tr w:rsidR="00CC3DDD" w:rsidRPr="008552AC" w14:paraId="781E0C07" w14:textId="77777777" w:rsidTr="00CC3DDD">
        <w:trPr>
          <w:trHeight w:val="300"/>
        </w:trPr>
        <w:tc>
          <w:tcPr>
            <w:tcW w:w="2950" w:type="pct"/>
            <w:noWrap/>
          </w:tcPr>
          <w:p w14:paraId="70D5E739"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tcPr>
          <w:p w14:paraId="59145FA8"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-0.048</w:t>
            </w:r>
          </w:p>
        </w:tc>
        <w:tc>
          <w:tcPr>
            <w:tcW w:w="1017" w:type="pct"/>
            <w:noWrap/>
          </w:tcPr>
          <w:p w14:paraId="7DA683DF"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-0.131 to 0.035</w:t>
            </w:r>
          </w:p>
        </w:tc>
      </w:tr>
      <w:tr w:rsidR="00CC3DDD" w:rsidRPr="008552AC" w14:paraId="751DD48C" w14:textId="77777777" w:rsidTr="00CC3DDD">
        <w:trPr>
          <w:trHeight w:val="300"/>
        </w:trPr>
        <w:tc>
          <w:tcPr>
            <w:tcW w:w="5000" w:type="pct"/>
            <w:gridSpan w:val="3"/>
            <w:noWrap/>
            <w:hideMark/>
          </w:tcPr>
          <w:p w14:paraId="33C058DD"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Hematocrit </w:t>
            </w:r>
          </w:p>
        </w:tc>
      </w:tr>
      <w:tr w:rsidR="00CC3DDD" w:rsidRPr="008552AC" w14:paraId="32B974D1" w14:textId="77777777" w:rsidTr="00CC3DDD">
        <w:trPr>
          <w:trHeight w:val="300"/>
        </w:trPr>
        <w:tc>
          <w:tcPr>
            <w:tcW w:w="2950" w:type="pct"/>
            <w:noWrap/>
            <w:hideMark/>
          </w:tcPr>
          <w:p w14:paraId="146FFCE4"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27457E63"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0.132**</w:t>
            </w:r>
          </w:p>
        </w:tc>
        <w:tc>
          <w:tcPr>
            <w:tcW w:w="1017" w:type="pct"/>
            <w:noWrap/>
            <w:hideMark/>
          </w:tcPr>
          <w:p w14:paraId="300E615A"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w:t>
            </w:r>
            <w:r w:rsidRPr="008552AC">
              <w:rPr>
                <w:rFonts w:ascii="Garamond" w:eastAsia="Times New Roman" w:hAnsi="Garamond"/>
                <w:color w:val="000000"/>
                <w:sz w:val="22"/>
                <w:szCs w:val="22"/>
              </w:rPr>
              <w:t>.03</w:t>
            </w:r>
            <w:r>
              <w:rPr>
                <w:rFonts w:ascii="Garamond" w:eastAsia="Times New Roman" w:hAnsi="Garamond"/>
                <w:color w:val="000000"/>
                <w:sz w:val="22"/>
                <w:szCs w:val="22"/>
              </w:rPr>
              <w:t>2 to 0.233</w:t>
            </w:r>
          </w:p>
        </w:tc>
      </w:tr>
      <w:tr w:rsidR="00CC3DDD" w:rsidRPr="008552AC" w14:paraId="2438F342" w14:textId="77777777" w:rsidTr="00CC3DDD">
        <w:trPr>
          <w:trHeight w:val="300"/>
        </w:trPr>
        <w:tc>
          <w:tcPr>
            <w:tcW w:w="2950" w:type="pct"/>
            <w:noWrap/>
          </w:tcPr>
          <w:p w14:paraId="0FC33578"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noWrap/>
            <w:vAlign w:val="bottom"/>
          </w:tcPr>
          <w:p w14:paraId="4EE6F145"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0.132*</w:t>
            </w:r>
          </w:p>
        </w:tc>
        <w:tc>
          <w:tcPr>
            <w:tcW w:w="1017" w:type="pct"/>
            <w:noWrap/>
          </w:tcPr>
          <w:p w14:paraId="0CC2B225"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0.027 to 0.237</w:t>
            </w:r>
          </w:p>
        </w:tc>
      </w:tr>
      <w:tr w:rsidR="00CC3DDD" w:rsidRPr="008552AC" w14:paraId="1AC3014D" w14:textId="77777777" w:rsidTr="00CC3DDD">
        <w:trPr>
          <w:trHeight w:val="300"/>
        </w:trPr>
        <w:tc>
          <w:tcPr>
            <w:tcW w:w="5000" w:type="pct"/>
            <w:gridSpan w:val="3"/>
            <w:noWrap/>
            <w:hideMark/>
          </w:tcPr>
          <w:p w14:paraId="37D8FF32" w14:textId="77777777" w:rsidR="00CC3DDD" w:rsidRPr="00B869F4" w:rsidRDefault="00CC3DDD" w:rsidP="00CC3DDD">
            <w:pPr>
              <w:rPr>
                <w:rFonts w:ascii="Garamond" w:eastAsia="Times New Roman" w:hAnsi="Garamond"/>
                <w:bCs/>
                <w:iCs/>
                <w:color w:val="000000"/>
                <w:sz w:val="22"/>
                <w:szCs w:val="22"/>
              </w:rPr>
            </w:pPr>
            <w:r w:rsidRPr="00B869F4">
              <w:rPr>
                <w:rFonts w:ascii="Garamond" w:eastAsia="Times New Roman" w:hAnsi="Garamond"/>
                <w:bCs/>
                <w:iCs/>
                <w:color w:val="000000"/>
                <w:sz w:val="22"/>
                <w:szCs w:val="22"/>
              </w:rPr>
              <w:t xml:space="preserve">Platelet values </w:t>
            </w:r>
          </w:p>
        </w:tc>
      </w:tr>
      <w:tr w:rsidR="00CC3DDD" w:rsidRPr="008552AC" w14:paraId="11E74C83" w14:textId="77777777" w:rsidTr="00CC3DDD">
        <w:trPr>
          <w:trHeight w:val="300"/>
        </w:trPr>
        <w:tc>
          <w:tcPr>
            <w:tcW w:w="2950" w:type="pct"/>
            <w:noWrap/>
            <w:hideMark/>
          </w:tcPr>
          <w:p w14:paraId="46159C2C" w14:textId="77777777" w:rsidR="00CC3DDD" w:rsidRPr="008552AC"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 xml:space="preserve">Secondary education </w:t>
            </w:r>
          </w:p>
        </w:tc>
        <w:tc>
          <w:tcPr>
            <w:tcW w:w="1033" w:type="pct"/>
            <w:noWrap/>
            <w:hideMark/>
          </w:tcPr>
          <w:p w14:paraId="46151C7A"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-0.026</w:t>
            </w:r>
          </w:p>
        </w:tc>
        <w:tc>
          <w:tcPr>
            <w:tcW w:w="1017" w:type="pct"/>
            <w:noWrap/>
            <w:hideMark/>
          </w:tcPr>
          <w:p w14:paraId="32F23BA7" w14:textId="77777777" w:rsidR="00CC3DDD" w:rsidRPr="008552AC" w:rsidRDefault="00CC3DDD" w:rsidP="00CC3DDD">
            <w:pPr>
              <w:jc w:val="center"/>
              <w:rPr>
                <w:rFonts w:ascii="Garamond" w:eastAsia="Times New Roman" w:hAnsi="Garamond"/>
                <w:color w:val="000000"/>
                <w:sz w:val="22"/>
                <w:szCs w:val="22"/>
              </w:rPr>
            </w:pPr>
            <w:r w:rsidRPr="008552AC">
              <w:rPr>
                <w:rFonts w:ascii="Garamond" w:eastAsia="Times New Roman" w:hAnsi="Garamond"/>
                <w:color w:val="000000"/>
                <w:sz w:val="22"/>
                <w:szCs w:val="22"/>
              </w:rPr>
              <w:t>-</w:t>
            </w:r>
            <w:r>
              <w:rPr>
                <w:rFonts w:ascii="Garamond" w:eastAsia="Times New Roman" w:hAnsi="Garamond"/>
                <w:color w:val="000000"/>
                <w:sz w:val="22"/>
                <w:szCs w:val="22"/>
              </w:rPr>
              <w:t>0</w:t>
            </w:r>
            <w:r w:rsidRPr="008552AC">
              <w:rPr>
                <w:rFonts w:ascii="Garamond" w:eastAsia="Times New Roman" w:hAnsi="Garamond"/>
                <w:color w:val="000000"/>
                <w:sz w:val="22"/>
                <w:szCs w:val="22"/>
              </w:rPr>
              <w:t>.</w:t>
            </w:r>
            <w:r>
              <w:rPr>
                <w:rFonts w:ascii="Garamond" w:eastAsia="Times New Roman" w:hAnsi="Garamond"/>
                <w:color w:val="000000"/>
                <w:sz w:val="22"/>
                <w:szCs w:val="22"/>
              </w:rPr>
              <w:t>131 to 0</w:t>
            </w:r>
            <w:r w:rsidRPr="008552AC">
              <w:rPr>
                <w:rFonts w:ascii="Garamond" w:eastAsia="Times New Roman" w:hAnsi="Garamond"/>
                <w:color w:val="000000"/>
                <w:sz w:val="22"/>
                <w:szCs w:val="22"/>
              </w:rPr>
              <w:t>.0</w:t>
            </w:r>
            <w:r>
              <w:rPr>
                <w:rFonts w:ascii="Garamond" w:eastAsia="Times New Roman" w:hAnsi="Garamond"/>
                <w:color w:val="000000"/>
                <w:sz w:val="22"/>
                <w:szCs w:val="22"/>
              </w:rPr>
              <w:t>78</w:t>
            </w:r>
          </w:p>
        </w:tc>
      </w:tr>
      <w:tr w:rsidR="00CC3DDD" w:rsidRPr="008552AC" w14:paraId="274ABEF1" w14:textId="77777777" w:rsidTr="00CC3DDD">
        <w:trPr>
          <w:trHeight w:val="300"/>
        </w:trPr>
        <w:tc>
          <w:tcPr>
            <w:tcW w:w="2950" w:type="pct"/>
            <w:tcBorders>
              <w:bottom w:val="double" w:sz="4" w:space="0" w:color="auto"/>
            </w:tcBorders>
            <w:noWrap/>
          </w:tcPr>
          <w:p w14:paraId="716F0512" w14:textId="77777777" w:rsidR="00CC3DDD" w:rsidRDefault="00CC3DDD" w:rsidP="00CC3DDD">
            <w:pPr>
              <w:ind w:firstLine="253"/>
              <w:rPr>
                <w:rFonts w:ascii="Garamond" w:eastAsia="Times New Roman" w:hAnsi="Garamond"/>
                <w:color w:val="000000"/>
                <w:sz w:val="22"/>
                <w:szCs w:val="22"/>
              </w:rPr>
            </w:pPr>
            <w:r>
              <w:rPr>
                <w:rFonts w:ascii="Garamond" w:eastAsia="Times New Roman" w:hAnsi="Garamond"/>
                <w:color w:val="000000"/>
                <w:sz w:val="22"/>
                <w:szCs w:val="22"/>
              </w:rPr>
              <w:t>Tertiary education</w:t>
            </w:r>
          </w:p>
        </w:tc>
        <w:tc>
          <w:tcPr>
            <w:tcW w:w="1033" w:type="pct"/>
            <w:tcBorders>
              <w:bottom w:val="double" w:sz="4" w:space="0" w:color="auto"/>
            </w:tcBorders>
            <w:noWrap/>
          </w:tcPr>
          <w:p w14:paraId="4B226851" w14:textId="77777777" w:rsidR="00CC3DDD" w:rsidRPr="00BE7E99" w:rsidRDefault="00CC3DDD" w:rsidP="00CC3DDD">
            <w:pPr>
              <w:jc w:val="center"/>
              <w:rPr>
                <w:rFonts w:ascii="Garamond" w:eastAsia="Times New Roman" w:hAnsi="Garamond"/>
                <w:color w:val="000000"/>
                <w:sz w:val="22"/>
                <w:szCs w:val="22"/>
              </w:rPr>
            </w:pPr>
            <w:r w:rsidRPr="00BE7E99">
              <w:rPr>
                <w:rFonts w:ascii="Garamond" w:eastAsia="Times New Roman" w:hAnsi="Garamond"/>
                <w:color w:val="000000"/>
                <w:sz w:val="22"/>
                <w:szCs w:val="22"/>
              </w:rPr>
              <w:t>-0.081</w:t>
            </w:r>
          </w:p>
        </w:tc>
        <w:tc>
          <w:tcPr>
            <w:tcW w:w="1017" w:type="pct"/>
            <w:tcBorders>
              <w:bottom w:val="double" w:sz="4" w:space="0" w:color="auto"/>
            </w:tcBorders>
            <w:noWrap/>
          </w:tcPr>
          <w:p w14:paraId="0208D11C"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-0.190 to 0.028</w:t>
            </w:r>
          </w:p>
        </w:tc>
      </w:tr>
    </w:tbl>
    <w:p w14:paraId="798BFDFD" w14:textId="77777777" w:rsidR="00CC3DDD" w:rsidRDefault="00CC3DDD" w:rsidP="00CC3DDD">
      <w:pPr>
        <w:jc w:val="both"/>
        <w:rPr>
          <w:rFonts w:ascii="Garamond" w:hAnsi="Garamond"/>
          <w:sz w:val="22"/>
          <w:szCs w:val="22"/>
        </w:rPr>
      </w:pPr>
      <w:r w:rsidRPr="0089596E">
        <w:rPr>
          <w:rFonts w:ascii="Garamond" w:hAnsi="Garamond"/>
          <w:i/>
          <w:sz w:val="22"/>
          <w:szCs w:val="22"/>
        </w:rPr>
        <w:t>Notes</w:t>
      </w:r>
      <w:r>
        <w:rPr>
          <w:rFonts w:ascii="Garamond" w:hAnsi="Garamond"/>
          <w:sz w:val="22"/>
          <w:szCs w:val="22"/>
        </w:rPr>
        <w:t xml:space="preserve">: Data come from the </w:t>
      </w:r>
      <w:proofErr w:type="spellStart"/>
      <w:r>
        <w:rPr>
          <w:rFonts w:ascii="Garamond" w:hAnsi="Garamond"/>
          <w:sz w:val="22"/>
          <w:szCs w:val="22"/>
        </w:rPr>
        <w:t>Constances</w:t>
      </w:r>
      <w:proofErr w:type="spellEnd"/>
      <w:r>
        <w:rPr>
          <w:rFonts w:ascii="Garamond" w:hAnsi="Garamond"/>
          <w:sz w:val="22"/>
          <w:szCs w:val="22"/>
        </w:rPr>
        <w:t xml:space="preserve"> cohort. All models control for gender, age, age squared, respondent’s current occupation, respondent’s country of origin, marital status and household income. Standard errors are clustered at the individual level and reported in parentheses. </w:t>
      </w:r>
    </w:p>
    <w:p w14:paraId="0A9BCCF9" w14:textId="77777777" w:rsidR="00CC3DDD" w:rsidRPr="00690DB9" w:rsidRDefault="00CC3DDD" w:rsidP="00CC3DDD">
      <w:pPr>
        <w:rPr>
          <w:rFonts w:ascii="Garamond" w:eastAsia="Times New Roman" w:hAnsi="Garamond"/>
          <w:bCs/>
          <w:color w:val="000000"/>
          <w:sz w:val="22"/>
          <w:szCs w:val="22"/>
        </w:rPr>
      </w:pPr>
      <w:r w:rsidRPr="00690DB9">
        <w:rPr>
          <w:rFonts w:ascii="Garamond" w:eastAsia="Times New Roman" w:hAnsi="Garamond"/>
          <w:bCs/>
          <w:color w:val="000000"/>
          <w:sz w:val="22"/>
          <w:szCs w:val="22"/>
        </w:rPr>
        <w:t>*</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&lt;0.05,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&lt;0.01,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&lt;0.001.</w:t>
      </w:r>
    </w:p>
    <w:p w14:paraId="16131BE4" w14:textId="77777777" w:rsidR="00CC3DDD" w:rsidRPr="00D41306" w:rsidRDefault="00CC3DDD" w:rsidP="00CC3DDD">
      <w:pPr>
        <w:rPr>
          <w:rFonts w:ascii="Garamond" w:eastAsia="Times New Roman" w:hAnsi="Garamond"/>
          <w:color w:val="000000"/>
          <w:sz w:val="22"/>
          <w:szCs w:val="22"/>
        </w:rPr>
      </w:pPr>
      <w:r w:rsidRPr="008552AC">
        <w:rPr>
          <w:rFonts w:ascii="Garamond" w:eastAsia="Times New Roman" w:hAnsi="Garamond"/>
          <w:bCs/>
          <w:color w:val="000000"/>
          <w:sz w:val="22"/>
          <w:szCs w:val="22"/>
        </w:rPr>
        <w:t>#</w:t>
      </w:r>
      <w:r w:rsidRPr="008552AC">
        <w:rPr>
          <w:rFonts w:ascii="Garamond" w:eastAsia="Times New Roman" w:hAnsi="Garamond"/>
          <w:color w:val="000000"/>
          <w:sz w:val="22"/>
          <w:szCs w:val="22"/>
        </w:rPr>
        <w:t xml:space="preserve"> Remains significant after adjustm</w:t>
      </w:r>
      <w:r>
        <w:rPr>
          <w:rFonts w:ascii="Garamond" w:eastAsia="Times New Roman" w:hAnsi="Garamond"/>
          <w:color w:val="000000"/>
          <w:sz w:val="22"/>
          <w:szCs w:val="22"/>
        </w:rPr>
        <w:t xml:space="preserve">ent for multiple testing using </w:t>
      </w:r>
      <w:r w:rsidRPr="008552AC">
        <w:rPr>
          <w:rFonts w:ascii="Garamond" w:eastAsia="Times New Roman" w:hAnsi="Garamond"/>
          <w:color w:val="000000"/>
          <w:sz w:val="22"/>
          <w:szCs w:val="22"/>
        </w:rPr>
        <w:t xml:space="preserve">Bonferroni-Holm, </w:t>
      </w:r>
      <w:proofErr w:type="spellStart"/>
      <w:r w:rsidRPr="008552AC">
        <w:rPr>
          <w:rFonts w:ascii="Garamond" w:eastAsia="Times New Roman" w:hAnsi="Garamond"/>
          <w:color w:val="000000"/>
          <w:sz w:val="22"/>
          <w:szCs w:val="22"/>
        </w:rPr>
        <w:t>Sidak</w:t>
      </w:r>
      <w:proofErr w:type="spellEnd"/>
      <w:r w:rsidRPr="008552AC">
        <w:rPr>
          <w:rFonts w:ascii="Garamond" w:eastAsia="Times New Roman" w:hAnsi="Garamond"/>
          <w:color w:val="000000"/>
          <w:sz w:val="22"/>
          <w:szCs w:val="22"/>
        </w:rPr>
        <w:t>-Holm, and Westfall-Young corrections.</w:t>
      </w:r>
    </w:p>
    <w:p w14:paraId="7621AC7A" w14:textId="77777777" w:rsidR="00CC3DDD" w:rsidRDefault="00CC3DDD" w:rsidP="00CC3DDD">
      <w:pPr>
        <w:rPr>
          <w:rFonts w:ascii="Garamond" w:hAnsi="Garamond"/>
          <w:b/>
          <w:lang w:val="en-GB"/>
        </w:rPr>
      </w:pPr>
      <w:r>
        <w:rPr>
          <w:rFonts w:ascii="Garamond" w:hAnsi="Garamond"/>
          <w:b/>
          <w:lang w:val="en-GB"/>
        </w:rPr>
        <w:br w:type="page"/>
      </w:r>
    </w:p>
    <w:p w14:paraId="04E2BC6F" w14:textId="77777777" w:rsidR="00CC3DDD" w:rsidRPr="00705E00" w:rsidRDefault="00CC3DDD" w:rsidP="00CC3DDD">
      <w:pPr>
        <w:rPr>
          <w:rFonts w:ascii="Garamond" w:hAnsi="Garamond"/>
          <w:lang w:val="en-GB"/>
        </w:rPr>
      </w:pPr>
      <w:r w:rsidRPr="00705E00">
        <w:rPr>
          <w:rFonts w:ascii="Garamond" w:hAnsi="Garamond"/>
          <w:b/>
          <w:lang w:val="en-GB"/>
        </w:rPr>
        <w:lastRenderedPageBreak/>
        <w:t xml:space="preserve">Appendix Table </w:t>
      </w:r>
      <w:r>
        <w:rPr>
          <w:rFonts w:ascii="Garamond" w:hAnsi="Garamond"/>
          <w:b/>
          <w:lang w:val="en-GB"/>
        </w:rPr>
        <w:t>2</w:t>
      </w:r>
      <w:r w:rsidRPr="00705E00">
        <w:rPr>
          <w:rFonts w:ascii="Garamond" w:hAnsi="Garamond"/>
          <w:b/>
          <w:lang w:val="en-GB"/>
        </w:rPr>
        <w:t>.</w:t>
      </w:r>
      <w:r>
        <w:rPr>
          <w:rFonts w:ascii="Garamond" w:hAnsi="Garamond"/>
          <w:lang w:val="en-GB"/>
        </w:rPr>
        <w:t xml:space="preserve"> </w:t>
      </w:r>
      <w:r w:rsidRPr="00D56A34">
        <w:rPr>
          <w:rFonts w:ascii="Garamond" w:hAnsi="Garamond"/>
        </w:rPr>
        <w:t xml:space="preserve">Effect of eligibility to the </w:t>
      </w:r>
      <w:r>
        <w:rPr>
          <w:rFonts w:ascii="Garamond" w:hAnsi="Garamond"/>
        </w:rPr>
        <w:t xml:space="preserve">1959 </w:t>
      </w:r>
      <w:proofErr w:type="spellStart"/>
      <w:r>
        <w:rPr>
          <w:rFonts w:ascii="Garamond" w:hAnsi="Garamond"/>
        </w:rPr>
        <w:t>Berthoin</w:t>
      </w:r>
      <w:proofErr w:type="spellEnd"/>
      <w:r>
        <w:rPr>
          <w:rFonts w:ascii="Garamond" w:hAnsi="Garamond"/>
        </w:rPr>
        <w:t xml:space="preserve"> </w:t>
      </w:r>
      <w:r w:rsidRPr="00D56A34">
        <w:rPr>
          <w:rFonts w:ascii="Garamond" w:hAnsi="Garamond"/>
        </w:rPr>
        <w:t xml:space="preserve">reform on anthropometry, </w:t>
      </w:r>
      <w:r>
        <w:rPr>
          <w:rFonts w:ascii="Garamond" w:hAnsi="Garamond"/>
        </w:rPr>
        <w:t>blood pressure, glucose and lipids, liver and kidney functions and hematology, by gender</w:t>
      </w:r>
    </w:p>
    <w:tbl>
      <w:tblPr>
        <w:tblW w:w="5000" w:type="pct"/>
        <w:tblLayout w:type="fixed"/>
        <w:tblLook w:val="04A0" w:firstRow="1" w:lastRow="0" w:firstColumn="1" w:lastColumn="0" w:noHBand="0" w:noVBand="1"/>
      </w:tblPr>
      <w:tblGrid>
        <w:gridCol w:w="2521"/>
        <w:gridCol w:w="1080"/>
        <w:gridCol w:w="1712"/>
        <w:gridCol w:w="1343"/>
        <w:gridCol w:w="1984"/>
      </w:tblGrid>
      <w:tr w:rsidR="00CC3DDD" w:rsidRPr="00705E00" w14:paraId="75BA1E72" w14:textId="77777777" w:rsidTr="00CC3DDD">
        <w:trPr>
          <w:trHeight w:val="320"/>
        </w:trPr>
        <w:tc>
          <w:tcPr>
            <w:tcW w:w="1459" w:type="pct"/>
            <w:tcBorders>
              <w:top w:val="double" w:sz="4" w:space="0" w:color="auto"/>
              <w:left w:val="nil"/>
              <w:right w:val="nil"/>
            </w:tcBorders>
            <w:shd w:val="clear" w:color="auto" w:fill="auto"/>
            <w:noWrap/>
            <w:vAlign w:val="bottom"/>
          </w:tcPr>
          <w:p w14:paraId="0963A866" w14:textId="77777777" w:rsidR="00CC3DDD" w:rsidRPr="00705E00" w:rsidRDefault="00CC3DDD" w:rsidP="00CC3DDD">
            <w:pPr>
              <w:rPr>
                <w:rFonts w:ascii="Garamond" w:eastAsia="Times New Roman" w:hAnsi="Garamond"/>
              </w:rPr>
            </w:pPr>
          </w:p>
        </w:tc>
        <w:tc>
          <w:tcPr>
            <w:tcW w:w="1616" w:type="pct"/>
            <w:gridSpan w:val="2"/>
            <w:tcBorders>
              <w:top w:val="double" w:sz="4" w:space="0" w:color="auto"/>
              <w:left w:val="nil"/>
              <w:right w:val="nil"/>
            </w:tcBorders>
            <w:shd w:val="clear" w:color="auto" w:fill="auto"/>
            <w:noWrap/>
            <w:vAlign w:val="bottom"/>
          </w:tcPr>
          <w:p w14:paraId="4F3FFBC3" w14:textId="77777777" w:rsidR="00CC3DDD" w:rsidRDefault="00CC3DDD" w:rsidP="00CC3DDD">
            <w:pPr>
              <w:jc w:val="center"/>
              <w:rPr>
                <w:rFonts w:ascii="Garamond" w:eastAsia="Times New Roman" w:hAnsi="Garamond"/>
                <w:color w:val="000000"/>
              </w:rPr>
            </w:pPr>
            <w:r>
              <w:rPr>
                <w:rFonts w:ascii="Garamond" w:eastAsia="Times New Roman" w:hAnsi="Garamond"/>
                <w:color w:val="000000"/>
              </w:rPr>
              <w:t>Men</w:t>
            </w:r>
          </w:p>
        </w:tc>
        <w:tc>
          <w:tcPr>
            <w:tcW w:w="1925" w:type="pct"/>
            <w:gridSpan w:val="2"/>
            <w:tcBorders>
              <w:top w:val="double" w:sz="4" w:space="0" w:color="auto"/>
              <w:left w:val="nil"/>
              <w:right w:val="nil"/>
            </w:tcBorders>
          </w:tcPr>
          <w:p w14:paraId="64AA5635" w14:textId="77777777" w:rsidR="00CC3DDD" w:rsidRDefault="00CC3DDD" w:rsidP="00CC3DDD">
            <w:pPr>
              <w:jc w:val="center"/>
              <w:rPr>
                <w:rFonts w:ascii="Garamond" w:eastAsia="Times New Roman" w:hAnsi="Garamond"/>
                <w:color w:val="000000"/>
              </w:rPr>
            </w:pPr>
            <w:r>
              <w:rPr>
                <w:rFonts w:ascii="Garamond" w:eastAsia="Times New Roman" w:hAnsi="Garamond"/>
                <w:color w:val="000000"/>
              </w:rPr>
              <w:t>Women</w:t>
            </w:r>
          </w:p>
        </w:tc>
      </w:tr>
      <w:tr w:rsidR="00CC3DDD" w:rsidRPr="00705E00" w14:paraId="6D6399FC" w14:textId="77777777" w:rsidTr="00CC3DDD">
        <w:trPr>
          <w:trHeight w:val="320"/>
        </w:trPr>
        <w:tc>
          <w:tcPr>
            <w:tcW w:w="1459" w:type="pct"/>
            <w:tcBorders>
              <w:left w:val="nil"/>
              <w:bottom w:val="nil"/>
              <w:right w:val="nil"/>
            </w:tcBorders>
            <w:shd w:val="clear" w:color="auto" w:fill="auto"/>
            <w:noWrap/>
            <w:vAlign w:val="bottom"/>
            <w:hideMark/>
          </w:tcPr>
          <w:p w14:paraId="002EEA89" w14:textId="77777777" w:rsidR="00CC3DDD" w:rsidRPr="00705E00" w:rsidRDefault="00CC3DDD" w:rsidP="00CC3DDD">
            <w:pPr>
              <w:rPr>
                <w:rFonts w:ascii="Garamond" w:eastAsia="Times New Roman" w:hAnsi="Garamond"/>
              </w:rPr>
            </w:pPr>
          </w:p>
        </w:tc>
        <w:tc>
          <w:tcPr>
            <w:tcW w:w="625" w:type="pct"/>
            <w:tcBorders>
              <w:left w:val="nil"/>
              <w:bottom w:val="single" w:sz="4" w:space="0" w:color="auto"/>
              <w:right w:val="nil"/>
            </w:tcBorders>
            <w:shd w:val="clear" w:color="auto" w:fill="auto"/>
            <w:noWrap/>
            <w:vAlign w:val="center"/>
            <w:hideMark/>
          </w:tcPr>
          <w:p w14:paraId="22E84BA2" w14:textId="77777777" w:rsidR="00CC3DDD" w:rsidRPr="00705E00" w:rsidRDefault="00CC3DDD" w:rsidP="00CC3DDD">
            <w:pPr>
              <w:jc w:val="center"/>
              <w:rPr>
                <w:rFonts w:ascii="Garamond" w:eastAsia="Times New Roman" w:hAnsi="Garamond"/>
                <w:color w:val="000000"/>
              </w:rPr>
            </w:pPr>
            <w:r w:rsidRPr="00877B6D">
              <w:rPr>
                <w:rFonts w:ascii="Garamond" w:eastAsia="Times New Roman" w:hAnsi="Garamond"/>
                <w:b/>
                <w:color w:val="000000"/>
                <w:sz w:val="22"/>
                <w:szCs w:val="22"/>
              </w:rPr>
              <w:t>ß</w:t>
            </w:r>
          </w:p>
        </w:tc>
        <w:tc>
          <w:tcPr>
            <w:tcW w:w="991" w:type="pct"/>
            <w:tcBorders>
              <w:left w:val="nil"/>
              <w:bottom w:val="single" w:sz="4" w:space="0" w:color="auto"/>
              <w:right w:val="nil"/>
            </w:tcBorders>
            <w:shd w:val="clear" w:color="auto" w:fill="auto"/>
            <w:noWrap/>
            <w:vAlign w:val="center"/>
            <w:hideMark/>
          </w:tcPr>
          <w:p w14:paraId="44AA52BB" w14:textId="77777777" w:rsidR="00CC3DDD" w:rsidRPr="00705E00" w:rsidRDefault="00CC3DDD" w:rsidP="00CC3DDD">
            <w:pPr>
              <w:jc w:val="center"/>
              <w:rPr>
                <w:rFonts w:ascii="Garamond" w:eastAsia="Times New Roman" w:hAnsi="Garamond"/>
                <w:color w:val="000000"/>
              </w:rPr>
            </w:pPr>
            <w:r>
              <w:rPr>
                <w:rFonts w:ascii="Garamond" w:eastAsia="Times New Roman" w:hAnsi="Garamond"/>
                <w:color w:val="000000"/>
              </w:rPr>
              <w:t>95% CI</w:t>
            </w:r>
          </w:p>
        </w:tc>
        <w:tc>
          <w:tcPr>
            <w:tcW w:w="777" w:type="pct"/>
            <w:tcBorders>
              <w:left w:val="nil"/>
              <w:bottom w:val="single" w:sz="4" w:space="0" w:color="auto"/>
              <w:right w:val="nil"/>
            </w:tcBorders>
            <w:vAlign w:val="center"/>
          </w:tcPr>
          <w:p w14:paraId="55349FBB" w14:textId="77777777" w:rsidR="00CC3DDD" w:rsidRDefault="00CC3DDD" w:rsidP="00CC3DDD">
            <w:pPr>
              <w:jc w:val="center"/>
              <w:rPr>
                <w:rFonts w:ascii="Garamond" w:eastAsia="Times New Roman" w:hAnsi="Garamond"/>
                <w:color w:val="000000"/>
              </w:rPr>
            </w:pPr>
            <w:r w:rsidRPr="00877B6D">
              <w:rPr>
                <w:rFonts w:ascii="Garamond" w:eastAsia="Times New Roman" w:hAnsi="Garamond"/>
                <w:b/>
                <w:color w:val="000000"/>
                <w:sz w:val="22"/>
                <w:szCs w:val="22"/>
              </w:rPr>
              <w:t>ß</w:t>
            </w:r>
          </w:p>
        </w:tc>
        <w:tc>
          <w:tcPr>
            <w:tcW w:w="1148" w:type="pct"/>
            <w:tcBorders>
              <w:left w:val="nil"/>
              <w:bottom w:val="single" w:sz="4" w:space="0" w:color="auto"/>
              <w:right w:val="nil"/>
            </w:tcBorders>
            <w:vAlign w:val="center"/>
          </w:tcPr>
          <w:p w14:paraId="5EE0B3EE" w14:textId="77777777" w:rsidR="00CC3DDD" w:rsidRDefault="00CC3DDD" w:rsidP="00CC3DDD">
            <w:pPr>
              <w:jc w:val="center"/>
              <w:rPr>
                <w:rFonts w:ascii="Garamond" w:eastAsia="Times New Roman" w:hAnsi="Garamond"/>
                <w:color w:val="000000"/>
              </w:rPr>
            </w:pPr>
            <w:r>
              <w:rPr>
                <w:rFonts w:ascii="Garamond" w:eastAsia="Times New Roman" w:hAnsi="Garamond"/>
                <w:color w:val="000000"/>
              </w:rPr>
              <w:t>95% CI</w:t>
            </w:r>
          </w:p>
        </w:tc>
      </w:tr>
      <w:tr w:rsidR="00CC3DDD" w:rsidRPr="00705E00" w14:paraId="3FDFFFC7" w14:textId="77777777" w:rsidTr="00CC3DDD">
        <w:trPr>
          <w:trHeight w:val="320"/>
        </w:trPr>
        <w:tc>
          <w:tcPr>
            <w:tcW w:w="1459" w:type="pct"/>
            <w:tcBorders>
              <w:top w:val="nil"/>
              <w:left w:val="nil"/>
              <w:bottom w:val="nil"/>
              <w:right w:val="nil"/>
            </w:tcBorders>
            <w:shd w:val="clear" w:color="auto" w:fill="auto"/>
            <w:noWrap/>
            <w:vAlign w:val="bottom"/>
            <w:hideMark/>
          </w:tcPr>
          <w:p w14:paraId="2117414D"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BMI</w:t>
            </w:r>
          </w:p>
        </w:tc>
        <w:tc>
          <w:tcPr>
            <w:tcW w:w="625" w:type="pct"/>
            <w:tcBorders>
              <w:top w:val="nil"/>
              <w:left w:val="nil"/>
              <w:bottom w:val="nil"/>
              <w:right w:val="nil"/>
            </w:tcBorders>
            <w:shd w:val="clear" w:color="auto" w:fill="auto"/>
            <w:noWrap/>
            <w:vAlign w:val="bottom"/>
            <w:hideMark/>
          </w:tcPr>
          <w:p w14:paraId="1430D80E"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0.103*</w:t>
            </w:r>
          </w:p>
        </w:tc>
        <w:tc>
          <w:tcPr>
            <w:tcW w:w="991" w:type="pct"/>
            <w:tcBorders>
              <w:top w:val="nil"/>
              <w:left w:val="nil"/>
              <w:bottom w:val="nil"/>
              <w:right w:val="nil"/>
            </w:tcBorders>
            <w:shd w:val="clear" w:color="auto" w:fill="auto"/>
            <w:noWrap/>
            <w:vAlign w:val="bottom"/>
            <w:hideMark/>
          </w:tcPr>
          <w:p w14:paraId="30DD4397" w14:textId="77777777" w:rsidR="00CC3DDD" w:rsidRPr="00705E00" w:rsidRDefault="00CC3DDD" w:rsidP="00CC3DDD">
            <w:pPr>
              <w:jc w:val="center"/>
              <w:rPr>
                <w:rFonts w:ascii="Garamond" w:eastAsia="Times New Roman" w:hAnsi="Garamond"/>
                <w:color w:val="000000"/>
              </w:rPr>
            </w:pPr>
            <w:r>
              <w:rPr>
                <w:rFonts w:ascii="Garamond" w:eastAsia="Times New Roman" w:hAnsi="Garamond"/>
                <w:color w:val="000000"/>
              </w:rPr>
              <w:t>0</w:t>
            </w:r>
            <w:r w:rsidRPr="00705E00">
              <w:rPr>
                <w:rFonts w:ascii="Garamond" w:eastAsia="Times New Roman" w:hAnsi="Garamond"/>
                <w:color w:val="000000"/>
              </w:rPr>
              <w:t>.004</w:t>
            </w:r>
            <w:r>
              <w:rPr>
                <w:rFonts w:ascii="Garamond" w:eastAsia="Times New Roman" w:hAnsi="Garamond"/>
                <w:color w:val="000000"/>
              </w:rPr>
              <w:t xml:space="preserve"> to 0</w:t>
            </w:r>
            <w:r w:rsidRPr="00705E00">
              <w:rPr>
                <w:rFonts w:ascii="Garamond" w:eastAsia="Times New Roman" w:hAnsi="Garamond"/>
                <w:color w:val="000000"/>
              </w:rPr>
              <w:t>.202</w:t>
            </w:r>
          </w:p>
        </w:tc>
        <w:tc>
          <w:tcPr>
            <w:tcW w:w="777" w:type="pct"/>
            <w:tcBorders>
              <w:top w:val="nil"/>
              <w:left w:val="nil"/>
              <w:bottom w:val="nil"/>
              <w:right w:val="nil"/>
            </w:tcBorders>
            <w:vAlign w:val="bottom"/>
          </w:tcPr>
          <w:p w14:paraId="3376BBAB" w14:textId="77777777" w:rsidR="00CC3DDD" w:rsidRDefault="00CC3DDD" w:rsidP="00CC3DDD">
            <w:pPr>
              <w:jc w:val="center"/>
              <w:rPr>
                <w:rFonts w:ascii="Garamond" w:eastAsia="Times New Roman" w:hAnsi="Garamond"/>
                <w:color w:val="000000"/>
              </w:rPr>
            </w:pPr>
            <w:r w:rsidRPr="00FA74F2">
              <w:rPr>
                <w:rFonts w:ascii="Garamond" w:eastAsia="Times New Roman" w:hAnsi="Garamond"/>
                <w:color w:val="000000"/>
              </w:rPr>
              <w:t>0.052</w:t>
            </w:r>
          </w:p>
        </w:tc>
        <w:tc>
          <w:tcPr>
            <w:tcW w:w="1148" w:type="pct"/>
            <w:tcBorders>
              <w:top w:val="nil"/>
              <w:left w:val="nil"/>
              <w:bottom w:val="nil"/>
              <w:right w:val="nil"/>
            </w:tcBorders>
            <w:vAlign w:val="bottom"/>
          </w:tcPr>
          <w:p w14:paraId="6D0A515B" w14:textId="77777777" w:rsidR="00CC3DDD"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.063</w:t>
            </w:r>
            <w:r>
              <w:rPr>
                <w:rFonts w:ascii="Garamond" w:eastAsia="Times New Roman" w:hAnsi="Garamond"/>
                <w:color w:val="000000"/>
              </w:rPr>
              <w:t xml:space="preserve"> to 0</w:t>
            </w:r>
            <w:r w:rsidRPr="00FA74F2">
              <w:rPr>
                <w:rFonts w:ascii="Garamond" w:eastAsia="Times New Roman" w:hAnsi="Garamond"/>
                <w:color w:val="000000"/>
              </w:rPr>
              <w:t>.169</w:t>
            </w:r>
          </w:p>
        </w:tc>
      </w:tr>
      <w:tr w:rsidR="00CC3DDD" w:rsidRPr="00705E00" w14:paraId="4F4B2FB7" w14:textId="77777777" w:rsidTr="00CC3DDD">
        <w:trPr>
          <w:trHeight w:val="351"/>
        </w:trPr>
        <w:tc>
          <w:tcPr>
            <w:tcW w:w="1459" w:type="pct"/>
            <w:tcBorders>
              <w:top w:val="nil"/>
              <w:left w:val="nil"/>
              <w:bottom w:val="nil"/>
              <w:right w:val="nil"/>
            </w:tcBorders>
            <w:shd w:val="clear" w:color="auto" w:fill="auto"/>
            <w:noWrap/>
            <w:vAlign w:val="bottom"/>
            <w:hideMark/>
          </w:tcPr>
          <w:p w14:paraId="0F64488B"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Waist circumference</w:t>
            </w:r>
          </w:p>
        </w:tc>
        <w:tc>
          <w:tcPr>
            <w:tcW w:w="625" w:type="pct"/>
            <w:tcBorders>
              <w:top w:val="nil"/>
              <w:left w:val="nil"/>
              <w:bottom w:val="nil"/>
              <w:right w:val="nil"/>
            </w:tcBorders>
            <w:shd w:val="clear" w:color="auto" w:fill="auto"/>
            <w:noWrap/>
            <w:vAlign w:val="bottom"/>
            <w:hideMark/>
          </w:tcPr>
          <w:p w14:paraId="153FA868"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0.101</w:t>
            </w:r>
          </w:p>
        </w:tc>
        <w:tc>
          <w:tcPr>
            <w:tcW w:w="991" w:type="pct"/>
            <w:tcBorders>
              <w:top w:val="nil"/>
              <w:left w:val="nil"/>
              <w:bottom w:val="nil"/>
              <w:right w:val="nil"/>
            </w:tcBorders>
            <w:shd w:val="clear" w:color="auto" w:fill="auto"/>
            <w:noWrap/>
            <w:vAlign w:val="bottom"/>
            <w:hideMark/>
          </w:tcPr>
          <w:p w14:paraId="462C6231"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.001</w:t>
            </w:r>
            <w:r>
              <w:rPr>
                <w:rFonts w:ascii="Garamond" w:eastAsia="Times New Roman" w:hAnsi="Garamond"/>
                <w:color w:val="000000"/>
              </w:rPr>
              <w:t xml:space="preserve"> to 0</w:t>
            </w:r>
            <w:r w:rsidRPr="00705E00">
              <w:rPr>
                <w:rFonts w:ascii="Garamond" w:eastAsia="Times New Roman" w:hAnsi="Garamond"/>
                <w:color w:val="000000"/>
              </w:rPr>
              <w:t>.204</w:t>
            </w:r>
          </w:p>
        </w:tc>
        <w:tc>
          <w:tcPr>
            <w:tcW w:w="777" w:type="pct"/>
            <w:tcBorders>
              <w:top w:val="nil"/>
              <w:left w:val="nil"/>
              <w:bottom w:val="nil"/>
              <w:right w:val="nil"/>
            </w:tcBorders>
            <w:vAlign w:val="bottom"/>
          </w:tcPr>
          <w:p w14:paraId="2FBFC56C"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0.087</w:t>
            </w:r>
          </w:p>
        </w:tc>
        <w:tc>
          <w:tcPr>
            <w:tcW w:w="1148" w:type="pct"/>
            <w:tcBorders>
              <w:top w:val="nil"/>
              <w:left w:val="nil"/>
              <w:bottom w:val="nil"/>
              <w:right w:val="nil"/>
            </w:tcBorders>
            <w:vAlign w:val="bottom"/>
          </w:tcPr>
          <w:p w14:paraId="6B058EFB"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.016</w:t>
            </w:r>
            <w:r>
              <w:rPr>
                <w:rFonts w:ascii="Garamond" w:eastAsia="Times New Roman" w:hAnsi="Garamond"/>
                <w:color w:val="000000"/>
              </w:rPr>
              <w:t xml:space="preserve"> to 0</w:t>
            </w:r>
            <w:r w:rsidRPr="00FA74F2">
              <w:rPr>
                <w:rFonts w:ascii="Garamond" w:eastAsia="Times New Roman" w:hAnsi="Garamond"/>
                <w:color w:val="000000"/>
              </w:rPr>
              <w:t>.192</w:t>
            </w:r>
          </w:p>
        </w:tc>
      </w:tr>
      <w:tr w:rsidR="00CC3DDD" w:rsidRPr="00705E00" w14:paraId="1C2E3B29" w14:textId="77777777" w:rsidTr="00CC3DDD">
        <w:trPr>
          <w:trHeight w:val="320"/>
        </w:trPr>
        <w:tc>
          <w:tcPr>
            <w:tcW w:w="1459" w:type="pct"/>
            <w:tcBorders>
              <w:top w:val="nil"/>
              <w:left w:val="nil"/>
              <w:bottom w:val="nil"/>
              <w:right w:val="nil"/>
            </w:tcBorders>
            <w:shd w:val="clear" w:color="auto" w:fill="auto"/>
            <w:noWrap/>
            <w:vAlign w:val="bottom"/>
            <w:hideMark/>
          </w:tcPr>
          <w:p w14:paraId="12725520"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Waist-hip ratio</w:t>
            </w:r>
          </w:p>
        </w:tc>
        <w:tc>
          <w:tcPr>
            <w:tcW w:w="625" w:type="pct"/>
            <w:tcBorders>
              <w:top w:val="nil"/>
              <w:left w:val="nil"/>
              <w:bottom w:val="nil"/>
              <w:right w:val="nil"/>
            </w:tcBorders>
            <w:shd w:val="clear" w:color="auto" w:fill="auto"/>
            <w:noWrap/>
            <w:vAlign w:val="bottom"/>
            <w:hideMark/>
          </w:tcPr>
          <w:p w14:paraId="473877B4"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0.065</w:t>
            </w:r>
          </w:p>
        </w:tc>
        <w:tc>
          <w:tcPr>
            <w:tcW w:w="991" w:type="pct"/>
            <w:tcBorders>
              <w:top w:val="nil"/>
              <w:left w:val="nil"/>
              <w:bottom w:val="nil"/>
              <w:right w:val="nil"/>
            </w:tcBorders>
            <w:shd w:val="clear" w:color="auto" w:fill="auto"/>
            <w:noWrap/>
            <w:vAlign w:val="bottom"/>
            <w:hideMark/>
          </w:tcPr>
          <w:p w14:paraId="5C550E61"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.016</w:t>
            </w:r>
            <w:r>
              <w:rPr>
                <w:rFonts w:ascii="Garamond" w:eastAsia="Times New Roman" w:hAnsi="Garamond"/>
                <w:color w:val="000000"/>
              </w:rPr>
              <w:t xml:space="preserve"> to 0</w:t>
            </w:r>
            <w:r w:rsidRPr="00705E00">
              <w:rPr>
                <w:rFonts w:ascii="Garamond" w:eastAsia="Times New Roman" w:hAnsi="Garamond"/>
                <w:color w:val="000000"/>
              </w:rPr>
              <w:t>.146</w:t>
            </w:r>
          </w:p>
        </w:tc>
        <w:tc>
          <w:tcPr>
            <w:tcW w:w="777" w:type="pct"/>
            <w:tcBorders>
              <w:top w:val="nil"/>
              <w:left w:val="nil"/>
              <w:bottom w:val="nil"/>
              <w:right w:val="nil"/>
            </w:tcBorders>
            <w:vAlign w:val="bottom"/>
          </w:tcPr>
          <w:p w14:paraId="46157ED9"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0.054</w:t>
            </w:r>
          </w:p>
        </w:tc>
        <w:tc>
          <w:tcPr>
            <w:tcW w:w="1148" w:type="pct"/>
            <w:tcBorders>
              <w:top w:val="nil"/>
              <w:left w:val="nil"/>
              <w:bottom w:val="nil"/>
              <w:right w:val="nil"/>
            </w:tcBorders>
            <w:vAlign w:val="bottom"/>
          </w:tcPr>
          <w:p w14:paraId="41B01BFB"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.028</w:t>
            </w:r>
            <w:r>
              <w:rPr>
                <w:rFonts w:ascii="Garamond" w:eastAsia="Times New Roman" w:hAnsi="Garamond"/>
                <w:color w:val="000000"/>
              </w:rPr>
              <w:t xml:space="preserve"> to</w:t>
            </w:r>
            <w:r w:rsidRPr="00FA74F2">
              <w:rPr>
                <w:rFonts w:ascii="Garamond" w:eastAsia="Times New Roman" w:hAnsi="Garamond"/>
                <w:color w:val="000000"/>
              </w:rPr>
              <w:t xml:space="preserve"> </w:t>
            </w:r>
            <w:r>
              <w:rPr>
                <w:rFonts w:ascii="Garamond" w:eastAsia="Times New Roman" w:hAnsi="Garamond"/>
                <w:color w:val="000000"/>
              </w:rPr>
              <w:t>0</w:t>
            </w:r>
            <w:r w:rsidRPr="00FA74F2">
              <w:rPr>
                <w:rFonts w:ascii="Garamond" w:eastAsia="Times New Roman" w:hAnsi="Garamond"/>
                <w:color w:val="000000"/>
              </w:rPr>
              <w:t>.138</w:t>
            </w:r>
          </w:p>
        </w:tc>
      </w:tr>
      <w:tr w:rsidR="00CC3DDD" w:rsidRPr="00705E00" w14:paraId="7799E86F" w14:textId="77777777" w:rsidTr="00CC3DDD">
        <w:trPr>
          <w:trHeight w:val="320"/>
        </w:trPr>
        <w:tc>
          <w:tcPr>
            <w:tcW w:w="1459" w:type="pct"/>
            <w:tcBorders>
              <w:top w:val="nil"/>
              <w:left w:val="nil"/>
              <w:bottom w:val="nil"/>
              <w:right w:val="nil"/>
            </w:tcBorders>
            <w:shd w:val="clear" w:color="auto" w:fill="auto"/>
            <w:noWrap/>
            <w:vAlign w:val="bottom"/>
            <w:hideMark/>
          </w:tcPr>
          <w:p w14:paraId="34A0589B"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Systolic blood pressure</w:t>
            </w:r>
          </w:p>
        </w:tc>
        <w:tc>
          <w:tcPr>
            <w:tcW w:w="625" w:type="pct"/>
            <w:tcBorders>
              <w:top w:val="nil"/>
              <w:left w:val="nil"/>
              <w:bottom w:val="nil"/>
              <w:right w:val="nil"/>
            </w:tcBorders>
            <w:shd w:val="clear" w:color="auto" w:fill="auto"/>
            <w:noWrap/>
            <w:vAlign w:val="bottom"/>
            <w:hideMark/>
          </w:tcPr>
          <w:p w14:paraId="0673FB71"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0.113</w:t>
            </w:r>
          </w:p>
        </w:tc>
        <w:tc>
          <w:tcPr>
            <w:tcW w:w="991" w:type="pct"/>
            <w:tcBorders>
              <w:top w:val="nil"/>
              <w:left w:val="nil"/>
              <w:bottom w:val="nil"/>
              <w:right w:val="nil"/>
            </w:tcBorders>
            <w:shd w:val="clear" w:color="auto" w:fill="auto"/>
            <w:noWrap/>
            <w:vAlign w:val="bottom"/>
            <w:hideMark/>
          </w:tcPr>
          <w:p w14:paraId="2A81DC51"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.011</w:t>
            </w:r>
            <w:r>
              <w:rPr>
                <w:rFonts w:ascii="Garamond" w:eastAsia="Times New Roman" w:hAnsi="Garamond"/>
                <w:color w:val="000000"/>
              </w:rPr>
              <w:t xml:space="preserve"> to 0</w:t>
            </w:r>
            <w:r w:rsidRPr="00705E00">
              <w:rPr>
                <w:rFonts w:ascii="Garamond" w:eastAsia="Times New Roman" w:hAnsi="Garamond"/>
                <w:color w:val="000000"/>
              </w:rPr>
              <w:t>.238</w:t>
            </w:r>
          </w:p>
        </w:tc>
        <w:tc>
          <w:tcPr>
            <w:tcW w:w="777" w:type="pct"/>
            <w:tcBorders>
              <w:top w:val="nil"/>
              <w:left w:val="nil"/>
              <w:bottom w:val="nil"/>
              <w:right w:val="nil"/>
            </w:tcBorders>
            <w:vAlign w:val="bottom"/>
          </w:tcPr>
          <w:p w14:paraId="52EDE717"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0.132*</w:t>
            </w:r>
          </w:p>
        </w:tc>
        <w:tc>
          <w:tcPr>
            <w:tcW w:w="1148" w:type="pct"/>
            <w:tcBorders>
              <w:top w:val="nil"/>
              <w:left w:val="nil"/>
              <w:bottom w:val="nil"/>
              <w:right w:val="nil"/>
            </w:tcBorders>
            <w:vAlign w:val="bottom"/>
          </w:tcPr>
          <w:p w14:paraId="0BC74B21" w14:textId="77777777" w:rsidR="00CC3DDD" w:rsidRPr="00705E00" w:rsidRDefault="00CC3DDD" w:rsidP="00CC3DDD">
            <w:pPr>
              <w:jc w:val="center"/>
              <w:rPr>
                <w:rFonts w:ascii="Garamond" w:eastAsia="Times New Roman" w:hAnsi="Garamond"/>
                <w:color w:val="000000"/>
              </w:rPr>
            </w:pPr>
            <w:r>
              <w:rPr>
                <w:rFonts w:ascii="Garamond" w:eastAsia="Times New Roman" w:hAnsi="Garamond"/>
                <w:color w:val="000000"/>
              </w:rPr>
              <w:t>0</w:t>
            </w:r>
            <w:r w:rsidRPr="00FA74F2">
              <w:rPr>
                <w:rFonts w:ascii="Garamond" w:eastAsia="Times New Roman" w:hAnsi="Garamond"/>
                <w:color w:val="000000"/>
              </w:rPr>
              <w:t>.011</w:t>
            </w:r>
            <w:r>
              <w:rPr>
                <w:rFonts w:ascii="Garamond" w:eastAsia="Times New Roman" w:hAnsi="Garamond"/>
                <w:color w:val="000000"/>
              </w:rPr>
              <w:t xml:space="preserve"> to 0</w:t>
            </w:r>
            <w:r w:rsidRPr="00FA74F2">
              <w:rPr>
                <w:rFonts w:ascii="Garamond" w:eastAsia="Times New Roman" w:hAnsi="Garamond"/>
                <w:color w:val="000000"/>
              </w:rPr>
              <w:t>.253</w:t>
            </w:r>
          </w:p>
        </w:tc>
      </w:tr>
      <w:tr w:rsidR="00CC3DDD" w:rsidRPr="00705E00" w14:paraId="47CA5B26" w14:textId="77777777" w:rsidTr="00CC3DDD">
        <w:trPr>
          <w:trHeight w:val="320"/>
        </w:trPr>
        <w:tc>
          <w:tcPr>
            <w:tcW w:w="1459" w:type="pct"/>
            <w:tcBorders>
              <w:top w:val="nil"/>
              <w:left w:val="nil"/>
              <w:bottom w:val="nil"/>
              <w:right w:val="nil"/>
            </w:tcBorders>
            <w:shd w:val="clear" w:color="auto" w:fill="auto"/>
            <w:noWrap/>
            <w:vAlign w:val="bottom"/>
            <w:hideMark/>
          </w:tcPr>
          <w:p w14:paraId="6676D40C"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Diastolic blood pressure</w:t>
            </w:r>
          </w:p>
        </w:tc>
        <w:tc>
          <w:tcPr>
            <w:tcW w:w="625" w:type="pct"/>
            <w:tcBorders>
              <w:top w:val="nil"/>
              <w:left w:val="nil"/>
              <w:bottom w:val="nil"/>
              <w:right w:val="nil"/>
            </w:tcBorders>
            <w:shd w:val="clear" w:color="000000" w:fill="auto"/>
            <w:noWrap/>
            <w:vAlign w:val="bottom"/>
            <w:hideMark/>
          </w:tcPr>
          <w:p w14:paraId="77B1B596"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0.129**</w:t>
            </w:r>
          </w:p>
        </w:tc>
        <w:tc>
          <w:tcPr>
            <w:tcW w:w="991" w:type="pct"/>
            <w:tcBorders>
              <w:top w:val="nil"/>
              <w:left w:val="nil"/>
              <w:bottom w:val="nil"/>
              <w:right w:val="nil"/>
            </w:tcBorders>
            <w:shd w:val="clear" w:color="auto" w:fill="auto"/>
            <w:noWrap/>
            <w:vAlign w:val="bottom"/>
            <w:hideMark/>
          </w:tcPr>
          <w:p w14:paraId="7790248A" w14:textId="77777777" w:rsidR="00CC3DDD" w:rsidRPr="00705E00" w:rsidRDefault="00CC3DDD" w:rsidP="00CC3DDD">
            <w:pPr>
              <w:jc w:val="center"/>
              <w:rPr>
                <w:rFonts w:ascii="Garamond" w:eastAsia="Times New Roman" w:hAnsi="Garamond"/>
                <w:color w:val="000000"/>
              </w:rPr>
            </w:pPr>
            <w:r>
              <w:rPr>
                <w:rFonts w:ascii="Garamond" w:eastAsia="Times New Roman" w:hAnsi="Garamond"/>
                <w:color w:val="000000"/>
              </w:rPr>
              <w:t>0</w:t>
            </w:r>
            <w:r w:rsidRPr="00705E00">
              <w:rPr>
                <w:rFonts w:ascii="Garamond" w:eastAsia="Times New Roman" w:hAnsi="Garamond"/>
                <w:color w:val="000000"/>
              </w:rPr>
              <w:t>.029</w:t>
            </w:r>
            <w:r>
              <w:rPr>
                <w:rFonts w:ascii="Garamond" w:eastAsia="Times New Roman" w:hAnsi="Garamond"/>
                <w:color w:val="000000"/>
              </w:rPr>
              <w:t xml:space="preserve"> to 0</w:t>
            </w:r>
            <w:r w:rsidRPr="00705E00">
              <w:rPr>
                <w:rFonts w:ascii="Garamond" w:eastAsia="Times New Roman" w:hAnsi="Garamond"/>
                <w:color w:val="000000"/>
              </w:rPr>
              <w:t>.229</w:t>
            </w:r>
          </w:p>
        </w:tc>
        <w:tc>
          <w:tcPr>
            <w:tcW w:w="777" w:type="pct"/>
            <w:tcBorders>
              <w:top w:val="nil"/>
              <w:left w:val="nil"/>
              <w:bottom w:val="nil"/>
              <w:right w:val="nil"/>
            </w:tcBorders>
            <w:vAlign w:val="bottom"/>
          </w:tcPr>
          <w:p w14:paraId="6FD6B572" w14:textId="77777777" w:rsidR="00CC3DDD" w:rsidRDefault="00CC3DDD" w:rsidP="00CC3DDD">
            <w:pPr>
              <w:jc w:val="center"/>
              <w:rPr>
                <w:rFonts w:ascii="Garamond" w:eastAsia="Times New Roman" w:hAnsi="Garamond"/>
                <w:color w:val="000000"/>
              </w:rPr>
            </w:pPr>
            <w:r w:rsidRPr="00FA74F2">
              <w:rPr>
                <w:rFonts w:ascii="Garamond" w:eastAsia="Times New Roman" w:hAnsi="Garamond"/>
                <w:color w:val="000000"/>
              </w:rPr>
              <w:t>0.166**</w:t>
            </w:r>
          </w:p>
        </w:tc>
        <w:tc>
          <w:tcPr>
            <w:tcW w:w="1148" w:type="pct"/>
            <w:tcBorders>
              <w:top w:val="nil"/>
              <w:left w:val="nil"/>
              <w:bottom w:val="nil"/>
              <w:right w:val="nil"/>
            </w:tcBorders>
            <w:vAlign w:val="bottom"/>
          </w:tcPr>
          <w:p w14:paraId="1AFBC53C" w14:textId="77777777" w:rsidR="00CC3DDD" w:rsidRDefault="00CC3DDD" w:rsidP="00CC3DDD">
            <w:pPr>
              <w:jc w:val="center"/>
              <w:rPr>
                <w:rFonts w:ascii="Garamond" w:eastAsia="Times New Roman" w:hAnsi="Garamond"/>
                <w:color w:val="000000"/>
              </w:rPr>
            </w:pPr>
            <w:r>
              <w:rPr>
                <w:rFonts w:ascii="Garamond" w:eastAsia="Times New Roman" w:hAnsi="Garamond"/>
                <w:color w:val="000000"/>
              </w:rPr>
              <w:t>0</w:t>
            </w:r>
            <w:r w:rsidRPr="00FA74F2">
              <w:rPr>
                <w:rFonts w:ascii="Garamond" w:eastAsia="Times New Roman" w:hAnsi="Garamond"/>
                <w:color w:val="000000"/>
              </w:rPr>
              <w:t>.048</w:t>
            </w:r>
            <w:r>
              <w:rPr>
                <w:rFonts w:ascii="Garamond" w:eastAsia="Times New Roman" w:hAnsi="Garamond"/>
                <w:color w:val="000000"/>
              </w:rPr>
              <w:t xml:space="preserve"> to 0</w:t>
            </w:r>
            <w:r w:rsidRPr="00FA74F2">
              <w:rPr>
                <w:rFonts w:ascii="Garamond" w:eastAsia="Times New Roman" w:hAnsi="Garamond"/>
                <w:color w:val="000000"/>
              </w:rPr>
              <w:t>.283</w:t>
            </w:r>
          </w:p>
        </w:tc>
      </w:tr>
      <w:tr w:rsidR="00CC3DDD" w:rsidRPr="00705E00" w14:paraId="59B6743B" w14:textId="77777777" w:rsidTr="00CC3DDD">
        <w:trPr>
          <w:trHeight w:val="320"/>
        </w:trPr>
        <w:tc>
          <w:tcPr>
            <w:tcW w:w="1459" w:type="pct"/>
            <w:tcBorders>
              <w:top w:val="nil"/>
              <w:left w:val="nil"/>
              <w:bottom w:val="nil"/>
              <w:right w:val="nil"/>
            </w:tcBorders>
            <w:shd w:val="clear" w:color="auto" w:fill="auto"/>
            <w:noWrap/>
            <w:vAlign w:val="bottom"/>
            <w:hideMark/>
          </w:tcPr>
          <w:p w14:paraId="39179E2B"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Blood glucose</w:t>
            </w:r>
          </w:p>
        </w:tc>
        <w:tc>
          <w:tcPr>
            <w:tcW w:w="625" w:type="pct"/>
            <w:tcBorders>
              <w:top w:val="nil"/>
              <w:left w:val="nil"/>
              <w:bottom w:val="nil"/>
              <w:right w:val="nil"/>
            </w:tcBorders>
            <w:shd w:val="clear" w:color="auto" w:fill="auto"/>
            <w:noWrap/>
            <w:vAlign w:val="bottom"/>
            <w:hideMark/>
          </w:tcPr>
          <w:p w14:paraId="5A1B9789"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0.143</w:t>
            </w:r>
          </w:p>
        </w:tc>
        <w:tc>
          <w:tcPr>
            <w:tcW w:w="991" w:type="pct"/>
            <w:tcBorders>
              <w:top w:val="nil"/>
              <w:left w:val="nil"/>
              <w:bottom w:val="nil"/>
              <w:right w:val="nil"/>
            </w:tcBorders>
            <w:shd w:val="clear" w:color="auto" w:fill="auto"/>
            <w:noWrap/>
            <w:vAlign w:val="bottom"/>
            <w:hideMark/>
          </w:tcPr>
          <w:p w14:paraId="6F913A48" w14:textId="77777777" w:rsidR="00CC3DDD" w:rsidRPr="00705E00" w:rsidRDefault="00CC3DDD" w:rsidP="00CC3DDD">
            <w:pPr>
              <w:jc w:val="center"/>
              <w:rPr>
                <w:rFonts w:ascii="Garamond" w:eastAsia="Times New Roman" w:hAnsi="Garamond"/>
                <w:color w:val="000000"/>
              </w:rPr>
            </w:pPr>
            <w:r>
              <w:rPr>
                <w:rFonts w:ascii="Garamond" w:eastAsia="Times New Roman" w:hAnsi="Garamond"/>
                <w:color w:val="000000"/>
              </w:rPr>
              <w:t>0</w:t>
            </w:r>
            <w:r w:rsidRPr="00705E00">
              <w:rPr>
                <w:rFonts w:ascii="Garamond" w:eastAsia="Times New Roman" w:hAnsi="Garamond"/>
                <w:color w:val="000000"/>
              </w:rPr>
              <w:t>.015</w:t>
            </w:r>
            <w:r>
              <w:rPr>
                <w:rFonts w:ascii="Garamond" w:eastAsia="Times New Roman" w:hAnsi="Garamond"/>
                <w:color w:val="000000"/>
              </w:rPr>
              <w:t xml:space="preserve"> to 0</w:t>
            </w:r>
            <w:r w:rsidRPr="00705E00">
              <w:rPr>
                <w:rFonts w:ascii="Garamond" w:eastAsia="Times New Roman" w:hAnsi="Garamond"/>
                <w:color w:val="000000"/>
              </w:rPr>
              <w:t>.272</w:t>
            </w:r>
          </w:p>
        </w:tc>
        <w:tc>
          <w:tcPr>
            <w:tcW w:w="777" w:type="pct"/>
            <w:tcBorders>
              <w:top w:val="nil"/>
              <w:left w:val="nil"/>
              <w:bottom w:val="nil"/>
              <w:right w:val="nil"/>
            </w:tcBorders>
            <w:vAlign w:val="bottom"/>
          </w:tcPr>
          <w:p w14:paraId="3175E25B" w14:textId="77777777" w:rsidR="00CC3DDD" w:rsidRDefault="00CC3DDD" w:rsidP="00CC3DDD">
            <w:pPr>
              <w:jc w:val="center"/>
              <w:rPr>
                <w:rFonts w:ascii="Garamond" w:eastAsia="Times New Roman" w:hAnsi="Garamond"/>
                <w:color w:val="000000"/>
              </w:rPr>
            </w:pPr>
            <w:r w:rsidRPr="00FA74F2">
              <w:rPr>
                <w:rFonts w:ascii="Garamond" w:eastAsia="Times New Roman" w:hAnsi="Garamond"/>
                <w:color w:val="000000"/>
              </w:rPr>
              <w:t>0.014</w:t>
            </w:r>
          </w:p>
        </w:tc>
        <w:tc>
          <w:tcPr>
            <w:tcW w:w="1148" w:type="pct"/>
            <w:tcBorders>
              <w:top w:val="nil"/>
              <w:left w:val="nil"/>
              <w:bottom w:val="nil"/>
              <w:right w:val="nil"/>
            </w:tcBorders>
            <w:vAlign w:val="bottom"/>
          </w:tcPr>
          <w:p w14:paraId="12797CD3" w14:textId="77777777" w:rsidR="00CC3DDD"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.097</w:t>
            </w:r>
            <w:r>
              <w:rPr>
                <w:rFonts w:ascii="Garamond" w:eastAsia="Times New Roman" w:hAnsi="Garamond"/>
                <w:color w:val="000000"/>
              </w:rPr>
              <w:t xml:space="preserve"> to 0</w:t>
            </w:r>
            <w:r w:rsidRPr="00FA74F2">
              <w:rPr>
                <w:rFonts w:ascii="Garamond" w:eastAsia="Times New Roman" w:hAnsi="Garamond"/>
                <w:color w:val="000000"/>
              </w:rPr>
              <w:t>.126</w:t>
            </w:r>
          </w:p>
        </w:tc>
      </w:tr>
      <w:tr w:rsidR="00CC3DDD" w:rsidRPr="00705E00" w14:paraId="233136C7" w14:textId="77777777" w:rsidTr="00CC3DDD">
        <w:trPr>
          <w:trHeight w:val="320"/>
        </w:trPr>
        <w:tc>
          <w:tcPr>
            <w:tcW w:w="1459" w:type="pct"/>
            <w:tcBorders>
              <w:top w:val="nil"/>
              <w:left w:val="nil"/>
              <w:bottom w:val="nil"/>
              <w:right w:val="nil"/>
            </w:tcBorders>
            <w:shd w:val="clear" w:color="auto" w:fill="auto"/>
            <w:noWrap/>
            <w:vAlign w:val="bottom"/>
            <w:hideMark/>
          </w:tcPr>
          <w:p w14:paraId="4795E382"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Total cholesterol</w:t>
            </w:r>
          </w:p>
        </w:tc>
        <w:tc>
          <w:tcPr>
            <w:tcW w:w="625" w:type="pct"/>
            <w:tcBorders>
              <w:top w:val="nil"/>
              <w:left w:val="nil"/>
              <w:bottom w:val="nil"/>
              <w:right w:val="nil"/>
            </w:tcBorders>
            <w:shd w:val="clear" w:color="auto" w:fill="auto"/>
            <w:noWrap/>
            <w:vAlign w:val="bottom"/>
            <w:hideMark/>
          </w:tcPr>
          <w:p w14:paraId="5C45D787"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0.038</w:t>
            </w:r>
          </w:p>
        </w:tc>
        <w:tc>
          <w:tcPr>
            <w:tcW w:w="991" w:type="pct"/>
            <w:tcBorders>
              <w:top w:val="nil"/>
              <w:left w:val="nil"/>
              <w:bottom w:val="nil"/>
              <w:right w:val="nil"/>
            </w:tcBorders>
            <w:shd w:val="clear" w:color="auto" w:fill="auto"/>
            <w:noWrap/>
            <w:vAlign w:val="bottom"/>
            <w:hideMark/>
          </w:tcPr>
          <w:p w14:paraId="7E6A460F"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.071</w:t>
            </w:r>
            <w:r>
              <w:rPr>
                <w:rFonts w:ascii="Garamond" w:eastAsia="Times New Roman" w:hAnsi="Garamond"/>
                <w:color w:val="000000"/>
              </w:rPr>
              <w:t xml:space="preserve"> to 0</w:t>
            </w:r>
            <w:r w:rsidRPr="00705E00">
              <w:rPr>
                <w:rFonts w:ascii="Garamond" w:eastAsia="Times New Roman" w:hAnsi="Garamond"/>
                <w:color w:val="000000"/>
              </w:rPr>
              <w:t>.148</w:t>
            </w:r>
          </w:p>
        </w:tc>
        <w:tc>
          <w:tcPr>
            <w:tcW w:w="777" w:type="pct"/>
            <w:tcBorders>
              <w:top w:val="nil"/>
              <w:left w:val="nil"/>
              <w:bottom w:val="nil"/>
              <w:right w:val="nil"/>
            </w:tcBorders>
            <w:vAlign w:val="bottom"/>
          </w:tcPr>
          <w:p w14:paraId="4E0E9C7E"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0.056</w:t>
            </w:r>
          </w:p>
        </w:tc>
        <w:tc>
          <w:tcPr>
            <w:tcW w:w="1148" w:type="pct"/>
            <w:tcBorders>
              <w:top w:val="nil"/>
              <w:left w:val="nil"/>
              <w:bottom w:val="nil"/>
              <w:right w:val="nil"/>
            </w:tcBorders>
            <w:vAlign w:val="bottom"/>
          </w:tcPr>
          <w:p w14:paraId="21966F1C"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.046</w:t>
            </w:r>
            <w:r>
              <w:rPr>
                <w:rFonts w:ascii="Garamond" w:eastAsia="Times New Roman" w:hAnsi="Garamond"/>
                <w:color w:val="000000"/>
              </w:rPr>
              <w:t xml:space="preserve"> to 0</w:t>
            </w:r>
            <w:r w:rsidRPr="00FA74F2">
              <w:rPr>
                <w:rFonts w:ascii="Garamond" w:eastAsia="Times New Roman" w:hAnsi="Garamond"/>
                <w:color w:val="000000"/>
              </w:rPr>
              <w:t>.159</w:t>
            </w:r>
          </w:p>
        </w:tc>
      </w:tr>
      <w:tr w:rsidR="00CC3DDD" w:rsidRPr="00705E00" w14:paraId="4ADFACAB" w14:textId="77777777" w:rsidTr="00CC3DDD">
        <w:trPr>
          <w:trHeight w:val="320"/>
        </w:trPr>
        <w:tc>
          <w:tcPr>
            <w:tcW w:w="1459" w:type="pct"/>
            <w:tcBorders>
              <w:top w:val="nil"/>
              <w:left w:val="nil"/>
              <w:bottom w:val="nil"/>
              <w:right w:val="nil"/>
            </w:tcBorders>
            <w:shd w:val="clear" w:color="auto" w:fill="auto"/>
            <w:noWrap/>
            <w:vAlign w:val="bottom"/>
            <w:hideMark/>
          </w:tcPr>
          <w:p w14:paraId="320F2D36"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Cholesterol HDL</w:t>
            </w:r>
          </w:p>
        </w:tc>
        <w:tc>
          <w:tcPr>
            <w:tcW w:w="625" w:type="pct"/>
            <w:tcBorders>
              <w:top w:val="nil"/>
              <w:left w:val="nil"/>
              <w:bottom w:val="nil"/>
              <w:right w:val="nil"/>
            </w:tcBorders>
            <w:shd w:val="clear" w:color="auto" w:fill="auto"/>
            <w:noWrap/>
            <w:vAlign w:val="bottom"/>
            <w:hideMark/>
          </w:tcPr>
          <w:p w14:paraId="0B463DF2"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0.004</w:t>
            </w:r>
          </w:p>
        </w:tc>
        <w:tc>
          <w:tcPr>
            <w:tcW w:w="991" w:type="pct"/>
            <w:tcBorders>
              <w:top w:val="nil"/>
              <w:left w:val="nil"/>
              <w:bottom w:val="nil"/>
              <w:right w:val="nil"/>
            </w:tcBorders>
            <w:shd w:val="clear" w:color="auto" w:fill="auto"/>
            <w:noWrap/>
            <w:vAlign w:val="bottom"/>
            <w:hideMark/>
          </w:tcPr>
          <w:p w14:paraId="20C331C7"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.106</w:t>
            </w:r>
            <w:r>
              <w:rPr>
                <w:rFonts w:ascii="Garamond" w:eastAsia="Times New Roman" w:hAnsi="Garamond"/>
                <w:color w:val="000000"/>
              </w:rPr>
              <w:t xml:space="preserve"> to 0</w:t>
            </w:r>
            <w:r w:rsidRPr="00705E00">
              <w:rPr>
                <w:rFonts w:ascii="Garamond" w:eastAsia="Times New Roman" w:hAnsi="Garamond"/>
                <w:color w:val="000000"/>
              </w:rPr>
              <w:t>.115</w:t>
            </w:r>
          </w:p>
        </w:tc>
        <w:tc>
          <w:tcPr>
            <w:tcW w:w="777" w:type="pct"/>
            <w:tcBorders>
              <w:top w:val="nil"/>
              <w:left w:val="nil"/>
              <w:bottom w:val="nil"/>
              <w:right w:val="nil"/>
            </w:tcBorders>
            <w:vAlign w:val="bottom"/>
          </w:tcPr>
          <w:p w14:paraId="7B594FFE"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-0.126</w:t>
            </w:r>
          </w:p>
        </w:tc>
        <w:tc>
          <w:tcPr>
            <w:tcW w:w="1148" w:type="pct"/>
            <w:tcBorders>
              <w:top w:val="nil"/>
              <w:left w:val="nil"/>
              <w:bottom w:val="nil"/>
              <w:right w:val="nil"/>
            </w:tcBorders>
            <w:vAlign w:val="bottom"/>
          </w:tcPr>
          <w:p w14:paraId="2C5EC606"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.260</w:t>
            </w:r>
            <w:r>
              <w:rPr>
                <w:rFonts w:ascii="Garamond" w:eastAsia="Times New Roman" w:hAnsi="Garamond"/>
                <w:color w:val="000000"/>
              </w:rPr>
              <w:t xml:space="preserve"> to 0</w:t>
            </w:r>
            <w:r w:rsidRPr="00FA74F2">
              <w:rPr>
                <w:rFonts w:ascii="Garamond" w:eastAsia="Times New Roman" w:hAnsi="Garamond"/>
                <w:color w:val="000000"/>
              </w:rPr>
              <w:t>.007</w:t>
            </w:r>
          </w:p>
        </w:tc>
      </w:tr>
      <w:tr w:rsidR="00CC3DDD" w:rsidRPr="00705E00" w14:paraId="22ECDA27" w14:textId="77777777" w:rsidTr="00CC3DDD">
        <w:trPr>
          <w:trHeight w:val="320"/>
        </w:trPr>
        <w:tc>
          <w:tcPr>
            <w:tcW w:w="1459" w:type="pct"/>
            <w:tcBorders>
              <w:top w:val="nil"/>
              <w:left w:val="nil"/>
              <w:bottom w:val="nil"/>
              <w:right w:val="nil"/>
            </w:tcBorders>
            <w:shd w:val="clear" w:color="auto" w:fill="auto"/>
            <w:noWrap/>
            <w:vAlign w:val="bottom"/>
            <w:hideMark/>
          </w:tcPr>
          <w:p w14:paraId="01F009D2"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Triglycerides</w:t>
            </w:r>
          </w:p>
        </w:tc>
        <w:tc>
          <w:tcPr>
            <w:tcW w:w="625" w:type="pct"/>
            <w:tcBorders>
              <w:top w:val="nil"/>
              <w:left w:val="nil"/>
              <w:bottom w:val="nil"/>
              <w:right w:val="nil"/>
            </w:tcBorders>
            <w:shd w:val="clear" w:color="auto" w:fill="auto"/>
            <w:noWrap/>
            <w:vAlign w:val="bottom"/>
            <w:hideMark/>
          </w:tcPr>
          <w:p w14:paraId="70B56DC4"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0.131***</w:t>
            </w:r>
          </w:p>
        </w:tc>
        <w:tc>
          <w:tcPr>
            <w:tcW w:w="991" w:type="pct"/>
            <w:tcBorders>
              <w:top w:val="nil"/>
              <w:left w:val="nil"/>
              <w:bottom w:val="nil"/>
              <w:right w:val="nil"/>
            </w:tcBorders>
            <w:shd w:val="clear" w:color="auto" w:fill="auto"/>
            <w:noWrap/>
            <w:vAlign w:val="bottom"/>
            <w:hideMark/>
          </w:tcPr>
          <w:p w14:paraId="7B40E60C" w14:textId="77777777" w:rsidR="00CC3DDD" w:rsidRPr="00705E00" w:rsidRDefault="00CC3DDD" w:rsidP="00CC3DDD">
            <w:pPr>
              <w:jc w:val="center"/>
              <w:rPr>
                <w:rFonts w:ascii="Garamond" w:eastAsia="Times New Roman" w:hAnsi="Garamond"/>
                <w:color w:val="000000"/>
              </w:rPr>
            </w:pPr>
            <w:r>
              <w:rPr>
                <w:rFonts w:ascii="Garamond" w:eastAsia="Times New Roman" w:hAnsi="Garamond"/>
                <w:color w:val="000000"/>
              </w:rPr>
              <w:t>0</w:t>
            </w:r>
            <w:r w:rsidRPr="00705E00">
              <w:rPr>
                <w:rFonts w:ascii="Garamond" w:eastAsia="Times New Roman" w:hAnsi="Garamond"/>
                <w:color w:val="000000"/>
              </w:rPr>
              <w:t>.036</w:t>
            </w:r>
            <w:r>
              <w:rPr>
                <w:rFonts w:ascii="Garamond" w:eastAsia="Times New Roman" w:hAnsi="Garamond"/>
                <w:color w:val="000000"/>
              </w:rPr>
              <w:t xml:space="preserve"> to 0</w:t>
            </w:r>
            <w:r w:rsidRPr="00705E00">
              <w:rPr>
                <w:rFonts w:ascii="Garamond" w:eastAsia="Times New Roman" w:hAnsi="Garamond"/>
                <w:color w:val="000000"/>
              </w:rPr>
              <w:t>.225</w:t>
            </w:r>
          </w:p>
        </w:tc>
        <w:tc>
          <w:tcPr>
            <w:tcW w:w="777" w:type="pct"/>
            <w:tcBorders>
              <w:top w:val="nil"/>
              <w:left w:val="nil"/>
              <w:bottom w:val="nil"/>
              <w:right w:val="nil"/>
            </w:tcBorders>
            <w:vAlign w:val="bottom"/>
          </w:tcPr>
          <w:p w14:paraId="03C65638" w14:textId="77777777" w:rsidR="00CC3DDD" w:rsidRDefault="00CC3DDD" w:rsidP="00CC3DDD">
            <w:pPr>
              <w:jc w:val="center"/>
              <w:rPr>
                <w:rFonts w:ascii="Garamond" w:eastAsia="Times New Roman" w:hAnsi="Garamond"/>
                <w:color w:val="000000"/>
              </w:rPr>
            </w:pPr>
            <w:r w:rsidRPr="00FA74F2">
              <w:rPr>
                <w:rFonts w:ascii="Garamond" w:eastAsia="Times New Roman" w:hAnsi="Garamond"/>
                <w:color w:val="000000"/>
              </w:rPr>
              <w:t>0.085</w:t>
            </w:r>
          </w:p>
        </w:tc>
        <w:tc>
          <w:tcPr>
            <w:tcW w:w="1148" w:type="pct"/>
            <w:tcBorders>
              <w:top w:val="nil"/>
              <w:left w:val="nil"/>
              <w:bottom w:val="nil"/>
              <w:right w:val="nil"/>
            </w:tcBorders>
            <w:vAlign w:val="bottom"/>
          </w:tcPr>
          <w:p w14:paraId="6AE65F8F" w14:textId="77777777" w:rsidR="00CC3DDD"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.016</w:t>
            </w:r>
            <w:r>
              <w:rPr>
                <w:rFonts w:ascii="Garamond" w:eastAsia="Times New Roman" w:hAnsi="Garamond"/>
                <w:color w:val="000000"/>
              </w:rPr>
              <w:t xml:space="preserve"> to 0</w:t>
            </w:r>
            <w:r w:rsidRPr="00FA74F2">
              <w:rPr>
                <w:rFonts w:ascii="Garamond" w:eastAsia="Times New Roman" w:hAnsi="Garamond"/>
                <w:color w:val="000000"/>
              </w:rPr>
              <w:t>.186</w:t>
            </w:r>
          </w:p>
        </w:tc>
      </w:tr>
      <w:tr w:rsidR="00CC3DDD" w:rsidRPr="00705E00" w14:paraId="62DF760A" w14:textId="77777777" w:rsidTr="00CC3DDD">
        <w:trPr>
          <w:trHeight w:val="320"/>
        </w:trPr>
        <w:tc>
          <w:tcPr>
            <w:tcW w:w="1459" w:type="pct"/>
            <w:tcBorders>
              <w:top w:val="nil"/>
              <w:left w:val="nil"/>
              <w:bottom w:val="nil"/>
              <w:right w:val="nil"/>
            </w:tcBorders>
            <w:shd w:val="clear" w:color="auto" w:fill="auto"/>
            <w:noWrap/>
            <w:vAlign w:val="bottom"/>
            <w:hideMark/>
          </w:tcPr>
          <w:p w14:paraId="7379BE8A"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Gamma GT</w:t>
            </w:r>
          </w:p>
        </w:tc>
        <w:tc>
          <w:tcPr>
            <w:tcW w:w="625" w:type="pct"/>
            <w:tcBorders>
              <w:top w:val="nil"/>
              <w:left w:val="nil"/>
              <w:bottom w:val="nil"/>
              <w:right w:val="nil"/>
            </w:tcBorders>
            <w:shd w:val="clear" w:color="auto" w:fill="auto"/>
            <w:noWrap/>
            <w:vAlign w:val="bottom"/>
            <w:hideMark/>
          </w:tcPr>
          <w:p w14:paraId="208FB310"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0.016</w:t>
            </w:r>
          </w:p>
        </w:tc>
        <w:tc>
          <w:tcPr>
            <w:tcW w:w="991" w:type="pct"/>
            <w:tcBorders>
              <w:top w:val="nil"/>
              <w:left w:val="nil"/>
              <w:bottom w:val="nil"/>
              <w:right w:val="nil"/>
            </w:tcBorders>
            <w:shd w:val="clear" w:color="auto" w:fill="auto"/>
            <w:noWrap/>
            <w:vAlign w:val="bottom"/>
            <w:hideMark/>
          </w:tcPr>
          <w:p w14:paraId="43D53B43"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.111</w:t>
            </w:r>
            <w:r>
              <w:rPr>
                <w:rFonts w:ascii="Garamond" w:eastAsia="Times New Roman" w:hAnsi="Garamond"/>
                <w:color w:val="000000"/>
              </w:rPr>
              <w:t xml:space="preserve"> to 0</w:t>
            </w:r>
            <w:r w:rsidRPr="00705E00">
              <w:rPr>
                <w:rFonts w:ascii="Garamond" w:eastAsia="Times New Roman" w:hAnsi="Garamond"/>
                <w:color w:val="000000"/>
              </w:rPr>
              <w:t>.144</w:t>
            </w:r>
          </w:p>
        </w:tc>
        <w:tc>
          <w:tcPr>
            <w:tcW w:w="777" w:type="pct"/>
            <w:tcBorders>
              <w:top w:val="nil"/>
              <w:left w:val="nil"/>
              <w:bottom w:val="nil"/>
              <w:right w:val="nil"/>
            </w:tcBorders>
            <w:vAlign w:val="bottom"/>
          </w:tcPr>
          <w:p w14:paraId="664F59FF"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0.009</w:t>
            </w:r>
          </w:p>
        </w:tc>
        <w:tc>
          <w:tcPr>
            <w:tcW w:w="1148" w:type="pct"/>
            <w:tcBorders>
              <w:top w:val="nil"/>
              <w:left w:val="nil"/>
              <w:bottom w:val="nil"/>
              <w:right w:val="nil"/>
            </w:tcBorders>
            <w:vAlign w:val="bottom"/>
          </w:tcPr>
          <w:p w14:paraId="0D3C719E"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.108</w:t>
            </w:r>
            <w:r>
              <w:rPr>
                <w:rFonts w:ascii="Garamond" w:eastAsia="Times New Roman" w:hAnsi="Garamond"/>
                <w:color w:val="000000"/>
              </w:rPr>
              <w:t xml:space="preserve"> to 0</w:t>
            </w:r>
            <w:r w:rsidRPr="00FA74F2">
              <w:rPr>
                <w:rFonts w:ascii="Garamond" w:eastAsia="Times New Roman" w:hAnsi="Garamond"/>
                <w:color w:val="000000"/>
              </w:rPr>
              <w:t>.127</w:t>
            </w:r>
          </w:p>
        </w:tc>
      </w:tr>
      <w:tr w:rsidR="00CC3DDD" w:rsidRPr="00705E00" w14:paraId="5A2093F5" w14:textId="77777777" w:rsidTr="00CC3DDD">
        <w:trPr>
          <w:trHeight w:val="320"/>
        </w:trPr>
        <w:tc>
          <w:tcPr>
            <w:tcW w:w="1459" w:type="pct"/>
            <w:tcBorders>
              <w:top w:val="nil"/>
              <w:left w:val="nil"/>
              <w:bottom w:val="nil"/>
              <w:right w:val="nil"/>
            </w:tcBorders>
            <w:shd w:val="clear" w:color="auto" w:fill="auto"/>
            <w:noWrap/>
            <w:vAlign w:val="bottom"/>
            <w:hideMark/>
          </w:tcPr>
          <w:p w14:paraId="31C04DF4"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Transaminase</w:t>
            </w:r>
          </w:p>
        </w:tc>
        <w:tc>
          <w:tcPr>
            <w:tcW w:w="625" w:type="pct"/>
            <w:tcBorders>
              <w:top w:val="nil"/>
              <w:left w:val="nil"/>
              <w:bottom w:val="nil"/>
              <w:right w:val="nil"/>
            </w:tcBorders>
            <w:shd w:val="clear" w:color="auto" w:fill="auto"/>
            <w:noWrap/>
            <w:vAlign w:val="bottom"/>
            <w:hideMark/>
          </w:tcPr>
          <w:p w14:paraId="397B47D5"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-0.055</w:t>
            </w:r>
          </w:p>
        </w:tc>
        <w:tc>
          <w:tcPr>
            <w:tcW w:w="991" w:type="pct"/>
            <w:tcBorders>
              <w:top w:val="nil"/>
              <w:left w:val="nil"/>
              <w:bottom w:val="nil"/>
              <w:right w:val="nil"/>
            </w:tcBorders>
            <w:shd w:val="clear" w:color="auto" w:fill="auto"/>
            <w:noWrap/>
            <w:vAlign w:val="bottom"/>
            <w:hideMark/>
          </w:tcPr>
          <w:p w14:paraId="497F8714"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.176</w:t>
            </w:r>
            <w:r>
              <w:rPr>
                <w:rFonts w:ascii="Garamond" w:eastAsia="Times New Roman" w:hAnsi="Garamond"/>
                <w:color w:val="000000"/>
              </w:rPr>
              <w:t xml:space="preserve"> to 0</w:t>
            </w:r>
            <w:r w:rsidRPr="00705E00">
              <w:rPr>
                <w:rFonts w:ascii="Garamond" w:eastAsia="Times New Roman" w:hAnsi="Garamond"/>
                <w:color w:val="000000"/>
              </w:rPr>
              <w:t>.065</w:t>
            </w:r>
          </w:p>
        </w:tc>
        <w:tc>
          <w:tcPr>
            <w:tcW w:w="777" w:type="pct"/>
            <w:tcBorders>
              <w:top w:val="nil"/>
              <w:left w:val="nil"/>
              <w:bottom w:val="nil"/>
              <w:right w:val="nil"/>
            </w:tcBorders>
            <w:vAlign w:val="bottom"/>
          </w:tcPr>
          <w:p w14:paraId="3C6DD5CB"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-0.011</w:t>
            </w:r>
          </w:p>
        </w:tc>
        <w:tc>
          <w:tcPr>
            <w:tcW w:w="1148" w:type="pct"/>
            <w:tcBorders>
              <w:top w:val="nil"/>
              <w:left w:val="nil"/>
              <w:bottom w:val="nil"/>
              <w:right w:val="nil"/>
            </w:tcBorders>
            <w:vAlign w:val="bottom"/>
          </w:tcPr>
          <w:p w14:paraId="5CAFAA2E"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.107</w:t>
            </w:r>
            <w:r>
              <w:rPr>
                <w:rFonts w:ascii="Garamond" w:eastAsia="Times New Roman" w:hAnsi="Garamond"/>
                <w:color w:val="000000"/>
              </w:rPr>
              <w:t xml:space="preserve"> to 0</w:t>
            </w:r>
            <w:r w:rsidRPr="00FA74F2">
              <w:rPr>
                <w:rFonts w:ascii="Garamond" w:eastAsia="Times New Roman" w:hAnsi="Garamond"/>
                <w:color w:val="000000"/>
              </w:rPr>
              <w:t>.085</w:t>
            </w:r>
          </w:p>
        </w:tc>
      </w:tr>
      <w:tr w:rsidR="00CC3DDD" w:rsidRPr="00705E00" w14:paraId="0CB18E06" w14:textId="77777777" w:rsidTr="00CC3DDD">
        <w:trPr>
          <w:trHeight w:val="320"/>
        </w:trPr>
        <w:tc>
          <w:tcPr>
            <w:tcW w:w="1459" w:type="pct"/>
            <w:tcBorders>
              <w:top w:val="nil"/>
              <w:left w:val="nil"/>
              <w:bottom w:val="nil"/>
              <w:right w:val="nil"/>
            </w:tcBorders>
            <w:shd w:val="clear" w:color="auto" w:fill="auto"/>
            <w:noWrap/>
            <w:vAlign w:val="bottom"/>
            <w:hideMark/>
          </w:tcPr>
          <w:p w14:paraId="2ED8F167"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Creatinine</w:t>
            </w:r>
          </w:p>
        </w:tc>
        <w:tc>
          <w:tcPr>
            <w:tcW w:w="625" w:type="pct"/>
            <w:tcBorders>
              <w:top w:val="nil"/>
              <w:left w:val="nil"/>
              <w:bottom w:val="nil"/>
              <w:right w:val="nil"/>
            </w:tcBorders>
            <w:shd w:val="clear" w:color="auto" w:fill="auto"/>
            <w:noWrap/>
            <w:vAlign w:val="bottom"/>
            <w:hideMark/>
          </w:tcPr>
          <w:p w14:paraId="53B1B643"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0.031</w:t>
            </w:r>
          </w:p>
        </w:tc>
        <w:tc>
          <w:tcPr>
            <w:tcW w:w="991" w:type="pct"/>
            <w:tcBorders>
              <w:top w:val="nil"/>
              <w:left w:val="nil"/>
              <w:bottom w:val="nil"/>
              <w:right w:val="nil"/>
            </w:tcBorders>
            <w:shd w:val="clear" w:color="auto" w:fill="auto"/>
            <w:noWrap/>
            <w:vAlign w:val="bottom"/>
            <w:hideMark/>
          </w:tcPr>
          <w:p w14:paraId="63AA0ADE"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.057</w:t>
            </w:r>
            <w:r>
              <w:rPr>
                <w:rFonts w:ascii="Garamond" w:eastAsia="Times New Roman" w:hAnsi="Garamond"/>
                <w:color w:val="000000"/>
              </w:rPr>
              <w:t xml:space="preserve"> to 0</w:t>
            </w:r>
            <w:r w:rsidRPr="00705E00">
              <w:rPr>
                <w:rFonts w:ascii="Garamond" w:eastAsia="Times New Roman" w:hAnsi="Garamond"/>
                <w:color w:val="000000"/>
              </w:rPr>
              <w:t>.121</w:t>
            </w:r>
          </w:p>
        </w:tc>
        <w:tc>
          <w:tcPr>
            <w:tcW w:w="777" w:type="pct"/>
            <w:tcBorders>
              <w:top w:val="nil"/>
              <w:left w:val="nil"/>
              <w:bottom w:val="nil"/>
              <w:right w:val="nil"/>
            </w:tcBorders>
            <w:vAlign w:val="bottom"/>
          </w:tcPr>
          <w:p w14:paraId="0D6FE162"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0.001</w:t>
            </w:r>
          </w:p>
        </w:tc>
        <w:tc>
          <w:tcPr>
            <w:tcW w:w="1148" w:type="pct"/>
            <w:tcBorders>
              <w:top w:val="nil"/>
              <w:left w:val="nil"/>
              <w:bottom w:val="nil"/>
              <w:right w:val="nil"/>
            </w:tcBorders>
            <w:vAlign w:val="bottom"/>
          </w:tcPr>
          <w:p w14:paraId="18263450"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.087</w:t>
            </w:r>
            <w:r>
              <w:rPr>
                <w:rFonts w:ascii="Garamond" w:eastAsia="Times New Roman" w:hAnsi="Garamond"/>
                <w:color w:val="000000"/>
              </w:rPr>
              <w:t xml:space="preserve"> to 0</w:t>
            </w:r>
            <w:r w:rsidRPr="00FA74F2">
              <w:rPr>
                <w:rFonts w:ascii="Garamond" w:eastAsia="Times New Roman" w:hAnsi="Garamond"/>
                <w:color w:val="000000"/>
              </w:rPr>
              <w:t>.089</w:t>
            </w:r>
          </w:p>
        </w:tc>
      </w:tr>
      <w:tr w:rsidR="00CC3DDD" w:rsidRPr="00705E00" w14:paraId="6FC5C62C" w14:textId="77777777" w:rsidTr="00CC3DDD">
        <w:trPr>
          <w:trHeight w:val="320"/>
        </w:trPr>
        <w:tc>
          <w:tcPr>
            <w:tcW w:w="1459" w:type="pct"/>
            <w:tcBorders>
              <w:top w:val="nil"/>
              <w:left w:val="nil"/>
              <w:bottom w:val="nil"/>
              <w:right w:val="nil"/>
            </w:tcBorders>
            <w:shd w:val="clear" w:color="auto" w:fill="auto"/>
            <w:noWrap/>
            <w:vAlign w:val="bottom"/>
            <w:hideMark/>
          </w:tcPr>
          <w:p w14:paraId="12A22F0F"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White blood cells</w:t>
            </w:r>
          </w:p>
        </w:tc>
        <w:tc>
          <w:tcPr>
            <w:tcW w:w="625" w:type="pct"/>
            <w:tcBorders>
              <w:top w:val="nil"/>
              <w:left w:val="nil"/>
              <w:bottom w:val="nil"/>
              <w:right w:val="nil"/>
            </w:tcBorders>
            <w:shd w:val="clear" w:color="auto" w:fill="auto"/>
            <w:noWrap/>
            <w:vAlign w:val="bottom"/>
            <w:hideMark/>
          </w:tcPr>
          <w:p w14:paraId="72F412BC"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0.173*</w:t>
            </w:r>
          </w:p>
        </w:tc>
        <w:tc>
          <w:tcPr>
            <w:tcW w:w="991" w:type="pct"/>
            <w:tcBorders>
              <w:top w:val="nil"/>
              <w:left w:val="nil"/>
              <w:bottom w:val="nil"/>
              <w:right w:val="nil"/>
            </w:tcBorders>
            <w:shd w:val="clear" w:color="auto" w:fill="auto"/>
            <w:noWrap/>
            <w:vAlign w:val="bottom"/>
            <w:hideMark/>
          </w:tcPr>
          <w:p w14:paraId="187FB0A8" w14:textId="77777777" w:rsidR="00CC3DDD" w:rsidRPr="00705E00" w:rsidRDefault="00CC3DDD" w:rsidP="00CC3DDD">
            <w:pPr>
              <w:rPr>
                <w:rFonts w:ascii="Garamond" w:eastAsia="Times New Roman" w:hAnsi="Garamond"/>
                <w:color w:val="000000"/>
              </w:rPr>
            </w:pPr>
            <w:r>
              <w:rPr>
                <w:rFonts w:ascii="Garamond" w:eastAsia="Times New Roman" w:hAnsi="Garamond"/>
                <w:color w:val="000000"/>
              </w:rPr>
              <w:t>0</w:t>
            </w:r>
            <w:r w:rsidRPr="00705E00">
              <w:rPr>
                <w:rFonts w:ascii="Garamond" w:eastAsia="Times New Roman" w:hAnsi="Garamond"/>
                <w:color w:val="000000"/>
              </w:rPr>
              <w:t>.011</w:t>
            </w:r>
            <w:r>
              <w:rPr>
                <w:rFonts w:ascii="Garamond" w:eastAsia="Times New Roman" w:hAnsi="Garamond"/>
                <w:color w:val="000000"/>
              </w:rPr>
              <w:t xml:space="preserve"> to 0</w:t>
            </w:r>
            <w:r w:rsidRPr="00705E00">
              <w:rPr>
                <w:rFonts w:ascii="Garamond" w:eastAsia="Times New Roman" w:hAnsi="Garamond"/>
                <w:color w:val="000000"/>
              </w:rPr>
              <w:t>.335</w:t>
            </w:r>
          </w:p>
        </w:tc>
        <w:tc>
          <w:tcPr>
            <w:tcW w:w="777" w:type="pct"/>
            <w:tcBorders>
              <w:top w:val="nil"/>
              <w:left w:val="nil"/>
              <w:bottom w:val="nil"/>
              <w:right w:val="nil"/>
            </w:tcBorders>
            <w:vAlign w:val="bottom"/>
          </w:tcPr>
          <w:p w14:paraId="75A8E855"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0.117</w:t>
            </w:r>
          </w:p>
        </w:tc>
        <w:tc>
          <w:tcPr>
            <w:tcW w:w="1148" w:type="pct"/>
            <w:tcBorders>
              <w:top w:val="nil"/>
              <w:left w:val="nil"/>
              <w:bottom w:val="nil"/>
              <w:right w:val="nil"/>
            </w:tcBorders>
            <w:vAlign w:val="bottom"/>
          </w:tcPr>
          <w:p w14:paraId="6BE5F3C5"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.003</w:t>
            </w:r>
            <w:r>
              <w:rPr>
                <w:rFonts w:ascii="Garamond" w:eastAsia="Times New Roman" w:hAnsi="Garamond"/>
                <w:color w:val="000000"/>
              </w:rPr>
              <w:t xml:space="preserve"> to 0</w:t>
            </w:r>
            <w:r w:rsidRPr="00FA74F2">
              <w:rPr>
                <w:rFonts w:ascii="Garamond" w:eastAsia="Times New Roman" w:hAnsi="Garamond"/>
                <w:color w:val="000000"/>
              </w:rPr>
              <w:t>.237</w:t>
            </w:r>
          </w:p>
        </w:tc>
      </w:tr>
      <w:tr w:rsidR="00CC3DDD" w:rsidRPr="00705E00" w14:paraId="2AC2242B" w14:textId="77777777" w:rsidTr="00CC3DDD">
        <w:trPr>
          <w:trHeight w:val="320"/>
        </w:trPr>
        <w:tc>
          <w:tcPr>
            <w:tcW w:w="1459" w:type="pct"/>
            <w:tcBorders>
              <w:top w:val="nil"/>
              <w:left w:val="nil"/>
              <w:bottom w:val="nil"/>
              <w:right w:val="nil"/>
            </w:tcBorders>
            <w:shd w:val="clear" w:color="auto" w:fill="auto"/>
            <w:noWrap/>
            <w:vAlign w:val="bottom"/>
            <w:hideMark/>
          </w:tcPr>
          <w:p w14:paraId="11507EB2"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Hemoglobin</w:t>
            </w:r>
          </w:p>
        </w:tc>
        <w:tc>
          <w:tcPr>
            <w:tcW w:w="625" w:type="pct"/>
            <w:tcBorders>
              <w:top w:val="nil"/>
              <w:left w:val="nil"/>
              <w:bottom w:val="nil"/>
              <w:right w:val="nil"/>
            </w:tcBorders>
            <w:shd w:val="clear" w:color="auto" w:fill="auto"/>
            <w:noWrap/>
            <w:vAlign w:val="bottom"/>
            <w:hideMark/>
          </w:tcPr>
          <w:p w14:paraId="58193E1E"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-0.074</w:t>
            </w:r>
          </w:p>
        </w:tc>
        <w:tc>
          <w:tcPr>
            <w:tcW w:w="991" w:type="pct"/>
            <w:tcBorders>
              <w:top w:val="nil"/>
              <w:left w:val="nil"/>
              <w:bottom w:val="nil"/>
              <w:right w:val="nil"/>
            </w:tcBorders>
            <w:shd w:val="clear" w:color="auto" w:fill="auto"/>
            <w:noWrap/>
            <w:vAlign w:val="bottom"/>
            <w:hideMark/>
          </w:tcPr>
          <w:p w14:paraId="5B70DB5D" w14:textId="77777777" w:rsidR="00CC3DDD" w:rsidRPr="00705E00" w:rsidRDefault="00CC3DDD" w:rsidP="00CC3DDD">
            <w:pPr>
              <w:jc w:val="center"/>
              <w:rPr>
                <w:rFonts w:ascii="Garamond" w:eastAsia="Times New Roman" w:hAnsi="Garamond"/>
                <w:color w:val="000000"/>
              </w:rPr>
            </w:pPr>
            <w:r>
              <w:rPr>
                <w:rFonts w:ascii="Garamond" w:eastAsia="Times New Roman" w:hAnsi="Garamond"/>
                <w:color w:val="000000"/>
              </w:rPr>
              <w:t>0</w:t>
            </w:r>
            <w:r w:rsidRPr="00705E00">
              <w:rPr>
                <w:rFonts w:ascii="Garamond" w:eastAsia="Times New Roman" w:hAnsi="Garamond"/>
                <w:color w:val="000000"/>
              </w:rPr>
              <w:t>.168</w:t>
            </w:r>
            <w:r>
              <w:rPr>
                <w:rFonts w:ascii="Garamond" w:eastAsia="Times New Roman" w:hAnsi="Garamond"/>
                <w:color w:val="000000"/>
              </w:rPr>
              <w:t xml:space="preserve"> to 0</w:t>
            </w:r>
            <w:r w:rsidRPr="00705E00">
              <w:rPr>
                <w:rFonts w:ascii="Garamond" w:eastAsia="Times New Roman" w:hAnsi="Garamond"/>
                <w:color w:val="000000"/>
              </w:rPr>
              <w:t>.019</w:t>
            </w:r>
          </w:p>
        </w:tc>
        <w:tc>
          <w:tcPr>
            <w:tcW w:w="777" w:type="pct"/>
            <w:tcBorders>
              <w:top w:val="nil"/>
              <w:left w:val="nil"/>
              <w:bottom w:val="nil"/>
              <w:right w:val="nil"/>
            </w:tcBorders>
            <w:vAlign w:val="bottom"/>
          </w:tcPr>
          <w:p w14:paraId="139C7028" w14:textId="77777777" w:rsidR="00CC3DDD" w:rsidRDefault="00CC3DDD" w:rsidP="00CC3DDD">
            <w:pPr>
              <w:jc w:val="center"/>
              <w:rPr>
                <w:rFonts w:ascii="Garamond" w:eastAsia="Times New Roman" w:hAnsi="Garamond"/>
                <w:color w:val="000000"/>
              </w:rPr>
            </w:pPr>
            <w:r w:rsidRPr="00FA74F2">
              <w:rPr>
                <w:rFonts w:ascii="Garamond" w:eastAsia="Times New Roman" w:hAnsi="Garamond"/>
                <w:color w:val="000000"/>
              </w:rPr>
              <w:t>0.064</w:t>
            </w:r>
          </w:p>
        </w:tc>
        <w:tc>
          <w:tcPr>
            <w:tcW w:w="1148" w:type="pct"/>
            <w:tcBorders>
              <w:top w:val="nil"/>
              <w:left w:val="nil"/>
              <w:bottom w:val="nil"/>
              <w:right w:val="nil"/>
            </w:tcBorders>
            <w:vAlign w:val="bottom"/>
          </w:tcPr>
          <w:p w14:paraId="73875B30" w14:textId="77777777" w:rsidR="00CC3DDD"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.011</w:t>
            </w:r>
            <w:r>
              <w:rPr>
                <w:rFonts w:ascii="Garamond" w:eastAsia="Times New Roman" w:hAnsi="Garamond"/>
                <w:color w:val="000000"/>
              </w:rPr>
              <w:t xml:space="preserve"> to 0</w:t>
            </w:r>
            <w:r w:rsidRPr="00FA74F2">
              <w:rPr>
                <w:rFonts w:ascii="Garamond" w:eastAsia="Times New Roman" w:hAnsi="Garamond"/>
                <w:color w:val="000000"/>
              </w:rPr>
              <w:t>.141</w:t>
            </w:r>
          </w:p>
        </w:tc>
      </w:tr>
      <w:tr w:rsidR="00CC3DDD" w:rsidRPr="00705E00" w14:paraId="0EBC00A0" w14:textId="77777777" w:rsidTr="00CC3DDD">
        <w:trPr>
          <w:trHeight w:val="320"/>
        </w:trPr>
        <w:tc>
          <w:tcPr>
            <w:tcW w:w="1459" w:type="pct"/>
            <w:tcBorders>
              <w:top w:val="nil"/>
              <w:left w:val="nil"/>
              <w:bottom w:val="nil"/>
              <w:right w:val="nil"/>
            </w:tcBorders>
            <w:shd w:val="clear" w:color="auto" w:fill="auto"/>
            <w:noWrap/>
            <w:vAlign w:val="bottom"/>
            <w:hideMark/>
          </w:tcPr>
          <w:p w14:paraId="74F25677"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Hematocrit</w:t>
            </w:r>
          </w:p>
        </w:tc>
        <w:tc>
          <w:tcPr>
            <w:tcW w:w="625" w:type="pct"/>
            <w:tcBorders>
              <w:top w:val="nil"/>
              <w:left w:val="nil"/>
              <w:bottom w:val="nil"/>
              <w:right w:val="nil"/>
            </w:tcBorders>
            <w:shd w:val="clear" w:color="auto" w:fill="auto"/>
            <w:noWrap/>
            <w:vAlign w:val="bottom"/>
            <w:hideMark/>
          </w:tcPr>
          <w:p w14:paraId="0FEC1310"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0.032</w:t>
            </w:r>
          </w:p>
        </w:tc>
        <w:tc>
          <w:tcPr>
            <w:tcW w:w="991" w:type="pct"/>
            <w:tcBorders>
              <w:top w:val="nil"/>
              <w:left w:val="nil"/>
              <w:bottom w:val="nil"/>
              <w:right w:val="nil"/>
            </w:tcBorders>
            <w:shd w:val="clear" w:color="auto" w:fill="auto"/>
            <w:noWrap/>
            <w:vAlign w:val="bottom"/>
            <w:hideMark/>
          </w:tcPr>
          <w:p w14:paraId="6EA3FBCA"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.100</w:t>
            </w:r>
            <w:r>
              <w:rPr>
                <w:rFonts w:ascii="Garamond" w:eastAsia="Times New Roman" w:hAnsi="Garamond"/>
                <w:color w:val="000000"/>
              </w:rPr>
              <w:t xml:space="preserve"> to 0</w:t>
            </w:r>
            <w:r w:rsidRPr="00705E00">
              <w:rPr>
                <w:rFonts w:ascii="Garamond" w:eastAsia="Times New Roman" w:hAnsi="Garamond"/>
                <w:color w:val="000000"/>
              </w:rPr>
              <w:t>.165</w:t>
            </w:r>
          </w:p>
        </w:tc>
        <w:tc>
          <w:tcPr>
            <w:tcW w:w="777" w:type="pct"/>
            <w:tcBorders>
              <w:top w:val="nil"/>
              <w:left w:val="nil"/>
              <w:bottom w:val="nil"/>
              <w:right w:val="nil"/>
            </w:tcBorders>
            <w:vAlign w:val="bottom"/>
          </w:tcPr>
          <w:p w14:paraId="23FF7051"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-0.021</w:t>
            </w:r>
          </w:p>
        </w:tc>
        <w:tc>
          <w:tcPr>
            <w:tcW w:w="1148" w:type="pct"/>
            <w:tcBorders>
              <w:top w:val="nil"/>
              <w:left w:val="nil"/>
              <w:bottom w:val="nil"/>
              <w:right w:val="nil"/>
            </w:tcBorders>
            <w:vAlign w:val="bottom"/>
          </w:tcPr>
          <w:p w14:paraId="198497B0"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.150</w:t>
            </w:r>
            <w:r>
              <w:rPr>
                <w:rFonts w:ascii="Garamond" w:eastAsia="Times New Roman" w:hAnsi="Garamond"/>
                <w:color w:val="000000"/>
              </w:rPr>
              <w:t xml:space="preserve"> to 0</w:t>
            </w:r>
            <w:r w:rsidRPr="00FA74F2">
              <w:rPr>
                <w:rFonts w:ascii="Garamond" w:eastAsia="Times New Roman" w:hAnsi="Garamond"/>
                <w:color w:val="000000"/>
              </w:rPr>
              <w:t>.107</w:t>
            </w:r>
          </w:p>
        </w:tc>
      </w:tr>
      <w:tr w:rsidR="00CC3DDD" w:rsidRPr="00705E00" w14:paraId="77A7D621" w14:textId="77777777" w:rsidTr="00CC3DDD">
        <w:trPr>
          <w:trHeight w:val="320"/>
        </w:trPr>
        <w:tc>
          <w:tcPr>
            <w:tcW w:w="1459" w:type="pct"/>
            <w:tcBorders>
              <w:top w:val="nil"/>
              <w:left w:val="nil"/>
              <w:bottom w:val="double" w:sz="4" w:space="0" w:color="auto"/>
              <w:right w:val="nil"/>
            </w:tcBorders>
            <w:shd w:val="clear" w:color="auto" w:fill="auto"/>
            <w:noWrap/>
            <w:vAlign w:val="bottom"/>
            <w:hideMark/>
          </w:tcPr>
          <w:p w14:paraId="5D70AAC1" w14:textId="77777777" w:rsidR="00CC3DDD" w:rsidRPr="00F017C9" w:rsidRDefault="00CC3DDD" w:rsidP="00CC3DDD">
            <w:pPr>
              <w:rPr>
                <w:rFonts w:ascii="Garamond" w:eastAsia="Times New Roman" w:hAnsi="Garamond"/>
                <w:color w:val="000000"/>
              </w:rPr>
            </w:pPr>
            <w:r w:rsidRPr="00F017C9">
              <w:rPr>
                <w:rFonts w:ascii="Garamond" w:eastAsia="Times New Roman" w:hAnsi="Garamond"/>
                <w:bCs/>
                <w:iCs/>
                <w:color w:val="000000"/>
              </w:rPr>
              <w:t>Platelets</w:t>
            </w:r>
          </w:p>
        </w:tc>
        <w:tc>
          <w:tcPr>
            <w:tcW w:w="625" w:type="pct"/>
            <w:tcBorders>
              <w:top w:val="nil"/>
              <w:left w:val="nil"/>
              <w:bottom w:val="double" w:sz="4" w:space="0" w:color="auto"/>
              <w:right w:val="nil"/>
            </w:tcBorders>
            <w:shd w:val="clear" w:color="auto" w:fill="auto"/>
            <w:noWrap/>
            <w:vAlign w:val="bottom"/>
            <w:hideMark/>
          </w:tcPr>
          <w:p w14:paraId="46538388"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0.094</w:t>
            </w:r>
          </w:p>
        </w:tc>
        <w:tc>
          <w:tcPr>
            <w:tcW w:w="991" w:type="pct"/>
            <w:tcBorders>
              <w:top w:val="nil"/>
              <w:left w:val="nil"/>
              <w:bottom w:val="double" w:sz="4" w:space="0" w:color="auto"/>
              <w:right w:val="nil"/>
            </w:tcBorders>
            <w:shd w:val="clear" w:color="auto" w:fill="auto"/>
            <w:noWrap/>
            <w:vAlign w:val="bottom"/>
            <w:hideMark/>
          </w:tcPr>
          <w:p w14:paraId="0CE9D4F2" w14:textId="77777777" w:rsidR="00CC3DDD" w:rsidRPr="00705E00" w:rsidRDefault="00CC3DDD" w:rsidP="00CC3DDD">
            <w:pPr>
              <w:jc w:val="center"/>
              <w:rPr>
                <w:rFonts w:ascii="Garamond" w:eastAsia="Times New Roman" w:hAnsi="Garamond"/>
                <w:color w:val="000000"/>
              </w:rPr>
            </w:pPr>
            <w:r w:rsidRPr="00705E00">
              <w:rPr>
                <w:rFonts w:ascii="Garamond" w:eastAsia="Times New Roman" w:hAnsi="Garamond"/>
                <w:color w:val="000000"/>
              </w:rPr>
              <w:t>-</w:t>
            </w:r>
            <w:r>
              <w:rPr>
                <w:rFonts w:ascii="Garamond" w:eastAsia="Times New Roman" w:hAnsi="Garamond"/>
                <w:color w:val="000000"/>
              </w:rPr>
              <w:t>0</w:t>
            </w:r>
            <w:r w:rsidRPr="00705E00">
              <w:rPr>
                <w:rFonts w:ascii="Garamond" w:eastAsia="Times New Roman" w:hAnsi="Garamond"/>
                <w:color w:val="000000"/>
              </w:rPr>
              <w:t>.024</w:t>
            </w:r>
            <w:r>
              <w:rPr>
                <w:rFonts w:ascii="Garamond" w:eastAsia="Times New Roman" w:hAnsi="Garamond"/>
                <w:color w:val="000000"/>
              </w:rPr>
              <w:t xml:space="preserve"> to 0</w:t>
            </w:r>
            <w:r w:rsidRPr="00705E00">
              <w:rPr>
                <w:rFonts w:ascii="Garamond" w:eastAsia="Times New Roman" w:hAnsi="Garamond"/>
                <w:color w:val="000000"/>
              </w:rPr>
              <w:t>.212</w:t>
            </w:r>
          </w:p>
        </w:tc>
        <w:tc>
          <w:tcPr>
            <w:tcW w:w="777" w:type="pct"/>
            <w:tcBorders>
              <w:top w:val="nil"/>
              <w:left w:val="nil"/>
              <w:bottom w:val="double" w:sz="4" w:space="0" w:color="auto"/>
              <w:right w:val="nil"/>
            </w:tcBorders>
            <w:vAlign w:val="bottom"/>
          </w:tcPr>
          <w:p w14:paraId="019B07E8"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0.09</w:t>
            </w:r>
          </w:p>
        </w:tc>
        <w:tc>
          <w:tcPr>
            <w:tcW w:w="1148" w:type="pct"/>
            <w:tcBorders>
              <w:top w:val="nil"/>
              <w:left w:val="nil"/>
              <w:bottom w:val="double" w:sz="4" w:space="0" w:color="auto"/>
              <w:right w:val="nil"/>
            </w:tcBorders>
            <w:vAlign w:val="bottom"/>
          </w:tcPr>
          <w:p w14:paraId="338B0767" w14:textId="77777777" w:rsidR="00CC3DDD" w:rsidRPr="00705E00" w:rsidRDefault="00CC3DDD" w:rsidP="00CC3DDD">
            <w:pPr>
              <w:jc w:val="center"/>
              <w:rPr>
                <w:rFonts w:ascii="Garamond" w:eastAsia="Times New Roman" w:hAnsi="Garamond"/>
                <w:color w:val="000000"/>
              </w:rPr>
            </w:pPr>
            <w:r w:rsidRPr="00FA74F2">
              <w:rPr>
                <w:rFonts w:ascii="Garamond" w:eastAsia="Times New Roman" w:hAnsi="Garamond"/>
                <w:color w:val="000000"/>
              </w:rPr>
              <w:t>-</w:t>
            </w:r>
            <w:r>
              <w:rPr>
                <w:rFonts w:ascii="Garamond" w:eastAsia="Times New Roman" w:hAnsi="Garamond"/>
                <w:color w:val="000000"/>
              </w:rPr>
              <w:t>0</w:t>
            </w:r>
            <w:r w:rsidRPr="00FA74F2">
              <w:rPr>
                <w:rFonts w:ascii="Garamond" w:eastAsia="Times New Roman" w:hAnsi="Garamond"/>
                <w:color w:val="000000"/>
              </w:rPr>
              <w:t>.01</w:t>
            </w:r>
            <w:r>
              <w:rPr>
                <w:rFonts w:ascii="Garamond" w:eastAsia="Times New Roman" w:hAnsi="Garamond"/>
                <w:color w:val="000000"/>
              </w:rPr>
              <w:t xml:space="preserve"> to 0</w:t>
            </w:r>
            <w:r w:rsidRPr="00FA74F2">
              <w:rPr>
                <w:rFonts w:ascii="Garamond" w:eastAsia="Times New Roman" w:hAnsi="Garamond"/>
                <w:color w:val="000000"/>
              </w:rPr>
              <w:t>.191</w:t>
            </w:r>
          </w:p>
        </w:tc>
      </w:tr>
    </w:tbl>
    <w:p w14:paraId="7CCEA1EA" w14:textId="77777777" w:rsidR="00CC3DDD" w:rsidRDefault="00CC3DDD" w:rsidP="00CC3DDD">
      <w:pPr>
        <w:rPr>
          <w:rFonts w:ascii="Garamond" w:eastAsia="Times New Roman" w:hAnsi="Garamond"/>
          <w:bCs/>
          <w:color w:val="000000"/>
          <w:sz w:val="22"/>
          <w:szCs w:val="22"/>
        </w:rPr>
      </w:pPr>
      <w:r w:rsidRPr="00690DB9">
        <w:rPr>
          <w:rFonts w:ascii="Garamond" w:eastAsia="Times New Roman" w:hAnsi="Garamond"/>
          <w:bCs/>
          <w:i/>
          <w:color w:val="000000"/>
          <w:sz w:val="22"/>
          <w:szCs w:val="22"/>
        </w:rPr>
        <w:t>Notes</w:t>
      </w:r>
      <w:r w:rsidRPr="00690DB9">
        <w:rPr>
          <w:rFonts w:ascii="Garamond" w:eastAsia="Times New Roman" w:hAnsi="Garamond"/>
          <w:bCs/>
          <w:color w:val="000000"/>
          <w:sz w:val="22"/>
          <w:szCs w:val="22"/>
        </w:rPr>
        <w:t xml:space="preserve">: </w:t>
      </w:r>
      <w:r>
        <w:rPr>
          <w:rFonts w:ascii="Garamond" w:eastAsia="Times New Roman" w:hAnsi="Garamond"/>
          <w:bCs/>
          <w:color w:val="000000"/>
          <w:sz w:val="22"/>
          <w:szCs w:val="22"/>
        </w:rPr>
        <w:t xml:space="preserve">Data are from the </w:t>
      </w:r>
      <w:proofErr w:type="spellStart"/>
      <w:r>
        <w:rPr>
          <w:rFonts w:ascii="Garamond" w:eastAsia="Times New Roman" w:hAnsi="Garamond"/>
          <w:bCs/>
          <w:color w:val="000000"/>
          <w:sz w:val="22"/>
          <w:szCs w:val="22"/>
        </w:rPr>
        <w:t>Constances</w:t>
      </w:r>
      <w:proofErr w:type="spellEnd"/>
      <w:r>
        <w:rPr>
          <w:rFonts w:ascii="Garamond" w:eastAsia="Times New Roman" w:hAnsi="Garamond"/>
          <w:bCs/>
          <w:color w:val="000000"/>
          <w:sz w:val="22"/>
          <w:szCs w:val="22"/>
        </w:rPr>
        <w:t xml:space="preserve"> cohort. </w:t>
      </w:r>
      <w:r w:rsidRPr="00690DB9">
        <w:rPr>
          <w:rFonts w:ascii="Garamond" w:eastAsia="Times New Roman" w:hAnsi="Garamond"/>
          <w:bCs/>
          <w:color w:val="000000"/>
          <w:sz w:val="22"/>
          <w:szCs w:val="22"/>
        </w:rPr>
        <w:t>All models control for age, age squared</w:t>
      </w:r>
      <w:r>
        <w:rPr>
          <w:rFonts w:ascii="Garamond" w:eastAsia="Times New Roman" w:hAnsi="Garamond"/>
          <w:bCs/>
          <w:color w:val="000000"/>
          <w:sz w:val="22"/>
          <w:szCs w:val="22"/>
        </w:rPr>
        <w:t xml:space="preserve">, </w:t>
      </w:r>
      <w:r w:rsidRPr="00690DB9">
        <w:rPr>
          <w:rFonts w:ascii="Garamond" w:eastAsia="Times New Roman" w:hAnsi="Garamond"/>
          <w:bCs/>
          <w:color w:val="000000"/>
          <w:sz w:val="22"/>
          <w:szCs w:val="22"/>
        </w:rPr>
        <w:t>month of birth, birth cohor</w:t>
      </w:r>
      <w:r>
        <w:rPr>
          <w:rFonts w:ascii="Garamond" w:eastAsia="Times New Roman" w:hAnsi="Garamond"/>
          <w:bCs/>
          <w:color w:val="000000"/>
          <w:sz w:val="22"/>
          <w:szCs w:val="22"/>
        </w:rPr>
        <w:t>t</w:t>
      </w:r>
      <w:r w:rsidRPr="00690DB9">
        <w:rPr>
          <w:rFonts w:ascii="Garamond" w:eastAsia="Times New Roman" w:hAnsi="Garamond"/>
          <w:bCs/>
          <w:color w:val="000000"/>
          <w:sz w:val="22"/>
          <w:szCs w:val="22"/>
        </w:rPr>
        <w:t xml:space="preserve"> relative to the cut-off point, interacted with the treatment. Standard errors are clustered at the month of birth level. The bandwidth is fixed at 48 months.</w:t>
      </w:r>
      <w:r>
        <w:rPr>
          <w:rFonts w:ascii="Garamond" w:eastAsia="Times New Roman" w:hAnsi="Garamond"/>
          <w:bCs/>
          <w:color w:val="000000"/>
          <w:sz w:val="22"/>
          <w:szCs w:val="22"/>
        </w:rPr>
        <w:t xml:space="preserve"> </w:t>
      </w:r>
      <w:r w:rsidRPr="00690DB9">
        <w:rPr>
          <w:rFonts w:ascii="Garamond" w:eastAsia="Times New Roman" w:hAnsi="Garamond"/>
          <w:bCs/>
          <w:color w:val="000000"/>
          <w:sz w:val="22"/>
          <w:szCs w:val="22"/>
        </w:rPr>
        <w:t>*</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&lt;0.05,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&lt;0.01,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&lt;0.001.</w:t>
      </w:r>
    </w:p>
    <w:p w14:paraId="1E268239" w14:textId="77777777" w:rsidR="00CC3DDD" w:rsidRDefault="00CC3DDD" w:rsidP="00CC3DDD">
      <w:pPr>
        <w:rPr>
          <w:rFonts w:ascii="Garamond" w:eastAsia="Times New Roman" w:hAnsi="Garamond"/>
          <w:bCs/>
          <w:color w:val="000000"/>
          <w:sz w:val="22"/>
          <w:szCs w:val="22"/>
        </w:rPr>
      </w:pPr>
      <w:r>
        <w:rPr>
          <w:rFonts w:ascii="Garamond" w:eastAsia="Times New Roman" w:hAnsi="Garamond"/>
          <w:bCs/>
          <w:color w:val="000000"/>
          <w:sz w:val="22"/>
          <w:szCs w:val="22"/>
        </w:rPr>
        <w:br w:type="page"/>
      </w:r>
    </w:p>
    <w:p w14:paraId="465E940E" w14:textId="77777777" w:rsidR="00CC3DDD" w:rsidRDefault="00CC3DDD" w:rsidP="00CC3DDD">
      <w:pPr>
        <w:rPr>
          <w:rFonts w:ascii="Garamond" w:hAnsi="Garamond"/>
          <w:b/>
          <w:color w:val="000000"/>
        </w:rPr>
        <w:sectPr w:rsidR="00CC3DDD" w:rsidSect="00CB2916">
          <w:footerReference w:type="even" r:id="rId13"/>
          <w:footerReference w:type="default" r:id="rId14"/>
          <w:pgSz w:w="12240" w:h="15840"/>
          <w:pgMar w:top="1440" w:right="1800" w:bottom="1440" w:left="1800" w:header="720" w:footer="720" w:gutter="0"/>
          <w:cols w:space="720"/>
          <w:docGrid w:linePitch="360"/>
        </w:sectPr>
      </w:pPr>
    </w:p>
    <w:p w14:paraId="3562C4A3" w14:textId="77777777" w:rsidR="00CC3DDD" w:rsidRDefault="00CC3DDD" w:rsidP="00CC3DDD">
      <w:pPr>
        <w:rPr>
          <w:rFonts w:ascii="Garamond" w:hAnsi="Garamond"/>
          <w:b/>
          <w:color w:val="000000"/>
        </w:rPr>
      </w:pPr>
      <w:r>
        <w:rPr>
          <w:rFonts w:ascii="Garamond" w:hAnsi="Garamond"/>
          <w:b/>
          <w:color w:val="000000"/>
        </w:rPr>
        <w:lastRenderedPageBreak/>
        <w:t xml:space="preserve">Appendix Table 3. </w:t>
      </w:r>
      <w:r w:rsidRPr="00D56A34">
        <w:rPr>
          <w:rFonts w:ascii="Garamond" w:hAnsi="Garamond"/>
        </w:rPr>
        <w:t xml:space="preserve">Effect of eligibility to the </w:t>
      </w:r>
      <w:r>
        <w:rPr>
          <w:rFonts w:ascii="Garamond" w:hAnsi="Garamond"/>
        </w:rPr>
        <w:t xml:space="preserve">1959 </w:t>
      </w:r>
      <w:proofErr w:type="spellStart"/>
      <w:r>
        <w:rPr>
          <w:rFonts w:ascii="Garamond" w:hAnsi="Garamond"/>
        </w:rPr>
        <w:t>Berthoin</w:t>
      </w:r>
      <w:proofErr w:type="spellEnd"/>
      <w:r>
        <w:rPr>
          <w:rFonts w:ascii="Garamond" w:hAnsi="Garamond"/>
        </w:rPr>
        <w:t xml:space="preserve"> </w:t>
      </w:r>
      <w:r w:rsidRPr="00D56A34">
        <w:rPr>
          <w:rFonts w:ascii="Garamond" w:hAnsi="Garamond"/>
        </w:rPr>
        <w:t xml:space="preserve">reform on anthropometry, </w:t>
      </w:r>
      <w:r>
        <w:rPr>
          <w:rFonts w:ascii="Garamond" w:hAnsi="Garamond"/>
        </w:rPr>
        <w:t>blood pressure, glucose and lipids, liver and kidney functions and hematology by parental social class during adolescence and with the inclusion of a higher order polynomial</w:t>
      </w:r>
      <w:r>
        <w:rPr>
          <w:rFonts w:ascii="Garamond" w:hAnsi="Garamond"/>
          <w:b/>
          <w:color w:val="000000"/>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865"/>
        <w:gridCol w:w="1655"/>
        <w:gridCol w:w="821"/>
        <w:gridCol w:w="1538"/>
        <w:gridCol w:w="1165"/>
        <w:gridCol w:w="1851"/>
        <w:gridCol w:w="1157"/>
        <w:gridCol w:w="1554"/>
      </w:tblGrid>
      <w:tr w:rsidR="00CC3DDD" w:rsidRPr="00F95A8A" w14:paraId="780DD1A7" w14:textId="77777777" w:rsidTr="00CC3DDD">
        <w:trPr>
          <w:trHeight w:val="300"/>
        </w:trPr>
        <w:tc>
          <w:tcPr>
            <w:tcW w:w="929" w:type="pct"/>
            <w:tcBorders>
              <w:top w:val="double" w:sz="4" w:space="0" w:color="auto"/>
            </w:tcBorders>
            <w:noWrap/>
            <w:hideMark/>
          </w:tcPr>
          <w:p w14:paraId="291E7C1B" w14:textId="77777777" w:rsidR="00CC3DDD" w:rsidRPr="008552AC" w:rsidRDefault="00CC3DDD" w:rsidP="00CC3DDD">
            <w:pPr>
              <w:rPr>
                <w:rFonts w:ascii="Garamond" w:eastAsia="Times New Roman" w:hAnsi="Garamond"/>
                <w:sz w:val="22"/>
                <w:szCs w:val="22"/>
              </w:rPr>
            </w:pPr>
          </w:p>
        </w:tc>
        <w:tc>
          <w:tcPr>
            <w:tcW w:w="989" w:type="pct"/>
            <w:gridSpan w:val="2"/>
            <w:tcBorders>
              <w:top w:val="double" w:sz="4" w:space="0" w:color="auto"/>
            </w:tcBorders>
            <w:noWrap/>
            <w:hideMark/>
          </w:tcPr>
          <w:p w14:paraId="118BD7F3"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All</w:t>
            </w:r>
          </w:p>
        </w:tc>
        <w:tc>
          <w:tcPr>
            <w:tcW w:w="949" w:type="pct"/>
            <w:gridSpan w:val="2"/>
            <w:tcBorders>
              <w:top w:val="double" w:sz="4" w:space="0" w:color="auto"/>
            </w:tcBorders>
            <w:noWrap/>
            <w:hideMark/>
          </w:tcPr>
          <w:p w14:paraId="3CE84B56"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High parental </w:t>
            </w:r>
            <w:r>
              <w:rPr>
                <w:rFonts w:ascii="Garamond" w:eastAsia="Times New Roman" w:hAnsi="Garamond"/>
                <w:color w:val="000000"/>
                <w:sz w:val="22"/>
                <w:szCs w:val="22"/>
              </w:rPr>
              <w:t>social class</w:t>
            </w:r>
          </w:p>
        </w:tc>
        <w:tc>
          <w:tcPr>
            <w:tcW w:w="1044" w:type="pct"/>
            <w:gridSpan w:val="2"/>
            <w:tcBorders>
              <w:top w:val="double" w:sz="4" w:space="0" w:color="auto"/>
            </w:tcBorders>
            <w:noWrap/>
            <w:hideMark/>
          </w:tcPr>
          <w:p w14:paraId="369EF5B7"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Intermediate parental </w:t>
            </w:r>
            <w:r>
              <w:rPr>
                <w:rFonts w:ascii="Garamond" w:eastAsia="Times New Roman" w:hAnsi="Garamond"/>
                <w:color w:val="000000"/>
                <w:sz w:val="22"/>
                <w:szCs w:val="22"/>
              </w:rPr>
              <w:t>social class</w:t>
            </w:r>
          </w:p>
        </w:tc>
        <w:tc>
          <w:tcPr>
            <w:tcW w:w="1089" w:type="pct"/>
            <w:gridSpan w:val="2"/>
            <w:tcBorders>
              <w:top w:val="double" w:sz="4" w:space="0" w:color="auto"/>
            </w:tcBorders>
            <w:noWrap/>
            <w:hideMark/>
          </w:tcPr>
          <w:p w14:paraId="0B452E4C"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Low parental </w:t>
            </w:r>
            <w:r>
              <w:rPr>
                <w:rFonts w:ascii="Garamond" w:eastAsia="Times New Roman" w:hAnsi="Garamond"/>
                <w:color w:val="000000"/>
                <w:sz w:val="22"/>
                <w:szCs w:val="22"/>
              </w:rPr>
              <w:t>social class</w:t>
            </w:r>
          </w:p>
        </w:tc>
      </w:tr>
      <w:tr w:rsidR="00CC3DDD" w:rsidRPr="00F95A8A" w14:paraId="6E603A16" w14:textId="77777777" w:rsidTr="00CC3DDD">
        <w:trPr>
          <w:trHeight w:val="300"/>
        </w:trPr>
        <w:tc>
          <w:tcPr>
            <w:tcW w:w="929" w:type="pct"/>
            <w:noWrap/>
            <w:hideMark/>
          </w:tcPr>
          <w:p w14:paraId="4530EEC6" w14:textId="77777777" w:rsidR="00CC3DDD" w:rsidRPr="008552AC" w:rsidRDefault="00CC3DDD" w:rsidP="00CC3DDD">
            <w:pPr>
              <w:rPr>
                <w:rFonts w:ascii="Garamond" w:eastAsia="Times New Roman" w:hAnsi="Garamond"/>
                <w:sz w:val="22"/>
                <w:szCs w:val="22"/>
              </w:rPr>
            </w:pPr>
          </w:p>
        </w:tc>
        <w:tc>
          <w:tcPr>
            <w:tcW w:w="330" w:type="pct"/>
            <w:tcBorders>
              <w:bottom w:val="single" w:sz="4" w:space="0" w:color="auto"/>
            </w:tcBorders>
            <w:noWrap/>
            <w:hideMark/>
          </w:tcPr>
          <w:p w14:paraId="01450C8F"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59" w:type="pct"/>
            <w:tcBorders>
              <w:bottom w:val="single" w:sz="4" w:space="0" w:color="auto"/>
            </w:tcBorders>
            <w:noWrap/>
            <w:hideMark/>
          </w:tcPr>
          <w:p w14:paraId="50FF6945"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330" w:type="pct"/>
            <w:tcBorders>
              <w:bottom w:val="single" w:sz="4" w:space="0" w:color="auto"/>
            </w:tcBorders>
            <w:noWrap/>
            <w:hideMark/>
          </w:tcPr>
          <w:p w14:paraId="7176530E"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19" w:type="pct"/>
            <w:tcBorders>
              <w:bottom w:val="single" w:sz="4" w:space="0" w:color="auto"/>
            </w:tcBorders>
            <w:noWrap/>
            <w:hideMark/>
          </w:tcPr>
          <w:p w14:paraId="635D4754"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403" w:type="pct"/>
            <w:tcBorders>
              <w:bottom w:val="single" w:sz="4" w:space="0" w:color="auto"/>
            </w:tcBorders>
            <w:noWrap/>
            <w:hideMark/>
          </w:tcPr>
          <w:p w14:paraId="0C865C7A"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41" w:type="pct"/>
            <w:tcBorders>
              <w:bottom w:val="single" w:sz="4" w:space="0" w:color="auto"/>
            </w:tcBorders>
            <w:noWrap/>
            <w:hideMark/>
          </w:tcPr>
          <w:p w14:paraId="19966A92"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469" w:type="pct"/>
            <w:tcBorders>
              <w:bottom w:val="single" w:sz="4" w:space="0" w:color="auto"/>
            </w:tcBorders>
            <w:noWrap/>
            <w:hideMark/>
          </w:tcPr>
          <w:p w14:paraId="3A8329FF"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19" w:type="pct"/>
            <w:tcBorders>
              <w:bottom w:val="single" w:sz="4" w:space="0" w:color="auto"/>
            </w:tcBorders>
            <w:noWrap/>
            <w:hideMark/>
          </w:tcPr>
          <w:p w14:paraId="54EEF600"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r>
      <w:tr w:rsidR="00CC3DDD" w:rsidRPr="008552AC" w14:paraId="32D76221" w14:textId="77777777" w:rsidTr="00CC3DDD">
        <w:trPr>
          <w:trHeight w:val="300"/>
        </w:trPr>
        <w:tc>
          <w:tcPr>
            <w:tcW w:w="929" w:type="pct"/>
            <w:noWrap/>
            <w:hideMark/>
          </w:tcPr>
          <w:p w14:paraId="7CA140E5" w14:textId="77777777" w:rsidR="00CC3DDD" w:rsidRPr="00657631" w:rsidRDefault="00CC3DDD" w:rsidP="00CC3DDD">
            <w:pPr>
              <w:rPr>
                <w:rFonts w:ascii="Garamond" w:eastAsia="Times New Roman" w:hAnsi="Garamond"/>
                <w:color w:val="000000"/>
                <w:sz w:val="22"/>
                <w:szCs w:val="22"/>
              </w:rPr>
            </w:pPr>
            <w:r w:rsidRPr="00657631">
              <w:rPr>
                <w:rFonts w:ascii="Garamond" w:eastAsia="Times New Roman" w:hAnsi="Garamond"/>
                <w:bCs/>
                <w:iCs/>
                <w:color w:val="000000"/>
                <w:sz w:val="22"/>
                <w:szCs w:val="22"/>
              </w:rPr>
              <w:t>Diastolic blood pressure</w:t>
            </w:r>
          </w:p>
        </w:tc>
        <w:tc>
          <w:tcPr>
            <w:tcW w:w="330" w:type="pct"/>
            <w:noWrap/>
            <w:hideMark/>
          </w:tcPr>
          <w:p w14:paraId="51438867"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0.087**</w:t>
            </w:r>
          </w:p>
        </w:tc>
        <w:tc>
          <w:tcPr>
            <w:tcW w:w="659" w:type="pct"/>
            <w:noWrap/>
            <w:hideMark/>
          </w:tcPr>
          <w:p w14:paraId="26D4B0F6"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0.034 to 0.141</w:t>
            </w:r>
          </w:p>
        </w:tc>
        <w:tc>
          <w:tcPr>
            <w:tcW w:w="330" w:type="pct"/>
            <w:noWrap/>
            <w:hideMark/>
          </w:tcPr>
          <w:p w14:paraId="4895832A"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-0.006</w:t>
            </w:r>
          </w:p>
        </w:tc>
        <w:tc>
          <w:tcPr>
            <w:tcW w:w="619" w:type="pct"/>
            <w:noWrap/>
            <w:hideMark/>
          </w:tcPr>
          <w:p w14:paraId="2AD5CC22"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-0.142 to 0.130</w:t>
            </w:r>
          </w:p>
        </w:tc>
        <w:tc>
          <w:tcPr>
            <w:tcW w:w="403" w:type="pct"/>
            <w:noWrap/>
            <w:hideMark/>
          </w:tcPr>
          <w:p w14:paraId="67050113"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0.054</w:t>
            </w:r>
          </w:p>
        </w:tc>
        <w:tc>
          <w:tcPr>
            <w:tcW w:w="641" w:type="pct"/>
            <w:noWrap/>
            <w:hideMark/>
          </w:tcPr>
          <w:p w14:paraId="4607361B"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-0.051 to 0.159</w:t>
            </w:r>
          </w:p>
        </w:tc>
        <w:tc>
          <w:tcPr>
            <w:tcW w:w="469" w:type="pct"/>
            <w:noWrap/>
            <w:hideMark/>
          </w:tcPr>
          <w:p w14:paraId="1DB37B7C"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0.135**</w:t>
            </w:r>
          </w:p>
        </w:tc>
        <w:tc>
          <w:tcPr>
            <w:tcW w:w="619" w:type="pct"/>
            <w:noWrap/>
            <w:hideMark/>
          </w:tcPr>
          <w:p w14:paraId="0994F714"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0.051 to 0.220</w:t>
            </w:r>
          </w:p>
        </w:tc>
      </w:tr>
      <w:tr w:rsidR="00CC3DDD" w:rsidRPr="008552AC" w14:paraId="72E3C3D0" w14:textId="77777777" w:rsidTr="00CC3DDD">
        <w:trPr>
          <w:trHeight w:val="300"/>
        </w:trPr>
        <w:tc>
          <w:tcPr>
            <w:tcW w:w="929" w:type="pct"/>
            <w:tcBorders>
              <w:bottom w:val="double" w:sz="4" w:space="0" w:color="auto"/>
            </w:tcBorders>
            <w:noWrap/>
            <w:hideMark/>
          </w:tcPr>
          <w:p w14:paraId="0BDC57BF" w14:textId="77777777" w:rsidR="00CC3DDD" w:rsidRPr="00657631" w:rsidRDefault="00CC3DDD" w:rsidP="00CC3DDD">
            <w:pPr>
              <w:rPr>
                <w:rFonts w:ascii="Garamond" w:eastAsia="Times New Roman" w:hAnsi="Garamond"/>
                <w:color w:val="000000"/>
                <w:sz w:val="22"/>
                <w:szCs w:val="22"/>
              </w:rPr>
            </w:pPr>
            <w:r w:rsidRPr="00657631">
              <w:rPr>
                <w:rFonts w:ascii="Garamond" w:eastAsia="Times New Roman" w:hAnsi="Garamond"/>
                <w:bCs/>
                <w:iCs/>
                <w:color w:val="000000"/>
                <w:sz w:val="22"/>
                <w:szCs w:val="22"/>
              </w:rPr>
              <w:t>White blood cells</w:t>
            </w:r>
          </w:p>
        </w:tc>
        <w:tc>
          <w:tcPr>
            <w:tcW w:w="330" w:type="pct"/>
            <w:tcBorders>
              <w:bottom w:val="double" w:sz="4" w:space="0" w:color="auto"/>
            </w:tcBorders>
            <w:noWrap/>
            <w:hideMark/>
          </w:tcPr>
          <w:p w14:paraId="1F1EE001"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0.052</w:t>
            </w:r>
          </w:p>
        </w:tc>
        <w:tc>
          <w:tcPr>
            <w:tcW w:w="659" w:type="pct"/>
            <w:tcBorders>
              <w:bottom w:val="double" w:sz="4" w:space="0" w:color="auto"/>
            </w:tcBorders>
            <w:noWrap/>
            <w:hideMark/>
          </w:tcPr>
          <w:p w14:paraId="7E8440E1"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-0.006 to 0.111</w:t>
            </w:r>
          </w:p>
        </w:tc>
        <w:tc>
          <w:tcPr>
            <w:tcW w:w="330" w:type="pct"/>
            <w:tcBorders>
              <w:bottom w:val="double" w:sz="4" w:space="0" w:color="auto"/>
            </w:tcBorders>
            <w:noWrap/>
            <w:hideMark/>
          </w:tcPr>
          <w:p w14:paraId="32B9F29F"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0.017</w:t>
            </w:r>
          </w:p>
        </w:tc>
        <w:tc>
          <w:tcPr>
            <w:tcW w:w="619" w:type="pct"/>
            <w:tcBorders>
              <w:bottom w:val="double" w:sz="4" w:space="0" w:color="auto"/>
            </w:tcBorders>
            <w:noWrap/>
            <w:hideMark/>
          </w:tcPr>
          <w:p w14:paraId="229D9368"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-0.149 to 0.184</w:t>
            </w:r>
          </w:p>
        </w:tc>
        <w:tc>
          <w:tcPr>
            <w:tcW w:w="403" w:type="pct"/>
            <w:tcBorders>
              <w:bottom w:val="double" w:sz="4" w:space="0" w:color="auto"/>
            </w:tcBorders>
            <w:noWrap/>
            <w:hideMark/>
          </w:tcPr>
          <w:p w14:paraId="122CC7DD"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0.028</w:t>
            </w:r>
          </w:p>
        </w:tc>
        <w:tc>
          <w:tcPr>
            <w:tcW w:w="641" w:type="pct"/>
            <w:tcBorders>
              <w:bottom w:val="double" w:sz="4" w:space="0" w:color="auto"/>
            </w:tcBorders>
            <w:noWrap/>
            <w:hideMark/>
          </w:tcPr>
          <w:p w14:paraId="5AFC1CE9"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-0.049 to 0.104</w:t>
            </w:r>
          </w:p>
        </w:tc>
        <w:tc>
          <w:tcPr>
            <w:tcW w:w="469" w:type="pct"/>
            <w:tcBorders>
              <w:bottom w:val="double" w:sz="4" w:space="0" w:color="auto"/>
            </w:tcBorders>
            <w:noWrap/>
            <w:hideMark/>
          </w:tcPr>
          <w:p w14:paraId="14EDF642"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0.128**</w:t>
            </w:r>
          </w:p>
        </w:tc>
        <w:tc>
          <w:tcPr>
            <w:tcW w:w="619" w:type="pct"/>
            <w:tcBorders>
              <w:bottom w:val="double" w:sz="4" w:space="0" w:color="auto"/>
            </w:tcBorders>
            <w:noWrap/>
            <w:hideMark/>
          </w:tcPr>
          <w:p w14:paraId="080CECC4"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0.028 to 0.228</w:t>
            </w:r>
          </w:p>
        </w:tc>
      </w:tr>
    </w:tbl>
    <w:p w14:paraId="26DBEDA3" w14:textId="77777777" w:rsidR="00CC3DDD" w:rsidRPr="00690DB9" w:rsidRDefault="00CC3DDD" w:rsidP="00CC3DDD">
      <w:pPr>
        <w:rPr>
          <w:rFonts w:ascii="Garamond" w:eastAsia="Times New Roman" w:hAnsi="Garamond"/>
          <w:bCs/>
          <w:color w:val="000000"/>
          <w:sz w:val="22"/>
          <w:szCs w:val="22"/>
        </w:rPr>
      </w:pPr>
      <w:r w:rsidRPr="00690DB9">
        <w:rPr>
          <w:rFonts w:ascii="Garamond" w:eastAsia="Times New Roman" w:hAnsi="Garamond"/>
          <w:bCs/>
          <w:i/>
          <w:color w:val="000000"/>
          <w:sz w:val="22"/>
          <w:szCs w:val="22"/>
        </w:rPr>
        <w:t>Notes</w:t>
      </w:r>
      <w:r w:rsidRPr="00690DB9">
        <w:rPr>
          <w:rFonts w:ascii="Garamond" w:eastAsia="Times New Roman" w:hAnsi="Garamond"/>
          <w:bCs/>
          <w:color w:val="000000"/>
          <w:sz w:val="22"/>
          <w:szCs w:val="22"/>
        </w:rPr>
        <w:t xml:space="preserve">: </w:t>
      </w:r>
      <w:r>
        <w:rPr>
          <w:rFonts w:ascii="Garamond" w:eastAsia="Times New Roman" w:hAnsi="Garamond"/>
          <w:bCs/>
          <w:color w:val="000000"/>
          <w:sz w:val="22"/>
          <w:szCs w:val="22"/>
        </w:rPr>
        <w:t xml:space="preserve">Data come the </w:t>
      </w:r>
      <w:proofErr w:type="spellStart"/>
      <w:r>
        <w:rPr>
          <w:rFonts w:ascii="Garamond" w:eastAsia="Times New Roman" w:hAnsi="Garamond"/>
          <w:bCs/>
          <w:color w:val="000000"/>
          <w:sz w:val="22"/>
          <w:szCs w:val="22"/>
        </w:rPr>
        <w:t>Constances</w:t>
      </w:r>
      <w:proofErr w:type="spellEnd"/>
      <w:r>
        <w:rPr>
          <w:rFonts w:ascii="Garamond" w:eastAsia="Times New Roman" w:hAnsi="Garamond"/>
          <w:bCs/>
          <w:color w:val="000000"/>
          <w:sz w:val="22"/>
          <w:szCs w:val="22"/>
        </w:rPr>
        <w:t xml:space="preserve"> cohort. </w:t>
      </w:r>
      <w:r w:rsidRPr="00690DB9">
        <w:rPr>
          <w:rFonts w:ascii="Garamond" w:eastAsia="Times New Roman" w:hAnsi="Garamond"/>
          <w:bCs/>
          <w:color w:val="000000"/>
          <w:sz w:val="22"/>
          <w:szCs w:val="22"/>
        </w:rPr>
        <w:t xml:space="preserve">All models control for age, age squared, </w:t>
      </w:r>
      <w:r>
        <w:rPr>
          <w:rFonts w:ascii="Garamond" w:eastAsia="Times New Roman" w:hAnsi="Garamond"/>
          <w:bCs/>
          <w:color w:val="000000"/>
          <w:sz w:val="22"/>
          <w:szCs w:val="22"/>
        </w:rPr>
        <w:t xml:space="preserve">age cubic, </w:t>
      </w:r>
      <w:r w:rsidRPr="00690DB9">
        <w:rPr>
          <w:rFonts w:ascii="Garamond" w:eastAsia="Times New Roman" w:hAnsi="Garamond"/>
          <w:bCs/>
          <w:color w:val="000000"/>
          <w:sz w:val="22"/>
          <w:szCs w:val="22"/>
        </w:rPr>
        <w:t>gender, month of birth, birth cohor</w:t>
      </w:r>
      <w:r>
        <w:rPr>
          <w:rFonts w:ascii="Garamond" w:eastAsia="Times New Roman" w:hAnsi="Garamond"/>
          <w:bCs/>
          <w:color w:val="000000"/>
          <w:sz w:val="22"/>
          <w:szCs w:val="22"/>
        </w:rPr>
        <w:t>t</w:t>
      </w:r>
      <w:r w:rsidRPr="00690DB9">
        <w:rPr>
          <w:rFonts w:ascii="Garamond" w:eastAsia="Times New Roman" w:hAnsi="Garamond"/>
          <w:bCs/>
          <w:color w:val="000000"/>
          <w:sz w:val="22"/>
          <w:szCs w:val="22"/>
        </w:rPr>
        <w:t xml:space="preserve"> relative to the cut-off point, interacted with the treatment. Standard errors are clustered at the month of birth level. The bandwidth is fixed at 48 months.</w:t>
      </w:r>
    </w:p>
    <w:p w14:paraId="5E384F6B" w14:textId="77777777" w:rsidR="00CC3DDD" w:rsidRDefault="00CC3DDD" w:rsidP="00CC3DDD">
      <w:pPr>
        <w:rPr>
          <w:rFonts w:ascii="Garamond" w:eastAsia="Times New Roman" w:hAnsi="Garamond"/>
          <w:bCs/>
          <w:color w:val="000000"/>
          <w:sz w:val="22"/>
          <w:szCs w:val="22"/>
        </w:rPr>
        <w:sectPr w:rsidR="00CC3DDD" w:rsidSect="00B331A3">
          <w:pgSz w:w="15840" w:h="12240" w:orient="landscape"/>
          <w:pgMar w:top="1800" w:right="1440" w:bottom="1800" w:left="1440" w:header="720" w:footer="720" w:gutter="0"/>
          <w:cols w:space="720"/>
          <w:docGrid w:linePitch="360"/>
        </w:sectPr>
      </w:pPr>
      <w:r w:rsidRPr="00690DB9">
        <w:rPr>
          <w:rFonts w:ascii="Garamond" w:eastAsia="Times New Roman" w:hAnsi="Garamond"/>
          <w:bCs/>
          <w:color w:val="000000"/>
          <w:sz w:val="22"/>
          <w:szCs w:val="22"/>
        </w:rPr>
        <w:t>*</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&lt;0.05,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&lt;0.01,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&lt;0.001.</w:t>
      </w:r>
    </w:p>
    <w:p w14:paraId="314BA778" w14:textId="77777777" w:rsidR="00CC3DDD" w:rsidRDefault="00CC3DDD" w:rsidP="00CC3DDD">
      <w:pPr>
        <w:rPr>
          <w:rFonts w:ascii="Garamond" w:hAnsi="Garamond"/>
          <w:b/>
          <w:color w:val="000000"/>
        </w:rPr>
      </w:pPr>
      <w:r>
        <w:rPr>
          <w:rFonts w:ascii="Garamond" w:hAnsi="Garamond"/>
          <w:b/>
          <w:color w:val="000000"/>
        </w:rPr>
        <w:lastRenderedPageBreak/>
        <w:t xml:space="preserve">Appendix Table 4. </w:t>
      </w:r>
      <w:r w:rsidRPr="00D56A34">
        <w:rPr>
          <w:rFonts w:ascii="Garamond" w:hAnsi="Garamond"/>
        </w:rPr>
        <w:t xml:space="preserve">Effect of eligibility to the </w:t>
      </w:r>
      <w:r>
        <w:rPr>
          <w:rFonts w:ascii="Garamond" w:hAnsi="Garamond"/>
        </w:rPr>
        <w:t xml:space="preserve">1959 </w:t>
      </w:r>
      <w:proofErr w:type="spellStart"/>
      <w:r>
        <w:rPr>
          <w:rFonts w:ascii="Garamond" w:hAnsi="Garamond"/>
        </w:rPr>
        <w:t>Berthoin</w:t>
      </w:r>
      <w:proofErr w:type="spellEnd"/>
      <w:r>
        <w:rPr>
          <w:rFonts w:ascii="Garamond" w:hAnsi="Garamond"/>
        </w:rPr>
        <w:t xml:space="preserve"> </w:t>
      </w:r>
      <w:r w:rsidRPr="00D56A34">
        <w:rPr>
          <w:rFonts w:ascii="Garamond" w:hAnsi="Garamond"/>
        </w:rPr>
        <w:t xml:space="preserve">reform on anthropometry, </w:t>
      </w:r>
      <w:r>
        <w:rPr>
          <w:rFonts w:ascii="Garamond" w:hAnsi="Garamond"/>
        </w:rPr>
        <w:t>blood pressure, glucose and lipids, liver and kidney functions and hematology by parental social class during adolescence and with triangular kernel weights estimation</w:t>
      </w:r>
      <w:r>
        <w:rPr>
          <w:rFonts w:ascii="Garamond" w:hAnsi="Garamond"/>
          <w:b/>
          <w:color w:val="000000"/>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865"/>
        <w:gridCol w:w="1655"/>
        <w:gridCol w:w="821"/>
        <w:gridCol w:w="1538"/>
        <w:gridCol w:w="1165"/>
        <w:gridCol w:w="1851"/>
        <w:gridCol w:w="1157"/>
        <w:gridCol w:w="1554"/>
      </w:tblGrid>
      <w:tr w:rsidR="00CC3DDD" w:rsidRPr="00F95A8A" w14:paraId="279C6BA1" w14:textId="77777777" w:rsidTr="00CC3DDD">
        <w:trPr>
          <w:trHeight w:val="300"/>
        </w:trPr>
        <w:tc>
          <w:tcPr>
            <w:tcW w:w="929" w:type="pct"/>
            <w:tcBorders>
              <w:top w:val="double" w:sz="4" w:space="0" w:color="auto"/>
            </w:tcBorders>
            <w:noWrap/>
            <w:hideMark/>
          </w:tcPr>
          <w:p w14:paraId="3E647A24" w14:textId="77777777" w:rsidR="00CC3DDD" w:rsidRPr="008552AC" w:rsidRDefault="00CC3DDD" w:rsidP="00CC3DDD">
            <w:pPr>
              <w:rPr>
                <w:rFonts w:ascii="Garamond" w:eastAsia="Times New Roman" w:hAnsi="Garamond"/>
                <w:sz w:val="22"/>
                <w:szCs w:val="22"/>
              </w:rPr>
            </w:pPr>
          </w:p>
        </w:tc>
        <w:tc>
          <w:tcPr>
            <w:tcW w:w="989" w:type="pct"/>
            <w:gridSpan w:val="2"/>
            <w:tcBorders>
              <w:top w:val="double" w:sz="4" w:space="0" w:color="auto"/>
            </w:tcBorders>
            <w:noWrap/>
            <w:hideMark/>
          </w:tcPr>
          <w:p w14:paraId="2FAE7EDC"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All</w:t>
            </w:r>
          </w:p>
        </w:tc>
        <w:tc>
          <w:tcPr>
            <w:tcW w:w="949" w:type="pct"/>
            <w:gridSpan w:val="2"/>
            <w:tcBorders>
              <w:top w:val="double" w:sz="4" w:space="0" w:color="auto"/>
            </w:tcBorders>
            <w:noWrap/>
            <w:hideMark/>
          </w:tcPr>
          <w:p w14:paraId="54459836"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High parental </w:t>
            </w:r>
            <w:r>
              <w:rPr>
                <w:rFonts w:ascii="Garamond" w:eastAsia="Times New Roman" w:hAnsi="Garamond"/>
                <w:color w:val="000000"/>
                <w:sz w:val="22"/>
                <w:szCs w:val="22"/>
              </w:rPr>
              <w:t>social class</w:t>
            </w:r>
          </w:p>
        </w:tc>
        <w:tc>
          <w:tcPr>
            <w:tcW w:w="1044" w:type="pct"/>
            <w:gridSpan w:val="2"/>
            <w:tcBorders>
              <w:top w:val="double" w:sz="4" w:space="0" w:color="auto"/>
            </w:tcBorders>
            <w:noWrap/>
            <w:hideMark/>
          </w:tcPr>
          <w:p w14:paraId="0CED24BD"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Intermediate parental </w:t>
            </w:r>
            <w:r>
              <w:rPr>
                <w:rFonts w:ascii="Garamond" w:eastAsia="Times New Roman" w:hAnsi="Garamond"/>
                <w:color w:val="000000"/>
                <w:sz w:val="22"/>
                <w:szCs w:val="22"/>
              </w:rPr>
              <w:t>social class</w:t>
            </w:r>
          </w:p>
        </w:tc>
        <w:tc>
          <w:tcPr>
            <w:tcW w:w="1089" w:type="pct"/>
            <w:gridSpan w:val="2"/>
            <w:tcBorders>
              <w:top w:val="double" w:sz="4" w:space="0" w:color="auto"/>
            </w:tcBorders>
            <w:noWrap/>
            <w:hideMark/>
          </w:tcPr>
          <w:p w14:paraId="00A72754"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Low parental </w:t>
            </w:r>
            <w:r>
              <w:rPr>
                <w:rFonts w:ascii="Garamond" w:eastAsia="Times New Roman" w:hAnsi="Garamond"/>
                <w:color w:val="000000"/>
                <w:sz w:val="22"/>
                <w:szCs w:val="22"/>
              </w:rPr>
              <w:t>social class</w:t>
            </w:r>
          </w:p>
        </w:tc>
      </w:tr>
      <w:tr w:rsidR="00CC3DDD" w:rsidRPr="00F95A8A" w14:paraId="1652B28A" w14:textId="77777777" w:rsidTr="00CC3DDD">
        <w:trPr>
          <w:trHeight w:val="300"/>
        </w:trPr>
        <w:tc>
          <w:tcPr>
            <w:tcW w:w="929" w:type="pct"/>
            <w:noWrap/>
            <w:hideMark/>
          </w:tcPr>
          <w:p w14:paraId="36D9B61D" w14:textId="77777777" w:rsidR="00CC3DDD" w:rsidRPr="008552AC" w:rsidRDefault="00CC3DDD" w:rsidP="00CC3DDD">
            <w:pPr>
              <w:rPr>
                <w:rFonts w:ascii="Garamond" w:eastAsia="Times New Roman" w:hAnsi="Garamond"/>
                <w:sz w:val="22"/>
                <w:szCs w:val="22"/>
              </w:rPr>
            </w:pPr>
          </w:p>
        </w:tc>
        <w:tc>
          <w:tcPr>
            <w:tcW w:w="330" w:type="pct"/>
            <w:tcBorders>
              <w:bottom w:val="single" w:sz="4" w:space="0" w:color="auto"/>
            </w:tcBorders>
            <w:noWrap/>
            <w:hideMark/>
          </w:tcPr>
          <w:p w14:paraId="592C4579"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59" w:type="pct"/>
            <w:tcBorders>
              <w:bottom w:val="single" w:sz="4" w:space="0" w:color="auto"/>
            </w:tcBorders>
            <w:noWrap/>
            <w:hideMark/>
          </w:tcPr>
          <w:p w14:paraId="12720754"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330" w:type="pct"/>
            <w:tcBorders>
              <w:bottom w:val="single" w:sz="4" w:space="0" w:color="auto"/>
            </w:tcBorders>
            <w:noWrap/>
            <w:hideMark/>
          </w:tcPr>
          <w:p w14:paraId="3B8FE939"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19" w:type="pct"/>
            <w:tcBorders>
              <w:bottom w:val="single" w:sz="4" w:space="0" w:color="auto"/>
            </w:tcBorders>
            <w:noWrap/>
            <w:hideMark/>
          </w:tcPr>
          <w:p w14:paraId="1AF30308"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403" w:type="pct"/>
            <w:tcBorders>
              <w:bottom w:val="single" w:sz="4" w:space="0" w:color="auto"/>
            </w:tcBorders>
            <w:noWrap/>
            <w:hideMark/>
          </w:tcPr>
          <w:p w14:paraId="77C7FCC8"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41" w:type="pct"/>
            <w:tcBorders>
              <w:bottom w:val="single" w:sz="4" w:space="0" w:color="auto"/>
            </w:tcBorders>
            <w:noWrap/>
            <w:hideMark/>
          </w:tcPr>
          <w:p w14:paraId="4E396B4F"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469" w:type="pct"/>
            <w:tcBorders>
              <w:bottom w:val="single" w:sz="4" w:space="0" w:color="auto"/>
            </w:tcBorders>
            <w:noWrap/>
            <w:hideMark/>
          </w:tcPr>
          <w:p w14:paraId="0BD689D9"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619" w:type="pct"/>
            <w:tcBorders>
              <w:bottom w:val="single" w:sz="4" w:space="0" w:color="auto"/>
            </w:tcBorders>
            <w:noWrap/>
            <w:hideMark/>
          </w:tcPr>
          <w:p w14:paraId="4072FCA2"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r>
      <w:tr w:rsidR="00CC3DDD" w:rsidRPr="008552AC" w14:paraId="5C1173B9" w14:textId="77777777" w:rsidTr="00CC3DDD">
        <w:trPr>
          <w:trHeight w:val="300"/>
        </w:trPr>
        <w:tc>
          <w:tcPr>
            <w:tcW w:w="929" w:type="pct"/>
            <w:noWrap/>
            <w:hideMark/>
          </w:tcPr>
          <w:p w14:paraId="7D9809E2" w14:textId="77777777" w:rsidR="00CC3DDD" w:rsidRPr="00657631" w:rsidRDefault="00CC3DDD" w:rsidP="00CC3DDD">
            <w:pPr>
              <w:rPr>
                <w:rFonts w:ascii="Garamond" w:eastAsia="Times New Roman" w:hAnsi="Garamond"/>
                <w:color w:val="000000"/>
                <w:sz w:val="22"/>
                <w:szCs w:val="22"/>
              </w:rPr>
            </w:pPr>
            <w:r w:rsidRPr="00657631">
              <w:rPr>
                <w:rFonts w:ascii="Garamond" w:eastAsia="Times New Roman" w:hAnsi="Garamond"/>
                <w:bCs/>
                <w:iCs/>
                <w:color w:val="000000"/>
                <w:sz w:val="22"/>
                <w:szCs w:val="22"/>
              </w:rPr>
              <w:t>Diastolic blood pressure</w:t>
            </w:r>
          </w:p>
        </w:tc>
        <w:tc>
          <w:tcPr>
            <w:tcW w:w="330" w:type="pct"/>
            <w:noWrap/>
            <w:hideMark/>
          </w:tcPr>
          <w:p w14:paraId="4CC01451"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0.080**</w:t>
            </w:r>
          </w:p>
        </w:tc>
        <w:tc>
          <w:tcPr>
            <w:tcW w:w="659" w:type="pct"/>
            <w:noWrap/>
            <w:hideMark/>
          </w:tcPr>
          <w:p w14:paraId="7FD852F2"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0.030 to 0.130</w:t>
            </w:r>
          </w:p>
        </w:tc>
        <w:tc>
          <w:tcPr>
            <w:tcW w:w="330" w:type="pct"/>
            <w:noWrap/>
            <w:hideMark/>
          </w:tcPr>
          <w:p w14:paraId="28F300DB"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-0.045</w:t>
            </w:r>
          </w:p>
        </w:tc>
        <w:tc>
          <w:tcPr>
            <w:tcW w:w="619" w:type="pct"/>
            <w:noWrap/>
            <w:hideMark/>
          </w:tcPr>
          <w:p w14:paraId="0D749D9D"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-0.183 to 0.093</w:t>
            </w:r>
          </w:p>
        </w:tc>
        <w:tc>
          <w:tcPr>
            <w:tcW w:w="403" w:type="pct"/>
            <w:noWrap/>
            <w:hideMark/>
          </w:tcPr>
          <w:p w14:paraId="4DCF5186"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0.102</w:t>
            </w:r>
          </w:p>
        </w:tc>
        <w:tc>
          <w:tcPr>
            <w:tcW w:w="641" w:type="pct"/>
            <w:noWrap/>
            <w:hideMark/>
          </w:tcPr>
          <w:p w14:paraId="25775214"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-0.022 to 0.226</w:t>
            </w:r>
          </w:p>
        </w:tc>
        <w:tc>
          <w:tcPr>
            <w:tcW w:w="469" w:type="pct"/>
            <w:noWrap/>
            <w:hideMark/>
          </w:tcPr>
          <w:p w14:paraId="6D949F48"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0.121**</w:t>
            </w:r>
          </w:p>
        </w:tc>
        <w:tc>
          <w:tcPr>
            <w:tcW w:w="619" w:type="pct"/>
            <w:noWrap/>
            <w:hideMark/>
          </w:tcPr>
          <w:p w14:paraId="79AF7B13"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0.033 to 0.208</w:t>
            </w:r>
          </w:p>
        </w:tc>
      </w:tr>
      <w:tr w:rsidR="00CC3DDD" w:rsidRPr="008552AC" w14:paraId="5CC1C9D0" w14:textId="77777777" w:rsidTr="00CC3DDD">
        <w:trPr>
          <w:trHeight w:val="300"/>
        </w:trPr>
        <w:tc>
          <w:tcPr>
            <w:tcW w:w="929" w:type="pct"/>
            <w:tcBorders>
              <w:bottom w:val="double" w:sz="4" w:space="0" w:color="auto"/>
            </w:tcBorders>
            <w:noWrap/>
            <w:hideMark/>
          </w:tcPr>
          <w:p w14:paraId="249168BC" w14:textId="77777777" w:rsidR="00CC3DDD" w:rsidRPr="00657631" w:rsidRDefault="00CC3DDD" w:rsidP="00CC3DDD">
            <w:pPr>
              <w:rPr>
                <w:rFonts w:ascii="Garamond" w:eastAsia="Times New Roman" w:hAnsi="Garamond"/>
                <w:color w:val="000000"/>
                <w:sz w:val="22"/>
                <w:szCs w:val="22"/>
              </w:rPr>
            </w:pPr>
            <w:r w:rsidRPr="00657631">
              <w:rPr>
                <w:rFonts w:ascii="Garamond" w:eastAsia="Times New Roman" w:hAnsi="Garamond"/>
                <w:bCs/>
                <w:iCs/>
                <w:color w:val="000000"/>
                <w:sz w:val="22"/>
                <w:szCs w:val="22"/>
              </w:rPr>
              <w:t>White blood cells</w:t>
            </w:r>
          </w:p>
        </w:tc>
        <w:tc>
          <w:tcPr>
            <w:tcW w:w="330" w:type="pct"/>
            <w:tcBorders>
              <w:bottom w:val="double" w:sz="4" w:space="0" w:color="auto"/>
            </w:tcBorders>
            <w:noWrap/>
            <w:hideMark/>
          </w:tcPr>
          <w:p w14:paraId="796BB6AE"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0.059</w:t>
            </w:r>
          </w:p>
        </w:tc>
        <w:tc>
          <w:tcPr>
            <w:tcW w:w="659" w:type="pct"/>
            <w:tcBorders>
              <w:bottom w:val="double" w:sz="4" w:space="0" w:color="auto"/>
            </w:tcBorders>
            <w:noWrap/>
            <w:hideMark/>
          </w:tcPr>
          <w:p w14:paraId="344C2EDE"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-0.002 to 0.121</w:t>
            </w:r>
          </w:p>
        </w:tc>
        <w:tc>
          <w:tcPr>
            <w:tcW w:w="330" w:type="pct"/>
            <w:tcBorders>
              <w:bottom w:val="double" w:sz="4" w:space="0" w:color="auto"/>
            </w:tcBorders>
            <w:noWrap/>
            <w:hideMark/>
          </w:tcPr>
          <w:p w14:paraId="69AEC5A6"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0.014</w:t>
            </w:r>
          </w:p>
        </w:tc>
        <w:tc>
          <w:tcPr>
            <w:tcW w:w="619" w:type="pct"/>
            <w:tcBorders>
              <w:bottom w:val="double" w:sz="4" w:space="0" w:color="auto"/>
            </w:tcBorders>
            <w:noWrap/>
            <w:hideMark/>
          </w:tcPr>
          <w:p w14:paraId="70E16AB0"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-0.135 to 0.163</w:t>
            </w:r>
          </w:p>
        </w:tc>
        <w:tc>
          <w:tcPr>
            <w:tcW w:w="403" w:type="pct"/>
            <w:tcBorders>
              <w:bottom w:val="double" w:sz="4" w:space="0" w:color="auto"/>
            </w:tcBorders>
            <w:noWrap/>
            <w:hideMark/>
          </w:tcPr>
          <w:p w14:paraId="12C6C5AC"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0.112</w:t>
            </w:r>
          </w:p>
        </w:tc>
        <w:tc>
          <w:tcPr>
            <w:tcW w:w="641" w:type="pct"/>
            <w:tcBorders>
              <w:bottom w:val="double" w:sz="4" w:space="0" w:color="auto"/>
            </w:tcBorders>
            <w:noWrap/>
            <w:hideMark/>
          </w:tcPr>
          <w:p w14:paraId="6E9A01F7"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-0.028 to 0.196</w:t>
            </w:r>
          </w:p>
        </w:tc>
        <w:tc>
          <w:tcPr>
            <w:tcW w:w="469" w:type="pct"/>
            <w:tcBorders>
              <w:bottom w:val="double" w:sz="4" w:space="0" w:color="auto"/>
            </w:tcBorders>
            <w:noWrap/>
            <w:hideMark/>
          </w:tcPr>
          <w:p w14:paraId="254A608F"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0.135**</w:t>
            </w:r>
          </w:p>
        </w:tc>
        <w:tc>
          <w:tcPr>
            <w:tcW w:w="619" w:type="pct"/>
            <w:tcBorders>
              <w:bottom w:val="double" w:sz="4" w:space="0" w:color="auto"/>
            </w:tcBorders>
            <w:noWrap/>
            <w:hideMark/>
          </w:tcPr>
          <w:p w14:paraId="3167234B"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0.024 to 0.245</w:t>
            </w:r>
          </w:p>
        </w:tc>
      </w:tr>
    </w:tbl>
    <w:p w14:paraId="11681B0A" w14:textId="77777777" w:rsidR="00CC3DDD" w:rsidRPr="00690DB9" w:rsidRDefault="00CC3DDD" w:rsidP="00CC3DDD">
      <w:pPr>
        <w:rPr>
          <w:rFonts w:ascii="Garamond" w:eastAsia="Times New Roman" w:hAnsi="Garamond"/>
          <w:bCs/>
          <w:color w:val="000000"/>
          <w:sz w:val="22"/>
          <w:szCs w:val="22"/>
        </w:rPr>
      </w:pPr>
      <w:r w:rsidRPr="00690DB9">
        <w:rPr>
          <w:rFonts w:ascii="Garamond" w:eastAsia="Times New Roman" w:hAnsi="Garamond"/>
          <w:bCs/>
          <w:i/>
          <w:color w:val="000000"/>
          <w:sz w:val="22"/>
          <w:szCs w:val="22"/>
        </w:rPr>
        <w:t>Notes</w:t>
      </w:r>
      <w:r w:rsidRPr="00690DB9">
        <w:rPr>
          <w:rFonts w:ascii="Garamond" w:eastAsia="Times New Roman" w:hAnsi="Garamond"/>
          <w:bCs/>
          <w:color w:val="000000"/>
          <w:sz w:val="22"/>
          <w:szCs w:val="22"/>
        </w:rPr>
        <w:t xml:space="preserve">: </w:t>
      </w:r>
      <w:r>
        <w:rPr>
          <w:rFonts w:ascii="Garamond" w:eastAsia="Times New Roman" w:hAnsi="Garamond"/>
          <w:bCs/>
          <w:color w:val="000000"/>
          <w:sz w:val="22"/>
          <w:szCs w:val="22"/>
        </w:rPr>
        <w:t xml:space="preserve">Data come the </w:t>
      </w:r>
      <w:proofErr w:type="spellStart"/>
      <w:r>
        <w:rPr>
          <w:rFonts w:ascii="Garamond" w:eastAsia="Times New Roman" w:hAnsi="Garamond"/>
          <w:bCs/>
          <w:color w:val="000000"/>
          <w:sz w:val="22"/>
          <w:szCs w:val="22"/>
        </w:rPr>
        <w:t>Constances</w:t>
      </w:r>
      <w:proofErr w:type="spellEnd"/>
      <w:r>
        <w:rPr>
          <w:rFonts w:ascii="Garamond" w:eastAsia="Times New Roman" w:hAnsi="Garamond"/>
          <w:bCs/>
          <w:color w:val="000000"/>
          <w:sz w:val="22"/>
          <w:szCs w:val="22"/>
        </w:rPr>
        <w:t xml:space="preserve"> cohort. </w:t>
      </w:r>
      <w:r w:rsidRPr="00690DB9">
        <w:rPr>
          <w:rFonts w:ascii="Garamond" w:eastAsia="Times New Roman" w:hAnsi="Garamond"/>
          <w:bCs/>
          <w:color w:val="000000"/>
          <w:sz w:val="22"/>
          <w:szCs w:val="22"/>
        </w:rPr>
        <w:t xml:space="preserve">All models control for age, age squared, </w:t>
      </w:r>
      <w:r>
        <w:rPr>
          <w:rFonts w:ascii="Garamond" w:eastAsia="Times New Roman" w:hAnsi="Garamond"/>
          <w:bCs/>
          <w:color w:val="000000"/>
          <w:sz w:val="22"/>
          <w:szCs w:val="22"/>
        </w:rPr>
        <w:t xml:space="preserve">age cubic, </w:t>
      </w:r>
      <w:r w:rsidRPr="00690DB9">
        <w:rPr>
          <w:rFonts w:ascii="Garamond" w:eastAsia="Times New Roman" w:hAnsi="Garamond"/>
          <w:bCs/>
          <w:color w:val="000000"/>
          <w:sz w:val="22"/>
          <w:szCs w:val="22"/>
        </w:rPr>
        <w:t>gender, month of birth, birth cohor</w:t>
      </w:r>
      <w:r>
        <w:rPr>
          <w:rFonts w:ascii="Garamond" w:eastAsia="Times New Roman" w:hAnsi="Garamond"/>
          <w:bCs/>
          <w:color w:val="000000"/>
          <w:sz w:val="22"/>
          <w:szCs w:val="22"/>
        </w:rPr>
        <w:t>t</w:t>
      </w:r>
      <w:r w:rsidRPr="00690DB9">
        <w:rPr>
          <w:rFonts w:ascii="Garamond" w:eastAsia="Times New Roman" w:hAnsi="Garamond"/>
          <w:bCs/>
          <w:color w:val="000000"/>
          <w:sz w:val="22"/>
          <w:szCs w:val="22"/>
        </w:rPr>
        <w:t xml:space="preserve"> relative to the cut-off point, interacted with the treatment. Standard errors are clustered at the month of birth level. The bandwidth is fixed at 48 months.</w:t>
      </w:r>
    </w:p>
    <w:p w14:paraId="61E20661" w14:textId="77777777" w:rsidR="00CC3DDD" w:rsidRDefault="00CC3DDD" w:rsidP="00CC3DDD">
      <w:pPr>
        <w:rPr>
          <w:rFonts w:ascii="Garamond" w:eastAsia="Times New Roman" w:hAnsi="Garamond"/>
          <w:bCs/>
          <w:color w:val="000000"/>
          <w:sz w:val="22"/>
          <w:szCs w:val="22"/>
        </w:rPr>
      </w:pPr>
      <w:r w:rsidRPr="00690DB9">
        <w:rPr>
          <w:rFonts w:ascii="Garamond" w:eastAsia="Times New Roman" w:hAnsi="Garamond"/>
          <w:bCs/>
          <w:color w:val="000000"/>
          <w:sz w:val="22"/>
          <w:szCs w:val="22"/>
        </w:rPr>
        <w:t>*</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&lt;0.05,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&lt;0.01, ***</w:t>
      </w:r>
      <w:r w:rsidRPr="00690DB9">
        <w:rPr>
          <w:rFonts w:ascii="Garamond" w:eastAsia="Times New Roman" w:hAnsi="Garamond"/>
          <w:bCs/>
          <w:i/>
          <w:color w:val="000000"/>
          <w:sz w:val="22"/>
          <w:szCs w:val="22"/>
        </w:rPr>
        <w:t>p</w:t>
      </w:r>
      <w:r w:rsidRPr="00690DB9">
        <w:rPr>
          <w:rFonts w:ascii="Garamond" w:eastAsia="Times New Roman" w:hAnsi="Garamond"/>
          <w:bCs/>
          <w:color w:val="000000"/>
          <w:sz w:val="22"/>
          <w:szCs w:val="22"/>
        </w:rPr>
        <w:t>&lt;0.001.</w:t>
      </w:r>
    </w:p>
    <w:p w14:paraId="371B9679" w14:textId="77777777" w:rsidR="00CC3DDD" w:rsidRDefault="00CC3DDD" w:rsidP="00CC3DDD">
      <w:pPr>
        <w:rPr>
          <w:rFonts w:ascii="Garamond" w:eastAsia="Times New Roman" w:hAnsi="Garamond"/>
          <w:bCs/>
          <w:color w:val="000000"/>
          <w:sz w:val="22"/>
          <w:szCs w:val="22"/>
        </w:rPr>
      </w:pPr>
    </w:p>
    <w:p w14:paraId="386874A0" w14:textId="77777777" w:rsidR="00CC3DDD" w:rsidRDefault="00CC3DDD" w:rsidP="00CC3DDD">
      <w:pPr>
        <w:rPr>
          <w:rFonts w:ascii="Garamond" w:eastAsia="Times New Roman" w:hAnsi="Garamond"/>
          <w:bCs/>
          <w:color w:val="000000"/>
          <w:sz w:val="22"/>
          <w:szCs w:val="22"/>
        </w:rPr>
      </w:pPr>
    </w:p>
    <w:p w14:paraId="1A4F01B5" w14:textId="77777777" w:rsidR="00CC3DDD" w:rsidRDefault="00CC3DDD" w:rsidP="00CC3DDD">
      <w:pPr>
        <w:rPr>
          <w:rFonts w:ascii="Garamond" w:hAnsi="Garamond"/>
          <w:b/>
          <w:color w:val="000000"/>
        </w:rPr>
      </w:pPr>
      <w:r>
        <w:rPr>
          <w:rFonts w:ascii="Garamond" w:hAnsi="Garamond"/>
          <w:b/>
          <w:color w:val="000000"/>
        </w:rPr>
        <w:br w:type="page"/>
      </w:r>
    </w:p>
    <w:p w14:paraId="64013F97" w14:textId="77777777" w:rsidR="00CC3DDD" w:rsidRDefault="00CC3DDD" w:rsidP="00CC3DDD">
      <w:pPr>
        <w:rPr>
          <w:rFonts w:ascii="Garamond" w:hAnsi="Garamond"/>
          <w:b/>
          <w:color w:val="000000"/>
        </w:rPr>
      </w:pPr>
      <w:r>
        <w:rPr>
          <w:rFonts w:ascii="Garamond" w:hAnsi="Garamond"/>
          <w:b/>
          <w:color w:val="000000"/>
        </w:rPr>
        <w:lastRenderedPageBreak/>
        <w:t xml:space="preserve">Appendix Table 5. </w:t>
      </w:r>
      <w:r w:rsidRPr="00D56A34">
        <w:rPr>
          <w:rFonts w:ascii="Garamond" w:hAnsi="Garamond"/>
        </w:rPr>
        <w:t xml:space="preserve">Effect of eligibility to the </w:t>
      </w:r>
      <w:r>
        <w:rPr>
          <w:rFonts w:ascii="Garamond" w:hAnsi="Garamond"/>
        </w:rPr>
        <w:t xml:space="preserve">1959 </w:t>
      </w:r>
      <w:proofErr w:type="spellStart"/>
      <w:r>
        <w:rPr>
          <w:rFonts w:ascii="Garamond" w:hAnsi="Garamond"/>
        </w:rPr>
        <w:t>Berthoin</w:t>
      </w:r>
      <w:proofErr w:type="spellEnd"/>
      <w:r>
        <w:rPr>
          <w:rFonts w:ascii="Garamond" w:hAnsi="Garamond"/>
        </w:rPr>
        <w:t xml:space="preserve"> </w:t>
      </w:r>
      <w:r w:rsidRPr="00D56A34">
        <w:rPr>
          <w:rFonts w:ascii="Garamond" w:hAnsi="Garamond"/>
        </w:rPr>
        <w:t xml:space="preserve">reform on </w:t>
      </w:r>
      <w:r>
        <w:rPr>
          <w:rFonts w:ascii="Garamond" w:hAnsi="Garamond"/>
        </w:rPr>
        <w:t xml:space="preserve">the odds of reporting hypertension, by parental social class during adolescence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0"/>
        <w:gridCol w:w="821"/>
        <w:gridCol w:w="1663"/>
        <w:gridCol w:w="819"/>
        <w:gridCol w:w="1549"/>
        <w:gridCol w:w="1166"/>
        <w:gridCol w:w="1850"/>
        <w:gridCol w:w="1172"/>
        <w:gridCol w:w="1560"/>
      </w:tblGrid>
      <w:tr w:rsidR="00CC3DDD" w:rsidRPr="00F95A8A" w14:paraId="09658DAD" w14:textId="77777777" w:rsidTr="00CC3DDD">
        <w:trPr>
          <w:trHeight w:val="300"/>
        </w:trPr>
        <w:tc>
          <w:tcPr>
            <w:tcW w:w="928" w:type="pct"/>
            <w:tcBorders>
              <w:top w:val="double" w:sz="4" w:space="0" w:color="auto"/>
            </w:tcBorders>
            <w:noWrap/>
            <w:hideMark/>
          </w:tcPr>
          <w:p w14:paraId="1EF15E99" w14:textId="77777777" w:rsidR="00CC3DDD" w:rsidRPr="008552AC" w:rsidRDefault="00CC3DDD" w:rsidP="00CC3DDD">
            <w:pPr>
              <w:rPr>
                <w:rFonts w:ascii="Garamond" w:eastAsia="Times New Roman" w:hAnsi="Garamond"/>
                <w:sz w:val="22"/>
                <w:szCs w:val="22"/>
              </w:rPr>
            </w:pPr>
          </w:p>
        </w:tc>
        <w:tc>
          <w:tcPr>
            <w:tcW w:w="992" w:type="pct"/>
            <w:gridSpan w:val="2"/>
            <w:tcBorders>
              <w:top w:val="double" w:sz="4" w:space="0" w:color="auto"/>
            </w:tcBorders>
            <w:noWrap/>
            <w:hideMark/>
          </w:tcPr>
          <w:p w14:paraId="2CC6C5C9"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All</w:t>
            </w:r>
          </w:p>
        </w:tc>
        <w:tc>
          <w:tcPr>
            <w:tcW w:w="948" w:type="pct"/>
            <w:gridSpan w:val="2"/>
            <w:tcBorders>
              <w:top w:val="double" w:sz="4" w:space="0" w:color="auto"/>
            </w:tcBorders>
            <w:noWrap/>
            <w:hideMark/>
          </w:tcPr>
          <w:p w14:paraId="609E7E51"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High parental </w:t>
            </w:r>
            <w:r>
              <w:rPr>
                <w:rFonts w:ascii="Garamond" w:eastAsia="Times New Roman" w:hAnsi="Garamond"/>
                <w:color w:val="000000"/>
                <w:sz w:val="22"/>
                <w:szCs w:val="22"/>
              </w:rPr>
              <w:t>social class</w:t>
            </w:r>
          </w:p>
        </w:tc>
        <w:tc>
          <w:tcPr>
            <w:tcW w:w="1043" w:type="pct"/>
            <w:gridSpan w:val="2"/>
            <w:tcBorders>
              <w:top w:val="double" w:sz="4" w:space="0" w:color="auto"/>
            </w:tcBorders>
            <w:noWrap/>
            <w:hideMark/>
          </w:tcPr>
          <w:p w14:paraId="3B60E283"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Intermediate parental </w:t>
            </w:r>
            <w:r>
              <w:rPr>
                <w:rFonts w:ascii="Garamond" w:eastAsia="Times New Roman" w:hAnsi="Garamond"/>
                <w:color w:val="000000"/>
                <w:sz w:val="22"/>
                <w:szCs w:val="22"/>
              </w:rPr>
              <w:t>social class</w:t>
            </w:r>
          </w:p>
        </w:tc>
        <w:tc>
          <w:tcPr>
            <w:tcW w:w="1088" w:type="pct"/>
            <w:gridSpan w:val="2"/>
            <w:tcBorders>
              <w:top w:val="double" w:sz="4" w:space="0" w:color="auto"/>
            </w:tcBorders>
            <w:noWrap/>
            <w:hideMark/>
          </w:tcPr>
          <w:p w14:paraId="0EDE8373"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 xml:space="preserve">Low parental </w:t>
            </w:r>
            <w:r>
              <w:rPr>
                <w:rFonts w:ascii="Garamond" w:eastAsia="Times New Roman" w:hAnsi="Garamond"/>
                <w:color w:val="000000"/>
                <w:sz w:val="22"/>
                <w:szCs w:val="22"/>
              </w:rPr>
              <w:t>social class</w:t>
            </w:r>
          </w:p>
        </w:tc>
      </w:tr>
      <w:tr w:rsidR="00CC3DDD" w:rsidRPr="00F95A8A" w14:paraId="6C2A7A2D" w14:textId="77777777" w:rsidTr="00CC3DDD">
        <w:trPr>
          <w:trHeight w:val="300"/>
        </w:trPr>
        <w:tc>
          <w:tcPr>
            <w:tcW w:w="928" w:type="pct"/>
            <w:noWrap/>
            <w:hideMark/>
          </w:tcPr>
          <w:p w14:paraId="17F8D07C" w14:textId="77777777" w:rsidR="00CC3DDD" w:rsidRPr="008552AC" w:rsidRDefault="00CC3DDD" w:rsidP="00CC3DDD">
            <w:pPr>
              <w:rPr>
                <w:rFonts w:ascii="Garamond" w:eastAsia="Times New Roman" w:hAnsi="Garamond"/>
                <w:sz w:val="22"/>
                <w:szCs w:val="22"/>
              </w:rPr>
            </w:pPr>
          </w:p>
        </w:tc>
        <w:tc>
          <w:tcPr>
            <w:tcW w:w="334" w:type="pct"/>
            <w:tcBorders>
              <w:bottom w:val="single" w:sz="4" w:space="0" w:color="auto"/>
            </w:tcBorders>
            <w:noWrap/>
            <w:hideMark/>
          </w:tcPr>
          <w:p w14:paraId="3F62E616" w14:textId="77777777" w:rsidR="00CC3DDD" w:rsidRPr="00F95A8A"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659" w:type="pct"/>
            <w:tcBorders>
              <w:bottom w:val="single" w:sz="4" w:space="0" w:color="auto"/>
            </w:tcBorders>
            <w:noWrap/>
            <w:hideMark/>
          </w:tcPr>
          <w:p w14:paraId="5021A6F1"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329" w:type="pct"/>
            <w:tcBorders>
              <w:bottom w:val="single" w:sz="4" w:space="0" w:color="auto"/>
            </w:tcBorders>
            <w:noWrap/>
            <w:hideMark/>
          </w:tcPr>
          <w:p w14:paraId="360E5A4C" w14:textId="77777777" w:rsidR="00CC3DDD" w:rsidRPr="00F95A8A"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618" w:type="pct"/>
            <w:tcBorders>
              <w:bottom w:val="single" w:sz="4" w:space="0" w:color="auto"/>
            </w:tcBorders>
            <w:noWrap/>
            <w:hideMark/>
          </w:tcPr>
          <w:p w14:paraId="5FAADAEB"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403" w:type="pct"/>
            <w:tcBorders>
              <w:bottom w:val="single" w:sz="4" w:space="0" w:color="auto"/>
            </w:tcBorders>
            <w:noWrap/>
            <w:hideMark/>
          </w:tcPr>
          <w:p w14:paraId="389D43E3" w14:textId="77777777" w:rsidR="00CC3DDD" w:rsidRPr="00F95A8A"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640" w:type="pct"/>
            <w:tcBorders>
              <w:bottom w:val="single" w:sz="4" w:space="0" w:color="auto"/>
            </w:tcBorders>
            <w:noWrap/>
            <w:hideMark/>
          </w:tcPr>
          <w:p w14:paraId="04421F21"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469" w:type="pct"/>
            <w:tcBorders>
              <w:bottom w:val="single" w:sz="4" w:space="0" w:color="auto"/>
            </w:tcBorders>
            <w:noWrap/>
            <w:hideMark/>
          </w:tcPr>
          <w:p w14:paraId="77B0E949" w14:textId="77777777" w:rsidR="00CC3DDD" w:rsidRPr="00F95A8A"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620" w:type="pct"/>
            <w:tcBorders>
              <w:bottom w:val="single" w:sz="4" w:space="0" w:color="auto"/>
            </w:tcBorders>
            <w:noWrap/>
            <w:hideMark/>
          </w:tcPr>
          <w:p w14:paraId="58F28D7B"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r>
      <w:tr w:rsidR="00CC3DDD" w:rsidRPr="008552AC" w14:paraId="7FD6FB59" w14:textId="77777777" w:rsidTr="00CC3DDD">
        <w:trPr>
          <w:trHeight w:val="300"/>
        </w:trPr>
        <w:tc>
          <w:tcPr>
            <w:tcW w:w="928" w:type="pct"/>
            <w:tcBorders>
              <w:bottom w:val="double" w:sz="4" w:space="0" w:color="auto"/>
            </w:tcBorders>
            <w:noWrap/>
            <w:hideMark/>
          </w:tcPr>
          <w:p w14:paraId="349E1007" w14:textId="77777777" w:rsidR="00CC3DDD" w:rsidRPr="00657631" w:rsidRDefault="00CC3DDD" w:rsidP="00CC3DDD">
            <w:pPr>
              <w:rPr>
                <w:rFonts w:ascii="Garamond" w:eastAsia="Times New Roman" w:hAnsi="Garamond"/>
                <w:color w:val="000000"/>
                <w:sz w:val="22"/>
                <w:szCs w:val="22"/>
              </w:rPr>
            </w:pPr>
            <w:r>
              <w:rPr>
                <w:rFonts w:ascii="Garamond" w:eastAsia="Times New Roman" w:hAnsi="Garamond"/>
                <w:bCs/>
                <w:iCs/>
                <w:color w:val="000000"/>
                <w:sz w:val="22"/>
                <w:szCs w:val="22"/>
              </w:rPr>
              <w:t>Hypertension</w:t>
            </w:r>
          </w:p>
        </w:tc>
        <w:tc>
          <w:tcPr>
            <w:tcW w:w="334" w:type="pct"/>
            <w:tcBorders>
              <w:bottom w:val="double" w:sz="4" w:space="0" w:color="auto"/>
            </w:tcBorders>
            <w:noWrap/>
            <w:hideMark/>
          </w:tcPr>
          <w:p w14:paraId="2ED9A3CD"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0.974</w:t>
            </w:r>
          </w:p>
        </w:tc>
        <w:tc>
          <w:tcPr>
            <w:tcW w:w="659" w:type="pct"/>
            <w:tcBorders>
              <w:bottom w:val="double" w:sz="4" w:space="0" w:color="auto"/>
            </w:tcBorders>
            <w:noWrap/>
            <w:hideMark/>
          </w:tcPr>
          <w:p w14:paraId="6E6DBF58"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0.846 to 1.122</w:t>
            </w:r>
          </w:p>
        </w:tc>
        <w:tc>
          <w:tcPr>
            <w:tcW w:w="329" w:type="pct"/>
            <w:tcBorders>
              <w:bottom w:val="double" w:sz="4" w:space="0" w:color="auto"/>
            </w:tcBorders>
            <w:noWrap/>
            <w:hideMark/>
          </w:tcPr>
          <w:p w14:paraId="035284F0"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0.719</w:t>
            </w:r>
          </w:p>
        </w:tc>
        <w:tc>
          <w:tcPr>
            <w:tcW w:w="618" w:type="pct"/>
            <w:tcBorders>
              <w:bottom w:val="double" w:sz="4" w:space="0" w:color="auto"/>
            </w:tcBorders>
            <w:noWrap/>
            <w:hideMark/>
          </w:tcPr>
          <w:p w14:paraId="0FC2A94E"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0.494 to 1.047</w:t>
            </w:r>
          </w:p>
        </w:tc>
        <w:tc>
          <w:tcPr>
            <w:tcW w:w="403" w:type="pct"/>
            <w:tcBorders>
              <w:bottom w:val="double" w:sz="4" w:space="0" w:color="auto"/>
            </w:tcBorders>
            <w:noWrap/>
            <w:hideMark/>
          </w:tcPr>
          <w:p w14:paraId="39E5DF12"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0.959</w:t>
            </w:r>
          </w:p>
        </w:tc>
        <w:tc>
          <w:tcPr>
            <w:tcW w:w="640" w:type="pct"/>
            <w:tcBorders>
              <w:bottom w:val="double" w:sz="4" w:space="0" w:color="auto"/>
            </w:tcBorders>
            <w:noWrap/>
            <w:hideMark/>
          </w:tcPr>
          <w:p w14:paraId="42AB75D4"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0.728 to 1.247</w:t>
            </w:r>
          </w:p>
        </w:tc>
        <w:tc>
          <w:tcPr>
            <w:tcW w:w="469" w:type="pct"/>
            <w:tcBorders>
              <w:bottom w:val="double" w:sz="4" w:space="0" w:color="auto"/>
            </w:tcBorders>
            <w:noWrap/>
            <w:hideMark/>
          </w:tcPr>
          <w:p w14:paraId="46D41A03"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1.130</w:t>
            </w:r>
          </w:p>
        </w:tc>
        <w:tc>
          <w:tcPr>
            <w:tcW w:w="620" w:type="pct"/>
            <w:tcBorders>
              <w:bottom w:val="double" w:sz="4" w:space="0" w:color="auto"/>
            </w:tcBorders>
            <w:noWrap/>
            <w:hideMark/>
          </w:tcPr>
          <w:p w14:paraId="51F6B051"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0.877 to 1.456</w:t>
            </w:r>
          </w:p>
        </w:tc>
      </w:tr>
    </w:tbl>
    <w:p w14:paraId="7575830F" w14:textId="77777777" w:rsidR="00CC3DDD" w:rsidRDefault="00CC3DDD" w:rsidP="00CC3DDD">
      <w:pPr>
        <w:jc w:val="both"/>
        <w:rPr>
          <w:rFonts w:ascii="Garamond" w:eastAsia="Times New Roman" w:hAnsi="Garamond"/>
          <w:bCs/>
          <w:color w:val="000000"/>
          <w:sz w:val="22"/>
          <w:szCs w:val="22"/>
        </w:rPr>
      </w:pPr>
      <w:r w:rsidRPr="00690DB9">
        <w:rPr>
          <w:rFonts w:ascii="Garamond" w:eastAsia="Times New Roman" w:hAnsi="Garamond"/>
          <w:bCs/>
          <w:i/>
          <w:color w:val="000000"/>
          <w:sz w:val="22"/>
          <w:szCs w:val="22"/>
        </w:rPr>
        <w:t>Notes</w:t>
      </w:r>
      <w:r w:rsidRPr="00690DB9">
        <w:rPr>
          <w:rFonts w:ascii="Garamond" w:eastAsia="Times New Roman" w:hAnsi="Garamond"/>
          <w:bCs/>
          <w:color w:val="000000"/>
          <w:sz w:val="22"/>
          <w:szCs w:val="22"/>
        </w:rPr>
        <w:t xml:space="preserve">: </w:t>
      </w:r>
      <w:r>
        <w:rPr>
          <w:rFonts w:ascii="Garamond" w:eastAsia="Times New Roman" w:hAnsi="Garamond"/>
          <w:bCs/>
          <w:color w:val="000000"/>
          <w:sz w:val="22"/>
          <w:szCs w:val="22"/>
        </w:rPr>
        <w:t xml:space="preserve">Data come the </w:t>
      </w:r>
      <w:proofErr w:type="spellStart"/>
      <w:r>
        <w:rPr>
          <w:rFonts w:ascii="Garamond" w:eastAsia="Times New Roman" w:hAnsi="Garamond"/>
          <w:bCs/>
          <w:color w:val="000000"/>
          <w:sz w:val="22"/>
          <w:szCs w:val="22"/>
        </w:rPr>
        <w:t>Constances</w:t>
      </w:r>
      <w:proofErr w:type="spellEnd"/>
      <w:r>
        <w:rPr>
          <w:rFonts w:ascii="Garamond" w:eastAsia="Times New Roman" w:hAnsi="Garamond"/>
          <w:bCs/>
          <w:color w:val="000000"/>
          <w:sz w:val="22"/>
          <w:szCs w:val="22"/>
        </w:rPr>
        <w:t xml:space="preserve"> cohort. Hypertension is defined as reporting a diastolic blood pressure equal or higher to 90 mm Hg. </w:t>
      </w:r>
      <w:r w:rsidRPr="00690DB9">
        <w:rPr>
          <w:rFonts w:ascii="Garamond" w:eastAsia="Times New Roman" w:hAnsi="Garamond"/>
          <w:bCs/>
          <w:color w:val="000000"/>
          <w:sz w:val="22"/>
          <w:szCs w:val="22"/>
        </w:rPr>
        <w:t xml:space="preserve">All models control for age, age squared, </w:t>
      </w:r>
      <w:r>
        <w:rPr>
          <w:rFonts w:ascii="Garamond" w:eastAsia="Times New Roman" w:hAnsi="Garamond"/>
          <w:bCs/>
          <w:color w:val="000000"/>
          <w:sz w:val="22"/>
          <w:szCs w:val="22"/>
        </w:rPr>
        <w:t xml:space="preserve">age cubic, </w:t>
      </w:r>
      <w:r w:rsidRPr="00690DB9">
        <w:rPr>
          <w:rFonts w:ascii="Garamond" w:eastAsia="Times New Roman" w:hAnsi="Garamond"/>
          <w:bCs/>
          <w:color w:val="000000"/>
          <w:sz w:val="22"/>
          <w:szCs w:val="22"/>
        </w:rPr>
        <w:t>gender, month of birth, birth cohor</w:t>
      </w:r>
      <w:r>
        <w:rPr>
          <w:rFonts w:ascii="Garamond" w:eastAsia="Times New Roman" w:hAnsi="Garamond"/>
          <w:bCs/>
          <w:color w:val="000000"/>
          <w:sz w:val="22"/>
          <w:szCs w:val="22"/>
        </w:rPr>
        <w:t>t</w:t>
      </w:r>
      <w:r w:rsidRPr="00690DB9">
        <w:rPr>
          <w:rFonts w:ascii="Garamond" w:eastAsia="Times New Roman" w:hAnsi="Garamond"/>
          <w:bCs/>
          <w:color w:val="000000"/>
          <w:sz w:val="22"/>
          <w:szCs w:val="22"/>
        </w:rPr>
        <w:t xml:space="preserve"> relative to the cut-off point, interacted with the treatment. Standard errors are clustered at the month of birth level. The bandwidth is fixed at 48 months.</w:t>
      </w:r>
    </w:p>
    <w:p w14:paraId="3831CEDC" w14:textId="77777777" w:rsidR="00CC3DDD" w:rsidRDefault="00CC3DDD" w:rsidP="00CC3DDD">
      <w:pPr>
        <w:rPr>
          <w:rFonts w:ascii="Garamond" w:hAnsi="Garamond"/>
          <w:b/>
          <w:color w:val="000000"/>
        </w:rPr>
      </w:pPr>
      <w:r>
        <w:rPr>
          <w:rFonts w:ascii="Garamond" w:hAnsi="Garamond"/>
          <w:b/>
          <w:color w:val="000000"/>
        </w:rPr>
        <w:br w:type="page"/>
      </w:r>
    </w:p>
    <w:p w14:paraId="69D9A3DD" w14:textId="77777777" w:rsidR="00CC3DDD" w:rsidRDefault="00CC3DDD" w:rsidP="00CC3DDD">
      <w:pPr>
        <w:rPr>
          <w:rFonts w:ascii="Garamond" w:hAnsi="Garamond"/>
          <w:b/>
          <w:color w:val="000000"/>
        </w:rPr>
      </w:pPr>
      <w:r>
        <w:rPr>
          <w:rFonts w:ascii="Garamond" w:hAnsi="Garamond"/>
          <w:b/>
          <w:color w:val="000000"/>
        </w:rPr>
        <w:lastRenderedPageBreak/>
        <w:t xml:space="preserve">Appendix Table 6. </w:t>
      </w:r>
      <w:r w:rsidRPr="00D56A34">
        <w:rPr>
          <w:rFonts w:ascii="Garamond" w:hAnsi="Garamond"/>
        </w:rPr>
        <w:t xml:space="preserve">Effect of eligibility to the </w:t>
      </w:r>
      <w:r>
        <w:rPr>
          <w:rFonts w:ascii="Garamond" w:hAnsi="Garamond"/>
        </w:rPr>
        <w:t xml:space="preserve">1959 </w:t>
      </w:r>
      <w:proofErr w:type="spellStart"/>
      <w:r>
        <w:rPr>
          <w:rFonts w:ascii="Garamond" w:hAnsi="Garamond"/>
        </w:rPr>
        <w:t>Berthoin</w:t>
      </w:r>
      <w:proofErr w:type="spellEnd"/>
      <w:r>
        <w:rPr>
          <w:rFonts w:ascii="Garamond" w:hAnsi="Garamond"/>
        </w:rPr>
        <w:t xml:space="preserve"> </w:t>
      </w:r>
      <w:r w:rsidRPr="00D56A34">
        <w:rPr>
          <w:rFonts w:ascii="Garamond" w:hAnsi="Garamond"/>
        </w:rPr>
        <w:t xml:space="preserve">reform on </w:t>
      </w:r>
      <w:r>
        <w:rPr>
          <w:rFonts w:ascii="Garamond" w:hAnsi="Garamond"/>
        </w:rPr>
        <w:t xml:space="preserve">credentials, adult social class and hourly wages among respondents from low parental social class, French LFS and </w:t>
      </w:r>
      <w:proofErr w:type="spellStart"/>
      <w:r>
        <w:rPr>
          <w:rFonts w:ascii="Garamond" w:hAnsi="Garamond"/>
        </w:rPr>
        <w:t>Constances</w:t>
      </w:r>
      <w:proofErr w:type="spell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1462"/>
        <w:gridCol w:w="2864"/>
        <w:gridCol w:w="1744"/>
        <w:gridCol w:w="2377"/>
      </w:tblGrid>
      <w:tr w:rsidR="00CC3DDD" w:rsidRPr="00F95A8A" w14:paraId="66B9FAB5" w14:textId="77777777" w:rsidTr="00CC3DDD">
        <w:trPr>
          <w:trHeight w:val="300"/>
        </w:trPr>
        <w:tc>
          <w:tcPr>
            <w:tcW w:w="1741" w:type="pct"/>
            <w:tcBorders>
              <w:top w:val="double" w:sz="4" w:space="0" w:color="auto"/>
            </w:tcBorders>
            <w:noWrap/>
            <w:hideMark/>
          </w:tcPr>
          <w:p w14:paraId="5D703C3C" w14:textId="77777777" w:rsidR="00CC3DDD" w:rsidRPr="008552AC" w:rsidRDefault="00CC3DDD" w:rsidP="00CC3DDD">
            <w:pPr>
              <w:rPr>
                <w:rFonts w:ascii="Garamond" w:eastAsia="Times New Roman" w:hAnsi="Garamond"/>
                <w:sz w:val="22"/>
                <w:szCs w:val="22"/>
              </w:rPr>
            </w:pPr>
          </w:p>
        </w:tc>
        <w:tc>
          <w:tcPr>
            <w:tcW w:w="1669" w:type="pct"/>
            <w:gridSpan w:val="2"/>
            <w:tcBorders>
              <w:top w:val="double" w:sz="4" w:space="0" w:color="auto"/>
            </w:tcBorders>
            <w:noWrap/>
            <w:hideMark/>
          </w:tcPr>
          <w:p w14:paraId="35C3B9AA" w14:textId="77777777" w:rsidR="00CC3DDD" w:rsidRPr="00F95A8A"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French LFS</w:t>
            </w:r>
          </w:p>
        </w:tc>
        <w:tc>
          <w:tcPr>
            <w:tcW w:w="1591" w:type="pct"/>
            <w:gridSpan w:val="2"/>
            <w:tcBorders>
              <w:top w:val="double" w:sz="4" w:space="0" w:color="auto"/>
            </w:tcBorders>
            <w:noWrap/>
            <w:hideMark/>
          </w:tcPr>
          <w:p w14:paraId="30B68FDE" w14:textId="77777777" w:rsidR="00CC3DDD" w:rsidRPr="00F95A8A" w:rsidRDefault="00CC3DDD" w:rsidP="00CC3DDD">
            <w:pPr>
              <w:jc w:val="center"/>
              <w:rPr>
                <w:rFonts w:ascii="Garamond" w:eastAsia="Times New Roman" w:hAnsi="Garamond"/>
                <w:color w:val="000000"/>
                <w:sz w:val="22"/>
                <w:szCs w:val="22"/>
              </w:rPr>
            </w:pPr>
            <w:proofErr w:type="spellStart"/>
            <w:r>
              <w:rPr>
                <w:rFonts w:ascii="Garamond" w:eastAsia="Times New Roman" w:hAnsi="Garamond"/>
                <w:color w:val="000000"/>
                <w:sz w:val="22"/>
                <w:szCs w:val="22"/>
              </w:rPr>
              <w:t>Constances</w:t>
            </w:r>
            <w:proofErr w:type="spellEnd"/>
          </w:p>
        </w:tc>
      </w:tr>
      <w:tr w:rsidR="00CC3DDD" w:rsidRPr="00F95A8A" w14:paraId="6B811E7F" w14:textId="77777777" w:rsidTr="00CC3DDD">
        <w:trPr>
          <w:trHeight w:val="300"/>
        </w:trPr>
        <w:tc>
          <w:tcPr>
            <w:tcW w:w="1741" w:type="pct"/>
            <w:noWrap/>
            <w:hideMark/>
          </w:tcPr>
          <w:p w14:paraId="07D3E167" w14:textId="77777777" w:rsidR="00CC3DDD" w:rsidRPr="008552AC" w:rsidRDefault="00CC3DDD" w:rsidP="00CC3DDD">
            <w:pPr>
              <w:rPr>
                <w:rFonts w:ascii="Garamond" w:eastAsia="Times New Roman" w:hAnsi="Garamond"/>
                <w:sz w:val="22"/>
                <w:szCs w:val="22"/>
              </w:rPr>
            </w:pPr>
          </w:p>
        </w:tc>
        <w:tc>
          <w:tcPr>
            <w:tcW w:w="564" w:type="pct"/>
            <w:tcBorders>
              <w:bottom w:val="single" w:sz="4" w:space="0" w:color="auto"/>
            </w:tcBorders>
            <w:noWrap/>
            <w:hideMark/>
          </w:tcPr>
          <w:p w14:paraId="667AD241" w14:textId="77777777" w:rsidR="00CC3DDD" w:rsidRPr="00F95A8A"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1105" w:type="pct"/>
            <w:tcBorders>
              <w:bottom w:val="single" w:sz="4" w:space="0" w:color="auto"/>
            </w:tcBorders>
            <w:noWrap/>
            <w:hideMark/>
          </w:tcPr>
          <w:p w14:paraId="10E0FD67"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673" w:type="pct"/>
            <w:tcBorders>
              <w:bottom w:val="single" w:sz="4" w:space="0" w:color="auto"/>
            </w:tcBorders>
            <w:noWrap/>
            <w:hideMark/>
          </w:tcPr>
          <w:p w14:paraId="22662093" w14:textId="77777777" w:rsidR="00CC3DDD" w:rsidRPr="00F95A8A"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OR</w:t>
            </w:r>
          </w:p>
        </w:tc>
        <w:tc>
          <w:tcPr>
            <w:tcW w:w="918" w:type="pct"/>
            <w:tcBorders>
              <w:bottom w:val="single" w:sz="4" w:space="0" w:color="auto"/>
            </w:tcBorders>
            <w:noWrap/>
            <w:hideMark/>
          </w:tcPr>
          <w:p w14:paraId="42FC7E2B" w14:textId="77777777" w:rsidR="00CC3DDD" w:rsidRPr="00F95A8A"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r>
      <w:tr w:rsidR="00CC3DDD" w:rsidRPr="008552AC" w14:paraId="4C091784" w14:textId="77777777" w:rsidTr="00CC3DDD">
        <w:trPr>
          <w:trHeight w:val="300"/>
        </w:trPr>
        <w:tc>
          <w:tcPr>
            <w:tcW w:w="1741" w:type="pct"/>
            <w:noWrap/>
          </w:tcPr>
          <w:p w14:paraId="537BD709" w14:textId="77777777" w:rsidR="00CC3DDD" w:rsidRPr="007B293F" w:rsidRDefault="00CC3DDD" w:rsidP="00CC3DDD">
            <w:pPr>
              <w:rPr>
                <w:rFonts w:ascii="Garamond" w:eastAsia="Times New Roman" w:hAnsi="Garamond"/>
                <w:b/>
                <w:bCs/>
                <w:i/>
                <w:iCs/>
                <w:color w:val="000000"/>
                <w:sz w:val="22"/>
                <w:szCs w:val="22"/>
              </w:rPr>
            </w:pPr>
            <w:r>
              <w:rPr>
                <w:rFonts w:ascii="Garamond" w:eastAsia="Times New Roman" w:hAnsi="Garamond"/>
                <w:b/>
                <w:bCs/>
                <w:i/>
                <w:iCs/>
                <w:color w:val="000000"/>
                <w:sz w:val="22"/>
                <w:szCs w:val="22"/>
              </w:rPr>
              <w:t>Credentials</w:t>
            </w:r>
          </w:p>
        </w:tc>
        <w:tc>
          <w:tcPr>
            <w:tcW w:w="564" w:type="pct"/>
            <w:noWrap/>
          </w:tcPr>
          <w:p w14:paraId="50F5597F" w14:textId="77777777" w:rsidR="00CC3DDD" w:rsidRPr="00BD3CFD" w:rsidRDefault="00CC3DDD" w:rsidP="00CC3DDD">
            <w:pPr>
              <w:jc w:val="center"/>
              <w:rPr>
                <w:rFonts w:ascii="Garamond" w:eastAsia="Times New Roman" w:hAnsi="Garamond" w:cs="Calibri"/>
                <w:color w:val="000000"/>
                <w:sz w:val="20"/>
                <w:szCs w:val="20"/>
                <w:lang w:eastAsia="en-GB"/>
              </w:rPr>
            </w:pPr>
          </w:p>
        </w:tc>
        <w:tc>
          <w:tcPr>
            <w:tcW w:w="1105" w:type="pct"/>
            <w:noWrap/>
          </w:tcPr>
          <w:p w14:paraId="6F77462F" w14:textId="77777777" w:rsidR="00CC3DDD" w:rsidRDefault="00CC3DDD" w:rsidP="00CC3DDD">
            <w:pPr>
              <w:jc w:val="center"/>
              <w:rPr>
                <w:rFonts w:ascii="Garamond" w:eastAsia="Times New Roman" w:hAnsi="Garamond" w:cs="Calibri"/>
                <w:color w:val="000000"/>
                <w:sz w:val="20"/>
                <w:szCs w:val="20"/>
                <w:lang w:eastAsia="en-GB"/>
              </w:rPr>
            </w:pPr>
          </w:p>
        </w:tc>
        <w:tc>
          <w:tcPr>
            <w:tcW w:w="673" w:type="pct"/>
            <w:noWrap/>
          </w:tcPr>
          <w:p w14:paraId="4DCC6C3D" w14:textId="77777777" w:rsidR="00CC3DDD" w:rsidRPr="00BD3CFD" w:rsidRDefault="00CC3DDD" w:rsidP="00CC3DDD">
            <w:pPr>
              <w:jc w:val="center"/>
              <w:rPr>
                <w:rFonts w:ascii="Garamond" w:eastAsia="Times New Roman" w:hAnsi="Garamond" w:cs="Calibri"/>
                <w:color w:val="000000"/>
                <w:sz w:val="20"/>
                <w:szCs w:val="20"/>
                <w:lang w:eastAsia="en-GB"/>
              </w:rPr>
            </w:pPr>
          </w:p>
        </w:tc>
        <w:tc>
          <w:tcPr>
            <w:tcW w:w="918" w:type="pct"/>
            <w:noWrap/>
          </w:tcPr>
          <w:p w14:paraId="3661410B" w14:textId="77777777" w:rsidR="00CC3DDD" w:rsidRDefault="00CC3DDD" w:rsidP="00CC3DDD">
            <w:pPr>
              <w:jc w:val="center"/>
              <w:rPr>
                <w:rFonts w:ascii="Garamond" w:eastAsia="Times New Roman" w:hAnsi="Garamond" w:cs="Calibri"/>
                <w:color w:val="000000"/>
                <w:sz w:val="20"/>
                <w:szCs w:val="20"/>
                <w:lang w:eastAsia="en-GB"/>
              </w:rPr>
            </w:pPr>
          </w:p>
        </w:tc>
      </w:tr>
      <w:tr w:rsidR="00CC3DDD" w:rsidRPr="008552AC" w14:paraId="60916E2D" w14:textId="77777777" w:rsidTr="00CC3DDD">
        <w:trPr>
          <w:trHeight w:val="300"/>
        </w:trPr>
        <w:tc>
          <w:tcPr>
            <w:tcW w:w="1741" w:type="pct"/>
            <w:noWrap/>
            <w:hideMark/>
          </w:tcPr>
          <w:p w14:paraId="13D7F899" w14:textId="77777777" w:rsidR="00CC3DDD" w:rsidRPr="00657631" w:rsidRDefault="00CC3DDD" w:rsidP="00CC3DDD">
            <w:pPr>
              <w:rPr>
                <w:rFonts w:ascii="Garamond" w:eastAsia="Times New Roman" w:hAnsi="Garamond"/>
                <w:color w:val="000000"/>
                <w:sz w:val="22"/>
                <w:szCs w:val="22"/>
              </w:rPr>
            </w:pPr>
            <w:r>
              <w:rPr>
                <w:rFonts w:ascii="Garamond" w:eastAsia="Times New Roman" w:hAnsi="Garamond"/>
                <w:bCs/>
                <w:iCs/>
                <w:color w:val="000000"/>
                <w:sz w:val="22"/>
                <w:szCs w:val="22"/>
              </w:rPr>
              <w:t xml:space="preserve">High school diploma </w:t>
            </w:r>
          </w:p>
        </w:tc>
        <w:tc>
          <w:tcPr>
            <w:tcW w:w="564" w:type="pct"/>
            <w:noWrap/>
            <w:hideMark/>
          </w:tcPr>
          <w:p w14:paraId="5F68D0A9"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s="Calibri"/>
                <w:color w:val="000000"/>
                <w:sz w:val="20"/>
                <w:szCs w:val="20"/>
                <w:lang w:eastAsia="en-GB"/>
              </w:rPr>
              <w:t>1.015</w:t>
            </w:r>
          </w:p>
        </w:tc>
        <w:tc>
          <w:tcPr>
            <w:tcW w:w="1105" w:type="pct"/>
            <w:noWrap/>
            <w:hideMark/>
          </w:tcPr>
          <w:p w14:paraId="5319BD62"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s="Calibri"/>
                <w:color w:val="000000"/>
                <w:sz w:val="20"/>
                <w:szCs w:val="20"/>
                <w:lang w:eastAsia="en-GB"/>
              </w:rPr>
              <w:t>0.881 to 1.170</w:t>
            </w:r>
          </w:p>
        </w:tc>
        <w:tc>
          <w:tcPr>
            <w:tcW w:w="673" w:type="pct"/>
            <w:noWrap/>
            <w:hideMark/>
          </w:tcPr>
          <w:p w14:paraId="1D833836"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0.899</w:t>
            </w:r>
          </w:p>
        </w:tc>
        <w:tc>
          <w:tcPr>
            <w:tcW w:w="918" w:type="pct"/>
            <w:noWrap/>
            <w:hideMark/>
          </w:tcPr>
          <w:p w14:paraId="4E1040C4" w14:textId="77777777" w:rsidR="00CC3DDD" w:rsidRPr="008552AC" w:rsidRDefault="00CC3DDD" w:rsidP="00CC3DDD">
            <w:pPr>
              <w:jc w:val="center"/>
              <w:rPr>
                <w:rFonts w:ascii="Garamond" w:eastAsia="Times New Roman" w:hAnsi="Garamond"/>
                <w:color w:val="000000"/>
                <w:sz w:val="22"/>
                <w:szCs w:val="22"/>
              </w:rPr>
            </w:pPr>
            <w:r>
              <w:rPr>
                <w:rFonts w:ascii="Garamond" w:eastAsia="Times New Roman" w:hAnsi="Garamond"/>
                <w:color w:val="000000"/>
                <w:sz w:val="22"/>
                <w:szCs w:val="22"/>
              </w:rPr>
              <w:t>0.727 to 1.111</w:t>
            </w:r>
          </w:p>
        </w:tc>
      </w:tr>
      <w:tr w:rsidR="00CC3DDD" w:rsidRPr="008552AC" w14:paraId="3C56F400" w14:textId="77777777" w:rsidTr="00CC3DDD">
        <w:trPr>
          <w:trHeight w:val="198"/>
        </w:trPr>
        <w:tc>
          <w:tcPr>
            <w:tcW w:w="1741" w:type="pct"/>
            <w:noWrap/>
          </w:tcPr>
          <w:p w14:paraId="463C9F6C" w14:textId="77777777" w:rsidR="00CC3DDD" w:rsidRDefault="00CC3DDD" w:rsidP="00CC3DDD">
            <w:pPr>
              <w:rPr>
                <w:rFonts w:ascii="Garamond" w:eastAsia="Times New Roman" w:hAnsi="Garamond"/>
                <w:bCs/>
                <w:iCs/>
                <w:color w:val="000000"/>
                <w:sz w:val="22"/>
                <w:szCs w:val="22"/>
              </w:rPr>
            </w:pPr>
            <w:r>
              <w:rPr>
                <w:rFonts w:ascii="Garamond" w:eastAsia="Times New Roman" w:hAnsi="Garamond"/>
                <w:bCs/>
                <w:iCs/>
                <w:color w:val="000000"/>
                <w:sz w:val="22"/>
                <w:szCs w:val="22"/>
              </w:rPr>
              <w:t>Vocational qualification</w:t>
            </w:r>
          </w:p>
        </w:tc>
        <w:tc>
          <w:tcPr>
            <w:tcW w:w="564" w:type="pct"/>
            <w:noWrap/>
          </w:tcPr>
          <w:p w14:paraId="1EBCBB5E"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1.058</w:t>
            </w:r>
          </w:p>
        </w:tc>
        <w:tc>
          <w:tcPr>
            <w:tcW w:w="1105" w:type="pct"/>
            <w:noWrap/>
          </w:tcPr>
          <w:p w14:paraId="496CC36A"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0.976 to 1.148</w:t>
            </w:r>
          </w:p>
        </w:tc>
        <w:tc>
          <w:tcPr>
            <w:tcW w:w="673" w:type="pct"/>
            <w:noWrap/>
          </w:tcPr>
          <w:p w14:paraId="6C91912C"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1.052</w:t>
            </w:r>
          </w:p>
        </w:tc>
        <w:tc>
          <w:tcPr>
            <w:tcW w:w="918" w:type="pct"/>
            <w:noWrap/>
          </w:tcPr>
          <w:p w14:paraId="277B32C2"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0.871 to 1.272</w:t>
            </w:r>
          </w:p>
        </w:tc>
      </w:tr>
      <w:tr w:rsidR="00CC3DDD" w:rsidRPr="008552AC" w14:paraId="34FDF982" w14:textId="77777777" w:rsidTr="00CC3DDD">
        <w:trPr>
          <w:trHeight w:val="300"/>
        </w:trPr>
        <w:tc>
          <w:tcPr>
            <w:tcW w:w="1741" w:type="pct"/>
            <w:noWrap/>
          </w:tcPr>
          <w:p w14:paraId="6EDB6E54" w14:textId="77777777" w:rsidR="00CC3DDD" w:rsidRDefault="00CC3DDD" w:rsidP="00CC3DDD">
            <w:pPr>
              <w:rPr>
                <w:rFonts w:ascii="Garamond" w:eastAsia="Times New Roman" w:hAnsi="Garamond"/>
                <w:bCs/>
                <w:iCs/>
                <w:color w:val="000000"/>
                <w:sz w:val="22"/>
                <w:szCs w:val="22"/>
              </w:rPr>
            </w:pPr>
            <w:r>
              <w:rPr>
                <w:rFonts w:ascii="Garamond" w:eastAsia="Times New Roman" w:hAnsi="Garamond"/>
                <w:bCs/>
                <w:iCs/>
                <w:color w:val="000000"/>
                <w:sz w:val="22"/>
                <w:szCs w:val="22"/>
              </w:rPr>
              <w:t>Lower secondary qualification</w:t>
            </w:r>
          </w:p>
        </w:tc>
        <w:tc>
          <w:tcPr>
            <w:tcW w:w="564" w:type="pct"/>
            <w:noWrap/>
          </w:tcPr>
          <w:p w14:paraId="73246D8C"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1.132***</w:t>
            </w:r>
          </w:p>
        </w:tc>
        <w:tc>
          <w:tcPr>
            <w:tcW w:w="1105" w:type="pct"/>
            <w:noWrap/>
          </w:tcPr>
          <w:p w14:paraId="578B7664"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1.055 to 1.214</w:t>
            </w:r>
          </w:p>
        </w:tc>
        <w:tc>
          <w:tcPr>
            <w:tcW w:w="673" w:type="pct"/>
            <w:noWrap/>
          </w:tcPr>
          <w:p w14:paraId="1C49AEC6"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1.247**</w:t>
            </w:r>
          </w:p>
        </w:tc>
        <w:tc>
          <w:tcPr>
            <w:tcW w:w="918" w:type="pct"/>
            <w:noWrap/>
          </w:tcPr>
          <w:p w14:paraId="51C2B09B"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1.040 to 1.489</w:t>
            </w:r>
          </w:p>
        </w:tc>
      </w:tr>
      <w:tr w:rsidR="00CC3DDD" w:rsidRPr="008552AC" w14:paraId="663BBA06" w14:textId="77777777" w:rsidTr="00CC3DDD">
        <w:trPr>
          <w:trHeight w:val="300"/>
        </w:trPr>
        <w:tc>
          <w:tcPr>
            <w:tcW w:w="1741" w:type="pct"/>
            <w:noWrap/>
          </w:tcPr>
          <w:p w14:paraId="0E59C9D8" w14:textId="77777777" w:rsidR="00CC3DDD" w:rsidRDefault="00CC3DDD" w:rsidP="00CC3DDD">
            <w:pPr>
              <w:rPr>
                <w:rFonts w:ascii="Garamond" w:eastAsia="Times New Roman" w:hAnsi="Garamond"/>
                <w:bCs/>
                <w:iCs/>
                <w:color w:val="000000"/>
                <w:sz w:val="22"/>
                <w:szCs w:val="22"/>
              </w:rPr>
            </w:pPr>
            <w:r w:rsidRPr="007B293F">
              <w:rPr>
                <w:rFonts w:ascii="Garamond" w:eastAsia="Times New Roman" w:hAnsi="Garamond"/>
                <w:b/>
                <w:bCs/>
                <w:i/>
                <w:iCs/>
                <w:color w:val="000000"/>
                <w:sz w:val="22"/>
                <w:szCs w:val="22"/>
              </w:rPr>
              <w:t>Adult social class</w:t>
            </w:r>
          </w:p>
        </w:tc>
        <w:tc>
          <w:tcPr>
            <w:tcW w:w="564" w:type="pct"/>
            <w:noWrap/>
          </w:tcPr>
          <w:p w14:paraId="25A1203D" w14:textId="77777777" w:rsidR="00CC3DDD" w:rsidRPr="00BD3CFD" w:rsidRDefault="00CC3DDD" w:rsidP="00CC3DDD">
            <w:pPr>
              <w:jc w:val="center"/>
              <w:rPr>
                <w:rFonts w:ascii="Garamond" w:eastAsia="Times New Roman" w:hAnsi="Garamond" w:cs="Calibri"/>
                <w:color w:val="000000"/>
                <w:sz w:val="20"/>
                <w:szCs w:val="20"/>
                <w:lang w:eastAsia="en-GB"/>
              </w:rPr>
            </w:pPr>
          </w:p>
        </w:tc>
        <w:tc>
          <w:tcPr>
            <w:tcW w:w="1105" w:type="pct"/>
            <w:noWrap/>
          </w:tcPr>
          <w:p w14:paraId="315E838D" w14:textId="77777777" w:rsidR="00CC3DDD" w:rsidRDefault="00CC3DDD" w:rsidP="00CC3DDD">
            <w:pPr>
              <w:jc w:val="center"/>
              <w:rPr>
                <w:rFonts w:ascii="Garamond" w:eastAsia="Times New Roman" w:hAnsi="Garamond" w:cs="Calibri"/>
                <w:color w:val="000000"/>
                <w:sz w:val="20"/>
                <w:szCs w:val="20"/>
                <w:lang w:eastAsia="en-GB"/>
              </w:rPr>
            </w:pPr>
          </w:p>
        </w:tc>
        <w:tc>
          <w:tcPr>
            <w:tcW w:w="673" w:type="pct"/>
            <w:noWrap/>
          </w:tcPr>
          <w:p w14:paraId="11E98554" w14:textId="77777777" w:rsidR="00CC3DDD" w:rsidRPr="00BD3CFD" w:rsidRDefault="00CC3DDD" w:rsidP="00CC3DDD">
            <w:pPr>
              <w:jc w:val="center"/>
              <w:rPr>
                <w:rFonts w:ascii="Garamond" w:eastAsia="Times New Roman" w:hAnsi="Garamond" w:cs="Calibri"/>
                <w:color w:val="000000"/>
                <w:sz w:val="20"/>
                <w:szCs w:val="20"/>
                <w:lang w:eastAsia="en-GB"/>
              </w:rPr>
            </w:pPr>
          </w:p>
        </w:tc>
        <w:tc>
          <w:tcPr>
            <w:tcW w:w="918" w:type="pct"/>
            <w:noWrap/>
          </w:tcPr>
          <w:p w14:paraId="46AC9778" w14:textId="77777777" w:rsidR="00CC3DDD" w:rsidRDefault="00CC3DDD" w:rsidP="00CC3DDD">
            <w:pPr>
              <w:jc w:val="center"/>
              <w:rPr>
                <w:rFonts w:ascii="Garamond" w:eastAsia="Times New Roman" w:hAnsi="Garamond" w:cs="Calibri"/>
                <w:color w:val="000000"/>
                <w:sz w:val="20"/>
                <w:szCs w:val="20"/>
                <w:lang w:eastAsia="en-GB"/>
              </w:rPr>
            </w:pPr>
          </w:p>
        </w:tc>
      </w:tr>
      <w:tr w:rsidR="00CC3DDD" w:rsidRPr="008552AC" w14:paraId="4F0C86DB" w14:textId="77777777" w:rsidTr="00CC3DDD">
        <w:trPr>
          <w:trHeight w:val="300"/>
        </w:trPr>
        <w:tc>
          <w:tcPr>
            <w:tcW w:w="1741" w:type="pct"/>
            <w:noWrap/>
          </w:tcPr>
          <w:p w14:paraId="1C5C5372" w14:textId="77777777" w:rsidR="00CC3DDD" w:rsidRPr="007B293F" w:rsidRDefault="00CC3DDD" w:rsidP="00CC3DDD">
            <w:pPr>
              <w:rPr>
                <w:rFonts w:ascii="Garamond" w:eastAsia="Times New Roman" w:hAnsi="Garamond"/>
                <w:bCs/>
                <w:iCs/>
                <w:color w:val="000000"/>
                <w:sz w:val="22"/>
                <w:szCs w:val="22"/>
              </w:rPr>
            </w:pPr>
            <w:r>
              <w:rPr>
                <w:rFonts w:ascii="Garamond" w:eastAsia="Times New Roman" w:hAnsi="Garamond"/>
                <w:bCs/>
                <w:iCs/>
                <w:color w:val="000000"/>
                <w:sz w:val="22"/>
                <w:szCs w:val="22"/>
              </w:rPr>
              <w:t>High social class</w:t>
            </w:r>
          </w:p>
        </w:tc>
        <w:tc>
          <w:tcPr>
            <w:tcW w:w="564" w:type="pct"/>
            <w:noWrap/>
          </w:tcPr>
          <w:p w14:paraId="1CF9F909"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1.079</w:t>
            </w:r>
          </w:p>
        </w:tc>
        <w:tc>
          <w:tcPr>
            <w:tcW w:w="1105" w:type="pct"/>
            <w:noWrap/>
          </w:tcPr>
          <w:p w14:paraId="3CD37FB9"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0.916 to 1.271</w:t>
            </w:r>
          </w:p>
        </w:tc>
        <w:tc>
          <w:tcPr>
            <w:tcW w:w="673" w:type="pct"/>
            <w:noWrap/>
          </w:tcPr>
          <w:p w14:paraId="18D7B18E"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0.866</w:t>
            </w:r>
          </w:p>
        </w:tc>
        <w:tc>
          <w:tcPr>
            <w:tcW w:w="918" w:type="pct"/>
            <w:noWrap/>
          </w:tcPr>
          <w:p w14:paraId="25C343CB"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0.686 to 1.092</w:t>
            </w:r>
          </w:p>
        </w:tc>
      </w:tr>
      <w:tr w:rsidR="00CC3DDD" w:rsidRPr="008552AC" w14:paraId="17B4861B" w14:textId="77777777" w:rsidTr="00CC3DDD">
        <w:trPr>
          <w:trHeight w:val="300"/>
        </w:trPr>
        <w:tc>
          <w:tcPr>
            <w:tcW w:w="1741" w:type="pct"/>
            <w:noWrap/>
          </w:tcPr>
          <w:p w14:paraId="2E9E5DAB" w14:textId="77777777" w:rsidR="00CC3DDD" w:rsidRPr="007B293F" w:rsidRDefault="00CC3DDD" w:rsidP="00CC3DDD">
            <w:pPr>
              <w:rPr>
                <w:rFonts w:ascii="Garamond" w:eastAsia="Times New Roman" w:hAnsi="Garamond"/>
                <w:bCs/>
                <w:iCs/>
                <w:color w:val="000000"/>
                <w:sz w:val="22"/>
                <w:szCs w:val="22"/>
              </w:rPr>
            </w:pPr>
            <w:r>
              <w:rPr>
                <w:rFonts w:ascii="Garamond" w:eastAsia="Times New Roman" w:hAnsi="Garamond"/>
                <w:bCs/>
                <w:iCs/>
                <w:color w:val="000000"/>
                <w:sz w:val="22"/>
                <w:szCs w:val="22"/>
              </w:rPr>
              <w:t>Intermediate social class</w:t>
            </w:r>
          </w:p>
        </w:tc>
        <w:tc>
          <w:tcPr>
            <w:tcW w:w="564" w:type="pct"/>
            <w:noWrap/>
          </w:tcPr>
          <w:p w14:paraId="0C7C485C"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0.973</w:t>
            </w:r>
          </w:p>
        </w:tc>
        <w:tc>
          <w:tcPr>
            <w:tcW w:w="1105" w:type="pct"/>
            <w:noWrap/>
          </w:tcPr>
          <w:p w14:paraId="16F09FBB"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0.878 to 1.078</w:t>
            </w:r>
          </w:p>
        </w:tc>
        <w:tc>
          <w:tcPr>
            <w:tcW w:w="673" w:type="pct"/>
            <w:noWrap/>
          </w:tcPr>
          <w:p w14:paraId="282C8627"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0.907</w:t>
            </w:r>
          </w:p>
        </w:tc>
        <w:tc>
          <w:tcPr>
            <w:tcW w:w="918" w:type="pct"/>
            <w:noWrap/>
          </w:tcPr>
          <w:p w14:paraId="4F234901"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0.767 to 1.071</w:t>
            </w:r>
          </w:p>
        </w:tc>
      </w:tr>
      <w:tr w:rsidR="00CC3DDD" w:rsidRPr="008552AC" w14:paraId="11AB4C2E" w14:textId="77777777" w:rsidTr="00CC3DDD">
        <w:trPr>
          <w:trHeight w:val="300"/>
        </w:trPr>
        <w:tc>
          <w:tcPr>
            <w:tcW w:w="1741" w:type="pct"/>
            <w:noWrap/>
          </w:tcPr>
          <w:p w14:paraId="03896C04" w14:textId="77777777" w:rsidR="00CC3DDD" w:rsidRPr="007B293F" w:rsidRDefault="00CC3DDD" w:rsidP="00CC3DDD">
            <w:pPr>
              <w:rPr>
                <w:rFonts w:ascii="Garamond" w:eastAsia="Times New Roman" w:hAnsi="Garamond"/>
                <w:bCs/>
                <w:iCs/>
                <w:color w:val="000000"/>
                <w:sz w:val="22"/>
                <w:szCs w:val="22"/>
              </w:rPr>
            </w:pPr>
            <w:r>
              <w:rPr>
                <w:rFonts w:ascii="Garamond" w:eastAsia="Times New Roman" w:hAnsi="Garamond"/>
                <w:bCs/>
                <w:iCs/>
                <w:color w:val="000000"/>
                <w:sz w:val="22"/>
                <w:szCs w:val="22"/>
              </w:rPr>
              <w:t>Low social class</w:t>
            </w:r>
          </w:p>
        </w:tc>
        <w:tc>
          <w:tcPr>
            <w:tcW w:w="564" w:type="pct"/>
            <w:noWrap/>
          </w:tcPr>
          <w:p w14:paraId="4A017D64"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1.000</w:t>
            </w:r>
          </w:p>
        </w:tc>
        <w:tc>
          <w:tcPr>
            <w:tcW w:w="1105" w:type="pct"/>
            <w:noWrap/>
          </w:tcPr>
          <w:p w14:paraId="3634380D"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0.903 to 1.109</w:t>
            </w:r>
          </w:p>
        </w:tc>
        <w:tc>
          <w:tcPr>
            <w:tcW w:w="673" w:type="pct"/>
            <w:noWrap/>
          </w:tcPr>
          <w:p w14:paraId="0C571295" w14:textId="77777777" w:rsidR="00CC3DDD" w:rsidRPr="00BD3CF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1.118</w:t>
            </w:r>
          </w:p>
        </w:tc>
        <w:tc>
          <w:tcPr>
            <w:tcW w:w="918" w:type="pct"/>
            <w:noWrap/>
          </w:tcPr>
          <w:p w14:paraId="03709907" w14:textId="77777777" w:rsidR="00CC3DDD" w:rsidRDefault="00CC3DDD" w:rsidP="00CC3DDD">
            <w:pPr>
              <w:jc w:val="center"/>
              <w:rPr>
                <w:rFonts w:ascii="Garamond" w:eastAsia="Times New Roman" w:hAnsi="Garamond" w:cs="Calibri"/>
                <w:color w:val="000000"/>
                <w:sz w:val="20"/>
                <w:szCs w:val="20"/>
                <w:lang w:eastAsia="en-GB"/>
              </w:rPr>
            </w:pPr>
            <w:r>
              <w:rPr>
                <w:rFonts w:ascii="Garamond" w:eastAsia="Times New Roman" w:hAnsi="Garamond" w:cs="Calibri"/>
                <w:color w:val="000000"/>
                <w:sz w:val="20"/>
                <w:szCs w:val="20"/>
                <w:lang w:eastAsia="en-GB"/>
              </w:rPr>
              <w:t>0.937 to 1.333</w:t>
            </w:r>
          </w:p>
        </w:tc>
      </w:tr>
      <w:tr w:rsidR="00CC3DDD" w:rsidRPr="008552AC" w14:paraId="09F723B7" w14:textId="77777777" w:rsidTr="00CC3DDD">
        <w:trPr>
          <w:trHeight w:val="300"/>
        </w:trPr>
        <w:tc>
          <w:tcPr>
            <w:tcW w:w="1741" w:type="pct"/>
            <w:noWrap/>
          </w:tcPr>
          <w:p w14:paraId="739641BF" w14:textId="77777777" w:rsidR="00CC3DDD" w:rsidRPr="007B293F" w:rsidRDefault="00CC3DDD" w:rsidP="00CC3DDD">
            <w:pPr>
              <w:rPr>
                <w:rFonts w:ascii="Garamond" w:eastAsia="Times New Roman" w:hAnsi="Garamond"/>
                <w:b/>
                <w:bCs/>
                <w:i/>
                <w:iCs/>
                <w:color w:val="000000"/>
                <w:sz w:val="22"/>
                <w:szCs w:val="22"/>
              </w:rPr>
            </w:pPr>
            <w:r w:rsidRPr="007B293F">
              <w:rPr>
                <w:rFonts w:ascii="Garamond" w:eastAsia="Times New Roman" w:hAnsi="Garamond"/>
                <w:b/>
                <w:bCs/>
                <w:i/>
                <w:iCs/>
                <w:color w:val="000000"/>
                <w:sz w:val="22"/>
                <w:szCs w:val="22"/>
              </w:rPr>
              <w:t>Wages</w:t>
            </w:r>
          </w:p>
        </w:tc>
        <w:tc>
          <w:tcPr>
            <w:tcW w:w="564" w:type="pct"/>
            <w:noWrap/>
          </w:tcPr>
          <w:p w14:paraId="66652FB3" w14:textId="77777777" w:rsidR="00CC3DDD" w:rsidRPr="00BD3CFD" w:rsidRDefault="00CC3DDD" w:rsidP="00CC3DDD">
            <w:pPr>
              <w:jc w:val="center"/>
              <w:rPr>
                <w:rFonts w:ascii="Garamond" w:eastAsia="Times New Roman" w:hAnsi="Garamond" w:cs="Calibri"/>
                <w:color w:val="000000"/>
                <w:sz w:val="20"/>
                <w:szCs w:val="20"/>
                <w:lang w:eastAsia="en-GB"/>
              </w:rPr>
            </w:pPr>
          </w:p>
        </w:tc>
        <w:tc>
          <w:tcPr>
            <w:tcW w:w="1105" w:type="pct"/>
            <w:noWrap/>
          </w:tcPr>
          <w:p w14:paraId="52E3D4D8" w14:textId="77777777" w:rsidR="00CC3DDD" w:rsidRDefault="00CC3DDD" w:rsidP="00CC3DDD">
            <w:pPr>
              <w:jc w:val="center"/>
              <w:rPr>
                <w:rFonts w:ascii="Garamond" w:eastAsia="Times New Roman" w:hAnsi="Garamond" w:cs="Calibri"/>
                <w:color w:val="000000"/>
                <w:sz w:val="20"/>
                <w:szCs w:val="20"/>
                <w:lang w:eastAsia="en-GB"/>
              </w:rPr>
            </w:pPr>
          </w:p>
        </w:tc>
        <w:tc>
          <w:tcPr>
            <w:tcW w:w="673" w:type="pct"/>
            <w:noWrap/>
          </w:tcPr>
          <w:p w14:paraId="0969551D" w14:textId="77777777" w:rsidR="00CC3DDD" w:rsidRPr="00BD3CFD" w:rsidRDefault="00CC3DDD" w:rsidP="00CC3DDD">
            <w:pPr>
              <w:jc w:val="center"/>
              <w:rPr>
                <w:rFonts w:ascii="Garamond" w:eastAsia="Times New Roman" w:hAnsi="Garamond" w:cs="Calibri"/>
                <w:color w:val="000000"/>
                <w:sz w:val="20"/>
                <w:szCs w:val="20"/>
                <w:lang w:eastAsia="en-GB"/>
              </w:rPr>
            </w:pPr>
          </w:p>
        </w:tc>
        <w:tc>
          <w:tcPr>
            <w:tcW w:w="918" w:type="pct"/>
            <w:noWrap/>
          </w:tcPr>
          <w:p w14:paraId="28F2E991" w14:textId="77777777" w:rsidR="00CC3DDD" w:rsidRDefault="00CC3DDD" w:rsidP="00CC3DDD">
            <w:pPr>
              <w:jc w:val="center"/>
              <w:rPr>
                <w:rFonts w:ascii="Garamond" w:eastAsia="Times New Roman" w:hAnsi="Garamond" w:cs="Calibri"/>
                <w:color w:val="000000"/>
                <w:sz w:val="20"/>
                <w:szCs w:val="20"/>
                <w:lang w:eastAsia="en-GB"/>
              </w:rPr>
            </w:pPr>
          </w:p>
        </w:tc>
      </w:tr>
      <w:tr w:rsidR="00CC3DDD" w:rsidRPr="008552AC" w14:paraId="2CB07931" w14:textId="77777777" w:rsidTr="00CC3DDD">
        <w:trPr>
          <w:trHeight w:val="300"/>
        </w:trPr>
        <w:tc>
          <w:tcPr>
            <w:tcW w:w="1741" w:type="pct"/>
            <w:noWrap/>
          </w:tcPr>
          <w:p w14:paraId="6921D442" w14:textId="77777777" w:rsidR="00CC3DDD" w:rsidRDefault="00CC3DDD" w:rsidP="00CC3DDD">
            <w:pPr>
              <w:rPr>
                <w:rFonts w:ascii="Garamond" w:eastAsia="Times New Roman" w:hAnsi="Garamond"/>
                <w:bCs/>
                <w:iCs/>
                <w:color w:val="000000"/>
                <w:sz w:val="22"/>
                <w:szCs w:val="22"/>
              </w:rPr>
            </w:pPr>
          </w:p>
        </w:tc>
        <w:tc>
          <w:tcPr>
            <w:tcW w:w="564" w:type="pct"/>
            <w:noWrap/>
          </w:tcPr>
          <w:p w14:paraId="51D8CB55" w14:textId="77777777" w:rsidR="00CC3DDD"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1105" w:type="pct"/>
            <w:noWrap/>
          </w:tcPr>
          <w:p w14:paraId="04FD502D" w14:textId="77777777" w:rsidR="00CC3DDD"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c>
          <w:tcPr>
            <w:tcW w:w="673" w:type="pct"/>
            <w:noWrap/>
          </w:tcPr>
          <w:p w14:paraId="04F98F17" w14:textId="77777777" w:rsidR="00CC3DDD"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ß</w:t>
            </w:r>
          </w:p>
        </w:tc>
        <w:tc>
          <w:tcPr>
            <w:tcW w:w="918" w:type="pct"/>
            <w:noWrap/>
          </w:tcPr>
          <w:p w14:paraId="74F3166E" w14:textId="77777777" w:rsidR="00CC3DDD" w:rsidRDefault="00CC3DDD" w:rsidP="00CC3DDD">
            <w:pPr>
              <w:jc w:val="center"/>
              <w:rPr>
                <w:rFonts w:ascii="Garamond" w:eastAsia="Times New Roman" w:hAnsi="Garamond"/>
                <w:color w:val="000000"/>
                <w:sz w:val="22"/>
                <w:szCs w:val="22"/>
              </w:rPr>
            </w:pPr>
            <w:r w:rsidRPr="00F95A8A">
              <w:rPr>
                <w:rFonts w:ascii="Garamond" w:eastAsia="Times New Roman" w:hAnsi="Garamond"/>
                <w:color w:val="000000"/>
                <w:sz w:val="22"/>
                <w:szCs w:val="22"/>
              </w:rPr>
              <w:t>95% CI</w:t>
            </w:r>
          </w:p>
        </w:tc>
      </w:tr>
      <w:tr w:rsidR="00CC3DDD" w:rsidRPr="008552AC" w14:paraId="2CE1DA27" w14:textId="77777777" w:rsidTr="00CC3DDD">
        <w:trPr>
          <w:trHeight w:val="300"/>
        </w:trPr>
        <w:tc>
          <w:tcPr>
            <w:tcW w:w="1741" w:type="pct"/>
            <w:tcBorders>
              <w:bottom w:val="double" w:sz="4" w:space="0" w:color="auto"/>
            </w:tcBorders>
            <w:noWrap/>
          </w:tcPr>
          <w:p w14:paraId="092610C4" w14:textId="77777777" w:rsidR="00CC3DDD" w:rsidRDefault="00CC3DDD" w:rsidP="00CC3DDD">
            <w:pPr>
              <w:rPr>
                <w:rFonts w:ascii="Garamond" w:eastAsia="Times New Roman" w:hAnsi="Garamond"/>
                <w:bCs/>
                <w:iCs/>
                <w:color w:val="000000"/>
                <w:sz w:val="22"/>
                <w:szCs w:val="22"/>
              </w:rPr>
            </w:pPr>
            <w:r>
              <w:rPr>
                <w:rFonts w:ascii="Garamond" w:eastAsia="Times New Roman" w:hAnsi="Garamond"/>
                <w:bCs/>
                <w:iCs/>
                <w:color w:val="000000"/>
                <w:sz w:val="22"/>
                <w:szCs w:val="22"/>
              </w:rPr>
              <w:t>Log of hourly wage</w:t>
            </w:r>
          </w:p>
        </w:tc>
        <w:tc>
          <w:tcPr>
            <w:tcW w:w="564" w:type="pct"/>
            <w:tcBorders>
              <w:bottom w:val="double" w:sz="4" w:space="0" w:color="auto"/>
            </w:tcBorders>
            <w:noWrap/>
          </w:tcPr>
          <w:p w14:paraId="145DD904" w14:textId="77777777" w:rsidR="00CC3DDD" w:rsidRDefault="00CC3DDD" w:rsidP="00CC3DDD">
            <w:pPr>
              <w:jc w:val="center"/>
              <w:rPr>
                <w:rFonts w:ascii="Garamond" w:eastAsia="Times New Roman" w:hAnsi="Garamond"/>
                <w:color w:val="000000"/>
                <w:sz w:val="22"/>
                <w:szCs w:val="22"/>
              </w:rPr>
            </w:pPr>
            <w:r>
              <w:rPr>
                <w:rFonts w:ascii="Garamond" w:eastAsia="Times New Roman" w:hAnsi="Garamond" w:cs="Calibri"/>
                <w:color w:val="000000"/>
                <w:sz w:val="20"/>
                <w:szCs w:val="20"/>
                <w:lang w:eastAsia="en-GB"/>
              </w:rPr>
              <w:t>-0.011</w:t>
            </w:r>
          </w:p>
        </w:tc>
        <w:tc>
          <w:tcPr>
            <w:tcW w:w="1105" w:type="pct"/>
            <w:tcBorders>
              <w:bottom w:val="double" w:sz="4" w:space="0" w:color="auto"/>
            </w:tcBorders>
            <w:noWrap/>
          </w:tcPr>
          <w:p w14:paraId="6F5B2F90" w14:textId="77777777" w:rsidR="00CC3DDD" w:rsidRDefault="00CC3DDD" w:rsidP="00CC3DDD">
            <w:pPr>
              <w:jc w:val="center"/>
              <w:rPr>
                <w:rFonts w:ascii="Garamond" w:eastAsia="Times New Roman" w:hAnsi="Garamond"/>
                <w:color w:val="000000"/>
                <w:sz w:val="22"/>
                <w:szCs w:val="22"/>
              </w:rPr>
            </w:pPr>
            <w:r w:rsidRPr="00BD3CFD">
              <w:rPr>
                <w:rFonts w:ascii="Garamond" w:eastAsia="Times New Roman" w:hAnsi="Garamond" w:cs="Calibri"/>
                <w:color w:val="000000"/>
                <w:sz w:val="20"/>
                <w:szCs w:val="20"/>
                <w:lang w:eastAsia="en-GB"/>
              </w:rPr>
              <w:t xml:space="preserve">-0.111 </w:t>
            </w:r>
            <w:r>
              <w:rPr>
                <w:rFonts w:ascii="Garamond" w:eastAsia="Times New Roman" w:hAnsi="Garamond" w:cs="Calibri"/>
                <w:color w:val="000000"/>
                <w:sz w:val="20"/>
                <w:szCs w:val="20"/>
                <w:lang w:eastAsia="en-GB"/>
              </w:rPr>
              <w:t>to</w:t>
            </w:r>
            <w:r w:rsidRPr="00BD3CFD">
              <w:rPr>
                <w:rFonts w:ascii="Garamond" w:eastAsia="Times New Roman" w:hAnsi="Garamond" w:cs="Calibri"/>
                <w:color w:val="000000"/>
                <w:sz w:val="20"/>
                <w:szCs w:val="20"/>
                <w:lang w:eastAsia="en-GB"/>
              </w:rPr>
              <w:t xml:space="preserve"> 0.090</w:t>
            </w:r>
          </w:p>
        </w:tc>
        <w:tc>
          <w:tcPr>
            <w:tcW w:w="673" w:type="pct"/>
            <w:tcBorders>
              <w:bottom w:val="double" w:sz="4" w:space="0" w:color="auto"/>
            </w:tcBorders>
            <w:noWrap/>
          </w:tcPr>
          <w:p w14:paraId="183CA199" w14:textId="77777777" w:rsidR="00CC3DDD" w:rsidRDefault="00CC3DDD" w:rsidP="00CC3DDD">
            <w:pPr>
              <w:jc w:val="center"/>
              <w:rPr>
                <w:rFonts w:ascii="Garamond" w:eastAsia="Times New Roman" w:hAnsi="Garamond"/>
                <w:color w:val="000000"/>
                <w:sz w:val="22"/>
                <w:szCs w:val="22"/>
              </w:rPr>
            </w:pPr>
            <w:r>
              <w:rPr>
                <w:rFonts w:ascii="Garamond" w:eastAsia="Times New Roman" w:hAnsi="Garamond" w:cs="Calibri"/>
                <w:color w:val="000000"/>
                <w:sz w:val="20"/>
                <w:szCs w:val="20"/>
                <w:lang w:eastAsia="en-GB"/>
              </w:rPr>
              <w:t>NA</w:t>
            </w:r>
          </w:p>
        </w:tc>
        <w:tc>
          <w:tcPr>
            <w:tcW w:w="918" w:type="pct"/>
            <w:tcBorders>
              <w:bottom w:val="double" w:sz="4" w:space="0" w:color="auto"/>
            </w:tcBorders>
            <w:noWrap/>
          </w:tcPr>
          <w:p w14:paraId="69102ED7" w14:textId="77777777" w:rsidR="00CC3DDD" w:rsidRDefault="00CC3DDD" w:rsidP="00CC3DDD">
            <w:pPr>
              <w:jc w:val="center"/>
              <w:rPr>
                <w:rFonts w:ascii="Garamond" w:eastAsia="Times New Roman" w:hAnsi="Garamond"/>
                <w:color w:val="000000"/>
                <w:sz w:val="22"/>
                <w:szCs w:val="22"/>
              </w:rPr>
            </w:pPr>
            <w:r>
              <w:rPr>
                <w:rFonts w:ascii="Garamond" w:eastAsia="Times New Roman" w:hAnsi="Garamond" w:cs="Calibri"/>
                <w:color w:val="000000"/>
                <w:sz w:val="20"/>
                <w:szCs w:val="20"/>
                <w:lang w:eastAsia="en-GB"/>
              </w:rPr>
              <w:t>NA</w:t>
            </w:r>
          </w:p>
        </w:tc>
      </w:tr>
    </w:tbl>
    <w:p w14:paraId="6F7AE128" w14:textId="77777777" w:rsidR="00CC3DDD" w:rsidRPr="00690DB9" w:rsidRDefault="00CC3DDD" w:rsidP="00CC3DDD">
      <w:pPr>
        <w:jc w:val="both"/>
        <w:rPr>
          <w:rFonts w:ascii="Garamond" w:eastAsia="Times New Roman" w:hAnsi="Garamond"/>
          <w:bCs/>
          <w:color w:val="000000"/>
          <w:sz w:val="22"/>
          <w:szCs w:val="22"/>
        </w:rPr>
      </w:pPr>
      <w:r w:rsidRPr="00690DB9">
        <w:rPr>
          <w:rFonts w:ascii="Garamond" w:eastAsia="Times New Roman" w:hAnsi="Garamond"/>
          <w:bCs/>
          <w:i/>
          <w:color w:val="000000"/>
          <w:sz w:val="22"/>
          <w:szCs w:val="22"/>
        </w:rPr>
        <w:t>Notes</w:t>
      </w:r>
      <w:r w:rsidRPr="00690DB9">
        <w:rPr>
          <w:rFonts w:ascii="Garamond" w:eastAsia="Times New Roman" w:hAnsi="Garamond"/>
          <w:bCs/>
          <w:color w:val="000000"/>
          <w:sz w:val="22"/>
          <w:szCs w:val="22"/>
        </w:rPr>
        <w:t xml:space="preserve">: </w:t>
      </w:r>
      <w:r>
        <w:rPr>
          <w:rFonts w:ascii="Garamond" w:eastAsia="Times New Roman" w:hAnsi="Garamond"/>
          <w:bCs/>
          <w:color w:val="000000"/>
          <w:sz w:val="22"/>
          <w:szCs w:val="22"/>
        </w:rPr>
        <w:t xml:space="preserve">Data come the French </w:t>
      </w:r>
      <w:proofErr w:type="spellStart"/>
      <w:r>
        <w:rPr>
          <w:rFonts w:ascii="Garamond" w:eastAsia="Times New Roman" w:hAnsi="Garamond"/>
          <w:bCs/>
          <w:color w:val="000000"/>
          <w:sz w:val="22"/>
          <w:szCs w:val="22"/>
        </w:rPr>
        <w:t>Labour</w:t>
      </w:r>
      <w:proofErr w:type="spellEnd"/>
      <w:r>
        <w:rPr>
          <w:rFonts w:ascii="Garamond" w:eastAsia="Times New Roman" w:hAnsi="Garamond"/>
          <w:bCs/>
          <w:color w:val="000000"/>
          <w:sz w:val="22"/>
          <w:szCs w:val="22"/>
        </w:rPr>
        <w:t xml:space="preserve"> Force Survey and the </w:t>
      </w:r>
      <w:proofErr w:type="spellStart"/>
      <w:r>
        <w:rPr>
          <w:rFonts w:ascii="Garamond" w:eastAsia="Times New Roman" w:hAnsi="Garamond"/>
          <w:bCs/>
          <w:color w:val="000000"/>
          <w:sz w:val="22"/>
          <w:szCs w:val="22"/>
        </w:rPr>
        <w:t>Constances</w:t>
      </w:r>
      <w:proofErr w:type="spellEnd"/>
      <w:r>
        <w:rPr>
          <w:rFonts w:ascii="Garamond" w:eastAsia="Times New Roman" w:hAnsi="Garamond"/>
          <w:bCs/>
          <w:color w:val="000000"/>
          <w:sz w:val="22"/>
          <w:szCs w:val="22"/>
        </w:rPr>
        <w:t xml:space="preserve"> cohort. </w:t>
      </w:r>
      <w:r w:rsidRPr="00690DB9">
        <w:rPr>
          <w:rFonts w:ascii="Garamond" w:eastAsia="Times New Roman" w:hAnsi="Garamond"/>
          <w:bCs/>
          <w:color w:val="000000"/>
          <w:sz w:val="22"/>
          <w:szCs w:val="22"/>
        </w:rPr>
        <w:t xml:space="preserve">All models control for age, age squared, </w:t>
      </w:r>
      <w:r>
        <w:rPr>
          <w:rFonts w:ascii="Garamond" w:eastAsia="Times New Roman" w:hAnsi="Garamond"/>
          <w:bCs/>
          <w:color w:val="000000"/>
          <w:sz w:val="22"/>
          <w:szCs w:val="22"/>
        </w:rPr>
        <w:t xml:space="preserve">age cubic, </w:t>
      </w:r>
      <w:r w:rsidRPr="00690DB9">
        <w:rPr>
          <w:rFonts w:ascii="Garamond" w:eastAsia="Times New Roman" w:hAnsi="Garamond"/>
          <w:bCs/>
          <w:color w:val="000000"/>
          <w:sz w:val="22"/>
          <w:szCs w:val="22"/>
        </w:rPr>
        <w:t>gender, month of birth, birth cohor</w:t>
      </w:r>
      <w:r>
        <w:rPr>
          <w:rFonts w:ascii="Garamond" w:eastAsia="Times New Roman" w:hAnsi="Garamond"/>
          <w:bCs/>
          <w:color w:val="000000"/>
          <w:sz w:val="22"/>
          <w:szCs w:val="22"/>
        </w:rPr>
        <w:t>t</w:t>
      </w:r>
      <w:r w:rsidRPr="00690DB9">
        <w:rPr>
          <w:rFonts w:ascii="Garamond" w:eastAsia="Times New Roman" w:hAnsi="Garamond"/>
          <w:bCs/>
          <w:color w:val="000000"/>
          <w:sz w:val="22"/>
          <w:szCs w:val="22"/>
        </w:rPr>
        <w:t xml:space="preserve"> relative to the cut-off point, interacted with the treatment. Standard errors are clustered at the month of birth level. The bandwidth is fixed at 48 months</w:t>
      </w:r>
      <w:r>
        <w:rPr>
          <w:rFonts w:ascii="Garamond" w:eastAsia="Times New Roman" w:hAnsi="Garamond"/>
          <w:bCs/>
          <w:color w:val="000000"/>
          <w:sz w:val="22"/>
          <w:szCs w:val="22"/>
        </w:rPr>
        <w:t>.</w:t>
      </w:r>
    </w:p>
    <w:p w14:paraId="581CB750" w14:textId="77777777" w:rsidR="00CC3DDD" w:rsidRDefault="00CC3DDD" w:rsidP="00CC3DDD">
      <w:pPr>
        <w:rPr>
          <w:rFonts w:ascii="Garamond" w:eastAsia="Times New Roman" w:hAnsi="Garamond"/>
          <w:bCs/>
          <w:color w:val="000000"/>
          <w:sz w:val="22"/>
          <w:szCs w:val="22"/>
        </w:rPr>
        <w:sectPr w:rsidR="00CC3DDD" w:rsidSect="00B331A3">
          <w:pgSz w:w="15840" w:h="12240" w:orient="landscape"/>
          <w:pgMar w:top="1800" w:right="1440" w:bottom="1800" w:left="1440" w:header="720" w:footer="720" w:gutter="0"/>
          <w:cols w:space="720"/>
          <w:docGrid w:linePitch="360"/>
        </w:sectPr>
      </w:pPr>
    </w:p>
    <w:p w14:paraId="60B15499" w14:textId="77777777" w:rsidR="00CC3DDD" w:rsidRDefault="00CC3DDD" w:rsidP="00CC3DDD">
      <w:pPr>
        <w:rPr>
          <w:rFonts w:ascii="Garamond" w:hAnsi="Garamond"/>
        </w:rPr>
      </w:pPr>
      <w:r>
        <w:rPr>
          <w:rFonts w:ascii="Garamond" w:hAnsi="Garamond"/>
          <w:b/>
        </w:rPr>
        <w:lastRenderedPageBreak/>
        <w:t xml:space="preserve">Appendix Figure 1. </w:t>
      </w:r>
      <w:r w:rsidRPr="00A2779E">
        <w:rPr>
          <w:rFonts w:ascii="Garamond" w:hAnsi="Garamond"/>
        </w:rPr>
        <w:t>Overview of the French schooling system in 1959</w:t>
      </w:r>
    </w:p>
    <w:p w14:paraId="0E0757F0" w14:textId="77777777" w:rsidR="00CC3DDD" w:rsidRDefault="00CC3DDD" w:rsidP="00CC3DDD">
      <w:pPr>
        <w:jc w:val="center"/>
        <w:rPr>
          <w:rFonts w:ascii="Garamond" w:eastAsia="Times New Roman" w:hAnsi="Garamond"/>
          <w:color w:val="000000"/>
        </w:rPr>
      </w:pPr>
      <w:r w:rsidRPr="00CB7306">
        <w:rPr>
          <w:rFonts w:ascii="Garamond" w:eastAsia="Times New Roman" w:hAnsi="Garamond"/>
          <w:noProof/>
          <w:color w:val="000000"/>
        </w:rPr>
        <w:drawing>
          <wp:inline distT="0" distB="0" distL="0" distR="0" wp14:anchorId="5EAFCC9B" wp14:editId="194944E8">
            <wp:extent cx="2926768" cy="4726457"/>
            <wp:effectExtent l="1905"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5288" r="3505"/>
                    <a:stretch/>
                  </pic:blipFill>
                  <pic:spPr bwMode="auto">
                    <a:xfrm rot="5400000">
                      <a:off x="0" y="0"/>
                      <a:ext cx="2975622" cy="4805352"/>
                    </a:xfrm>
                    <a:prstGeom prst="rect">
                      <a:avLst/>
                    </a:prstGeom>
                    <a:ln>
                      <a:noFill/>
                    </a:ln>
                    <a:extLst>
                      <a:ext uri="{53640926-AAD7-44D8-BBD7-CCE9431645EC}">
                        <a14:shadowObscured xmlns:a14="http://schemas.microsoft.com/office/drawing/2010/main"/>
                      </a:ext>
                    </a:extLst>
                  </pic:spPr>
                </pic:pic>
              </a:graphicData>
            </a:graphic>
          </wp:inline>
        </w:drawing>
      </w:r>
    </w:p>
    <w:p w14:paraId="4AC54A4F" w14:textId="77777777" w:rsidR="00CC3DDD" w:rsidRDefault="00CC3DDD" w:rsidP="00CC3DDD">
      <w:pPr>
        <w:jc w:val="both"/>
        <w:rPr>
          <w:rFonts w:ascii="Garamond" w:eastAsia="Times New Roman" w:hAnsi="Garamond"/>
          <w:color w:val="000000"/>
        </w:rPr>
      </w:pPr>
      <w:r w:rsidRPr="00391D51">
        <w:rPr>
          <w:rFonts w:ascii="Garamond" w:eastAsia="Times New Roman" w:hAnsi="Garamond"/>
          <w:i/>
          <w:color w:val="000000"/>
        </w:rPr>
        <w:t>Abbreviations</w:t>
      </w:r>
      <w:r>
        <w:rPr>
          <w:rFonts w:ascii="Garamond" w:eastAsia="Times New Roman" w:hAnsi="Garamond"/>
          <w:color w:val="000000"/>
        </w:rPr>
        <w:t>: CAP/BEP, ‘</w:t>
      </w:r>
      <w:proofErr w:type="spellStart"/>
      <w:r w:rsidRPr="002C51B2">
        <w:rPr>
          <w:rFonts w:ascii="Garamond" w:eastAsia="Times New Roman" w:hAnsi="Garamond"/>
          <w:i/>
          <w:color w:val="000000"/>
        </w:rPr>
        <w:t>Certificat</w:t>
      </w:r>
      <w:proofErr w:type="spellEnd"/>
      <w:r w:rsidRPr="002C51B2">
        <w:rPr>
          <w:rFonts w:ascii="Garamond" w:eastAsia="Times New Roman" w:hAnsi="Garamond"/>
          <w:i/>
          <w:color w:val="000000"/>
        </w:rPr>
        <w:t xml:space="preserve"> </w:t>
      </w:r>
      <w:proofErr w:type="spellStart"/>
      <w:r w:rsidRPr="002C51B2">
        <w:rPr>
          <w:rFonts w:ascii="Garamond" w:eastAsia="Times New Roman" w:hAnsi="Garamond"/>
          <w:i/>
          <w:color w:val="000000"/>
        </w:rPr>
        <w:t>d’Aptitude</w:t>
      </w:r>
      <w:proofErr w:type="spellEnd"/>
      <w:r w:rsidRPr="002C51B2">
        <w:rPr>
          <w:rFonts w:ascii="Garamond" w:eastAsia="Times New Roman" w:hAnsi="Garamond"/>
          <w:i/>
          <w:color w:val="000000"/>
        </w:rPr>
        <w:t xml:space="preserve"> </w:t>
      </w:r>
      <w:proofErr w:type="spellStart"/>
      <w:r w:rsidRPr="002C51B2">
        <w:rPr>
          <w:rFonts w:ascii="Garamond" w:eastAsia="Times New Roman" w:hAnsi="Garamond"/>
          <w:i/>
          <w:color w:val="000000"/>
        </w:rPr>
        <w:t>Professionnelle</w:t>
      </w:r>
      <w:proofErr w:type="spellEnd"/>
      <w:r w:rsidRPr="002C51B2">
        <w:rPr>
          <w:rFonts w:ascii="Garamond" w:eastAsia="Times New Roman" w:hAnsi="Garamond"/>
          <w:i/>
          <w:color w:val="000000"/>
        </w:rPr>
        <w:t xml:space="preserve">/Brevet </w:t>
      </w:r>
      <w:proofErr w:type="spellStart"/>
      <w:r w:rsidRPr="002C51B2">
        <w:rPr>
          <w:rFonts w:ascii="Garamond" w:eastAsia="Times New Roman" w:hAnsi="Garamond"/>
          <w:i/>
          <w:color w:val="000000"/>
        </w:rPr>
        <w:t>d’Études</w:t>
      </w:r>
      <w:proofErr w:type="spellEnd"/>
      <w:r w:rsidRPr="002C51B2">
        <w:rPr>
          <w:rFonts w:ascii="Garamond" w:eastAsia="Times New Roman" w:hAnsi="Garamond"/>
          <w:i/>
          <w:color w:val="000000"/>
        </w:rPr>
        <w:t xml:space="preserve"> </w:t>
      </w:r>
      <w:proofErr w:type="spellStart"/>
      <w:r w:rsidRPr="002C51B2">
        <w:rPr>
          <w:rFonts w:ascii="Garamond" w:eastAsia="Times New Roman" w:hAnsi="Garamond"/>
          <w:i/>
          <w:color w:val="000000"/>
        </w:rPr>
        <w:t>Professionelles</w:t>
      </w:r>
      <w:proofErr w:type="spellEnd"/>
      <w:r>
        <w:rPr>
          <w:rFonts w:ascii="Garamond" w:eastAsia="Times New Roman" w:hAnsi="Garamond"/>
          <w:color w:val="000000"/>
        </w:rPr>
        <w:t xml:space="preserve">’, vocational qualification; </w:t>
      </w:r>
      <w:proofErr w:type="spellStart"/>
      <w:r w:rsidRPr="002C51B2">
        <w:rPr>
          <w:rFonts w:ascii="Garamond" w:eastAsia="Times New Roman" w:hAnsi="Garamond"/>
          <w:i/>
          <w:color w:val="000000"/>
        </w:rPr>
        <w:t>Baccalauréat</w:t>
      </w:r>
      <w:proofErr w:type="spellEnd"/>
      <w:r>
        <w:rPr>
          <w:rFonts w:ascii="Garamond" w:eastAsia="Times New Roman" w:hAnsi="Garamond"/>
          <w:color w:val="000000"/>
        </w:rPr>
        <w:t>, high school diploma; BEPC, ‘</w:t>
      </w:r>
      <w:r w:rsidRPr="002C51B2">
        <w:rPr>
          <w:rFonts w:ascii="Garamond" w:eastAsia="Times New Roman" w:hAnsi="Garamond"/>
          <w:i/>
          <w:color w:val="000000"/>
        </w:rPr>
        <w:t xml:space="preserve">Brevet </w:t>
      </w:r>
      <w:proofErr w:type="spellStart"/>
      <w:r w:rsidRPr="002C51B2">
        <w:rPr>
          <w:rFonts w:ascii="Garamond" w:eastAsia="Times New Roman" w:hAnsi="Garamond"/>
          <w:i/>
          <w:color w:val="000000"/>
        </w:rPr>
        <w:t>d’Études</w:t>
      </w:r>
      <w:proofErr w:type="spellEnd"/>
      <w:r w:rsidRPr="002C51B2">
        <w:rPr>
          <w:rFonts w:ascii="Garamond" w:eastAsia="Times New Roman" w:hAnsi="Garamond"/>
          <w:i/>
          <w:color w:val="000000"/>
        </w:rPr>
        <w:t xml:space="preserve"> du Premier Cycle’</w:t>
      </w:r>
      <w:r>
        <w:rPr>
          <w:rFonts w:ascii="Garamond" w:eastAsia="Times New Roman" w:hAnsi="Garamond"/>
          <w:color w:val="000000"/>
        </w:rPr>
        <w:t>, lower secondary schooling certification; CEP, ‘</w:t>
      </w:r>
      <w:proofErr w:type="spellStart"/>
      <w:r w:rsidRPr="002C51B2">
        <w:rPr>
          <w:rFonts w:ascii="Garamond" w:eastAsia="Times New Roman" w:hAnsi="Garamond"/>
          <w:i/>
          <w:color w:val="000000"/>
        </w:rPr>
        <w:t>Certificat</w:t>
      </w:r>
      <w:proofErr w:type="spellEnd"/>
      <w:r w:rsidRPr="002C51B2">
        <w:rPr>
          <w:rFonts w:ascii="Garamond" w:eastAsia="Times New Roman" w:hAnsi="Garamond"/>
          <w:i/>
          <w:color w:val="000000"/>
        </w:rPr>
        <w:t xml:space="preserve"> </w:t>
      </w:r>
      <w:proofErr w:type="spellStart"/>
      <w:r w:rsidRPr="002C51B2">
        <w:rPr>
          <w:rFonts w:ascii="Garamond" w:eastAsia="Times New Roman" w:hAnsi="Garamond"/>
          <w:i/>
          <w:color w:val="000000"/>
        </w:rPr>
        <w:t>d’Études</w:t>
      </w:r>
      <w:proofErr w:type="spellEnd"/>
      <w:r w:rsidRPr="002C51B2">
        <w:rPr>
          <w:rFonts w:ascii="Garamond" w:eastAsia="Times New Roman" w:hAnsi="Garamond"/>
          <w:i/>
          <w:color w:val="000000"/>
        </w:rPr>
        <w:t xml:space="preserve"> </w:t>
      </w:r>
      <w:proofErr w:type="spellStart"/>
      <w:r w:rsidRPr="002C51B2">
        <w:rPr>
          <w:rFonts w:ascii="Garamond" w:eastAsia="Times New Roman" w:hAnsi="Garamond"/>
          <w:i/>
          <w:color w:val="000000"/>
        </w:rPr>
        <w:t>Primaires</w:t>
      </w:r>
      <w:proofErr w:type="spellEnd"/>
      <w:r>
        <w:rPr>
          <w:rFonts w:ascii="Garamond" w:eastAsia="Times New Roman" w:hAnsi="Garamond"/>
          <w:color w:val="000000"/>
        </w:rPr>
        <w:t>’, primary schooling certification.</w:t>
      </w:r>
    </w:p>
    <w:p w14:paraId="0DC0946A" w14:textId="77777777" w:rsidR="00CC3DDD" w:rsidRDefault="00CC3DDD" w:rsidP="00CC3DDD">
      <w:pPr>
        <w:rPr>
          <w:rFonts w:ascii="Garamond" w:hAnsi="Garamond"/>
          <w:b/>
        </w:rPr>
      </w:pPr>
      <w:r w:rsidRPr="005326D0">
        <w:rPr>
          <w:rFonts w:ascii="Garamond" w:eastAsia="Times New Roman" w:hAnsi="Garamond"/>
          <w:i/>
          <w:color w:val="000000"/>
        </w:rPr>
        <w:t xml:space="preserve">Notes: </w:t>
      </w:r>
      <w:r>
        <w:rPr>
          <w:rFonts w:ascii="Garamond" w:eastAsia="Times New Roman" w:hAnsi="Garamond"/>
          <w:color w:val="000000"/>
        </w:rPr>
        <w:t xml:space="preserve">Adapted from </w:t>
      </w:r>
      <w:proofErr w:type="spellStart"/>
      <w:r>
        <w:rPr>
          <w:rFonts w:ascii="Garamond" w:eastAsia="Times New Roman" w:hAnsi="Garamond"/>
          <w:color w:val="000000"/>
        </w:rPr>
        <w:t>Grenet</w:t>
      </w:r>
      <w:proofErr w:type="spellEnd"/>
      <w:r>
        <w:rPr>
          <w:rFonts w:ascii="Garamond" w:eastAsia="Times New Roman" w:hAnsi="Garamond"/>
          <w:color w:val="000000"/>
        </w:rPr>
        <w:t>, 2013. The two dotted arrows on the left-hand side of the graph show the minimum school leaving age before and after the reform. The thick arrows on the right-hand side of the graph represent stages at which the tracking occurs. For example, at the end of secondary school, pupils can either continue to high school or to vocational schools. At the end of their secondary schooling, students could obtain either a high school diploma (‘</w:t>
      </w:r>
      <w:proofErr w:type="spellStart"/>
      <w:r>
        <w:rPr>
          <w:rFonts w:ascii="Garamond" w:eastAsia="Times New Roman" w:hAnsi="Garamond"/>
          <w:color w:val="000000"/>
        </w:rPr>
        <w:t>baccalauréat</w:t>
      </w:r>
      <w:proofErr w:type="spellEnd"/>
      <w:r>
        <w:rPr>
          <w:rFonts w:ascii="Garamond" w:eastAsia="Times New Roman" w:hAnsi="Garamond"/>
          <w:color w:val="000000"/>
        </w:rPr>
        <w:t xml:space="preserve">’) or a vocational degree (CAP/BEP). At the time of the reform, very few children were directed to extended primary school and the CEP was not often awarded anymore. Another lower qualification at the end of secondary school (BEPC) was optional and not meant to certify the end of lower secondary schooling. </w:t>
      </w:r>
      <w:r>
        <w:rPr>
          <w:rFonts w:ascii="Garamond" w:hAnsi="Garamond"/>
          <w:b/>
        </w:rPr>
        <w:br w:type="page"/>
      </w:r>
    </w:p>
    <w:p w14:paraId="300A6693" w14:textId="77777777" w:rsidR="00CC3DDD" w:rsidRDefault="00CC3DDD" w:rsidP="00CC3DDD">
      <w:pPr>
        <w:rPr>
          <w:rFonts w:ascii="Garamond" w:hAnsi="Garamond"/>
          <w:b/>
        </w:rPr>
      </w:pPr>
    </w:p>
    <w:p w14:paraId="1A0DD47F" w14:textId="77777777" w:rsidR="00CC3DDD" w:rsidRDefault="00CC3DDD" w:rsidP="00CC3DDD">
      <w:pPr>
        <w:jc w:val="both"/>
        <w:outlineLvl w:val="0"/>
        <w:rPr>
          <w:rFonts w:ascii="Garamond" w:hAnsi="Garamond"/>
        </w:rPr>
      </w:pPr>
      <w:r>
        <w:rPr>
          <w:rFonts w:ascii="Garamond" w:hAnsi="Garamond"/>
          <w:b/>
        </w:rPr>
        <w:t xml:space="preserve">Appendix Figure 2. </w:t>
      </w:r>
      <w:r w:rsidRPr="006E1DA2">
        <w:rPr>
          <w:rFonts w:ascii="Garamond" w:hAnsi="Garamond"/>
        </w:rPr>
        <w:t xml:space="preserve">Distributional effects of eligibility to the 1959 </w:t>
      </w:r>
      <w:proofErr w:type="spellStart"/>
      <w:r w:rsidRPr="006E1DA2">
        <w:rPr>
          <w:rFonts w:ascii="Garamond" w:hAnsi="Garamond"/>
        </w:rPr>
        <w:t>Berthoin</w:t>
      </w:r>
      <w:proofErr w:type="spellEnd"/>
      <w:r w:rsidRPr="006E1DA2">
        <w:rPr>
          <w:rFonts w:ascii="Garamond" w:hAnsi="Garamond"/>
        </w:rPr>
        <w:t xml:space="preserve"> reform on diastolic blood pressure and white blood cells count among respondents from low parental </w:t>
      </w:r>
      <w:r>
        <w:rPr>
          <w:rFonts w:ascii="Garamond" w:hAnsi="Garamond"/>
        </w:rPr>
        <w:t>social class</w:t>
      </w:r>
    </w:p>
    <w:p w14:paraId="1F9DBD5E" w14:textId="77777777" w:rsidR="00CC3DDD" w:rsidRDefault="00CC3DDD" w:rsidP="00CC3DDD">
      <w:pPr>
        <w:jc w:val="both"/>
        <w:outlineLvl w:val="0"/>
        <w:rPr>
          <w:rFonts w:ascii="Garamond" w:hAnsi="Garamond"/>
        </w:rPr>
      </w:pPr>
    </w:p>
    <w:p w14:paraId="01767F97" w14:textId="77777777" w:rsidR="00CC3DDD" w:rsidRDefault="00CC3DDD" w:rsidP="00CC3DDD">
      <w:pPr>
        <w:rPr>
          <w:rFonts w:ascii="Garamond" w:hAnsi="Garamond"/>
          <w:b/>
        </w:rPr>
      </w:pPr>
      <w:r>
        <w:rPr>
          <w:rFonts w:ascii="Garamond" w:hAnsi="Garamond"/>
          <w:b/>
        </w:rPr>
        <w:t xml:space="preserve">Panel A. </w:t>
      </w:r>
      <w:r w:rsidRPr="0085626E">
        <w:rPr>
          <w:rFonts w:ascii="Garamond" w:hAnsi="Garamond"/>
          <w:b/>
        </w:rPr>
        <w:t>Diastolic blood pressure</w:t>
      </w:r>
    </w:p>
    <w:p w14:paraId="3A097F6D" w14:textId="77777777" w:rsidR="00CC3DDD" w:rsidRPr="0085626E" w:rsidRDefault="00CC3DDD" w:rsidP="00CC3DDD">
      <w:pPr>
        <w:jc w:val="center"/>
        <w:rPr>
          <w:rFonts w:ascii="Garamond" w:hAnsi="Garamond"/>
          <w:b/>
        </w:rPr>
      </w:pPr>
      <w:r>
        <w:rPr>
          <w:rFonts w:ascii="Garamond" w:hAnsi="Garamond"/>
          <w:b/>
          <w:noProof/>
        </w:rPr>
        <w:drawing>
          <wp:inline distT="0" distB="0" distL="0" distR="0" wp14:anchorId="2AE52FA8" wp14:editId="3561FC6D">
            <wp:extent cx="4079654" cy="2964401"/>
            <wp:effectExtent l="0" t="0" r="10160" b="7620"/>
            <wp:docPr id="10" name="Picture 10" descr="Graph_quintile%20reg_DB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_quintile%20reg_DBP.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01716" cy="2980432"/>
                    </a:xfrm>
                    <a:prstGeom prst="rect">
                      <a:avLst/>
                    </a:prstGeom>
                    <a:noFill/>
                    <a:ln>
                      <a:noFill/>
                    </a:ln>
                  </pic:spPr>
                </pic:pic>
              </a:graphicData>
            </a:graphic>
          </wp:inline>
        </w:drawing>
      </w:r>
    </w:p>
    <w:p w14:paraId="196A3B96" w14:textId="77777777" w:rsidR="00CC3DDD" w:rsidRDefault="00CC3DDD" w:rsidP="00CC3DDD">
      <w:pPr>
        <w:rPr>
          <w:rFonts w:ascii="Garamond" w:hAnsi="Garamond"/>
          <w:b/>
        </w:rPr>
      </w:pPr>
      <w:r>
        <w:rPr>
          <w:rFonts w:ascii="Garamond" w:hAnsi="Garamond"/>
          <w:b/>
        </w:rPr>
        <w:t>Panel B. White blood cells count</w:t>
      </w:r>
    </w:p>
    <w:p w14:paraId="1B7CB745" w14:textId="77777777" w:rsidR="00CC3DDD" w:rsidRDefault="00CC3DDD" w:rsidP="00CC3DDD">
      <w:pPr>
        <w:jc w:val="center"/>
        <w:rPr>
          <w:rFonts w:ascii="Garamond" w:hAnsi="Garamond"/>
          <w:b/>
        </w:rPr>
      </w:pPr>
      <w:r>
        <w:rPr>
          <w:rFonts w:ascii="Garamond" w:hAnsi="Garamond"/>
          <w:b/>
          <w:noProof/>
        </w:rPr>
        <w:drawing>
          <wp:inline distT="0" distB="0" distL="0" distR="0" wp14:anchorId="0B1DA483" wp14:editId="0B3CF0F0">
            <wp:extent cx="4041996" cy="2937038"/>
            <wp:effectExtent l="0" t="0" r="0" b="9525"/>
            <wp:docPr id="11" name="Picture 11" descr="Graph_quantile%20reg_white%20cell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_quantile%20reg_white%20cells.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5196" cy="2953896"/>
                    </a:xfrm>
                    <a:prstGeom prst="rect">
                      <a:avLst/>
                    </a:prstGeom>
                    <a:noFill/>
                    <a:ln>
                      <a:noFill/>
                    </a:ln>
                  </pic:spPr>
                </pic:pic>
              </a:graphicData>
            </a:graphic>
          </wp:inline>
        </w:drawing>
      </w:r>
    </w:p>
    <w:p w14:paraId="1A8F9A60" w14:textId="77777777" w:rsidR="00CC3DDD" w:rsidRDefault="00CC3DDD" w:rsidP="00CC3DDD">
      <w:pPr>
        <w:jc w:val="center"/>
        <w:rPr>
          <w:rFonts w:ascii="Garamond" w:hAnsi="Garamond"/>
          <w:b/>
        </w:rPr>
      </w:pPr>
    </w:p>
    <w:p w14:paraId="12221338" w14:textId="77777777" w:rsidR="00CC3DDD" w:rsidRDefault="00CC3DDD" w:rsidP="00CC3DDD">
      <w:pPr>
        <w:jc w:val="both"/>
        <w:rPr>
          <w:rFonts w:ascii="Garamond" w:eastAsia="Times New Roman" w:hAnsi="Garamond"/>
          <w:bCs/>
          <w:color w:val="000000"/>
        </w:rPr>
      </w:pPr>
      <w:r w:rsidRPr="00C1427D">
        <w:rPr>
          <w:rFonts w:ascii="Garamond" w:hAnsi="Garamond"/>
          <w:i/>
        </w:rPr>
        <w:t xml:space="preserve">Notes: </w:t>
      </w:r>
      <w:r w:rsidRPr="0066740C">
        <w:rPr>
          <w:rFonts w:ascii="Garamond" w:hAnsi="Garamond"/>
        </w:rPr>
        <w:t xml:space="preserve">Data are from the </w:t>
      </w:r>
      <w:proofErr w:type="spellStart"/>
      <w:r w:rsidRPr="0066740C">
        <w:rPr>
          <w:rFonts w:ascii="Garamond" w:hAnsi="Garamond"/>
        </w:rPr>
        <w:t>Constances</w:t>
      </w:r>
      <w:proofErr w:type="spellEnd"/>
      <w:r w:rsidRPr="0066740C">
        <w:rPr>
          <w:rFonts w:ascii="Garamond" w:hAnsi="Garamond"/>
        </w:rPr>
        <w:t xml:space="preserve"> cohort.</w:t>
      </w:r>
      <w:r w:rsidRPr="0066740C">
        <w:rPr>
          <w:rFonts w:ascii="Garamond" w:hAnsi="Garamond"/>
          <w:i/>
        </w:rPr>
        <w:t xml:space="preserve"> </w:t>
      </w:r>
      <w:r w:rsidRPr="0066740C">
        <w:rPr>
          <w:rFonts w:ascii="Garamond" w:hAnsi="Garamond"/>
        </w:rPr>
        <w:t xml:space="preserve">Each estimate presents the effect of eligibility to the reform at different parts of the health distribution. </w:t>
      </w:r>
      <w:r w:rsidRPr="0066740C">
        <w:rPr>
          <w:rFonts w:ascii="Garamond" w:eastAsia="Times New Roman" w:hAnsi="Garamond"/>
          <w:bCs/>
          <w:color w:val="000000"/>
        </w:rPr>
        <w:t>All models control for age, age squared, gender, month of birth, birth cohort relative to the cut-off point, interacted with the treatment. Standard errors are clustered at the month of birth level. The bandwidth is fixed at 48 months.</w:t>
      </w:r>
    </w:p>
    <w:p w14:paraId="4048039D" w14:textId="77777777" w:rsidR="00CC3DDD" w:rsidRDefault="00CC3DDD" w:rsidP="00CC3DDD">
      <w:pPr>
        <w:rPr>
          <w:rFonts w:ascii="Garamond" w:eastAsia="Times New Roman" w:hAnsi="Garamond"/>
          <w:bCs/>
          <w:color w:val="000000"/>
        </w:rPr>
      </w:pPr>
      <w:r>
        <w:rPr>
          <w:rFonts w:ascii="Garamond" w:eastAsia="Times New Roman" w:hAnsi="Garamond"/>
          <w:bCs/>
          <w:color w:val="000000"/>
        </w:rPr>
        <w:br w:type="page"/>
      </w:r>
    </w:p>
    <w:p w14:paraId="25BF87B0" w14:textId="77777777" w:rsidR="00CC3DDD" w:rsidRDefault="00CC3DDD" w:rsidP="00CC3DDD">
      <w:pPr>
        <w:contextualSpacing/>
        <w:rPr>
          <w:rFonts w:ascii="Garamond" w:hAnsi="Garamond"/>
        </w:rPr>
      </w:pPr>
      <w:r>
        <w:rPr>
          <w:rFonts w:ascii="Garamond" w:hAnsi="Garamond"/>
          <w:b/>
        </w:rPr>
        <w:lastRenderedPageBreak/>
        <w:t>Appendix Figure 3</w:t>
      </w:r>
      <w:r w:rsidRPr="00F83DE4">
        <w:rPr>
          <w:rFonts w:ascii="Garamond" w:hAnsi="Garamond"/>
          <w:b/>
        </w:rPr>
        <w:t xml:space="preserve">. </w:t>
      </w:r>
      <w:r>
        <w:rPr>
          <w:rFonts w:ascii="Garamond" w:hAnsi="Garamond"/>
        </w:rPr>
        <w:t xml:space="preserve">Impact of the </w:t>
      </w:r>
      <w:proofErr w:type="spellStart"/>
      <w:r>
        <w:rPr>
          <w:rFonts w:ascii="Garamond" w:hAnsi="Garamond"/>
        </w:rPr>
        <w:t>Berthoin</w:t>
      </w:r>
      <w:proofErr w:type="spellEnd"/>
      <w:r>
        <w:rPr>
          <w:rFonts w:ascii="Garamond" w:hAnsi="Garamond"/>
        </w:rPr>
        <w:t xml:space="preserve"> and placebo reforms on diastolic blood pressure and white cells count among respondents from low parental social class</w:t>
      </w:r>
    </w:p>
    <w:p w14:paraId="3FC522C2" w14:textId="77777777" w:rsidR="00CC3DDD" w:rsidRDefault="00CC3DDD" w:rsidP="00CC3DDD">
      <w:pPr>
        <w:contextualSpacing/>
        <w:rPr>
          <w:b/>
        </w:rPr>
      </w:pPr>
    </w:p>
    <w:p w14:paraId="08D352AF" w14:textId="77777777" w:rsidR="00CC3DDD" w:rsidRDefault="00CC3DDD" w:rsidP="00CC3DDD">
      <w:pPr>
        <w:rPr>
          <w:b/>
        </w:rPr>
      </w:pPr>
      <w:r>
        <w:rPr>
          <w:b/>
        </w:rPr>
        <w:t xml:space="preserve">Panel </w:t>
      </w:r>
      <w:r w:rsidRPr="00287FDF">
        <w:rPr>
          <w:b/>
        </w:rPr>
        <w:t>A.</w:t>
      </w:r>
      <w:r>
        <w:rPr>
          <w:b/>
        </w:rPr>
        <w:t xml:space="preserve"> Diastolic blood pressure</w:t>
      </w:r>
    </w:p>
    <w:p w14:paraId="2E17ADC3" w14:textId="77777777" w:rsidR="00CC3DDD" w:rsidRDefault="00CC3DDD" w:rsidP="00CC3DDD">
      <w:pPr>
        <w:jc w:val="center"/>
        <w:rPr>
          <w:b/>
        </w:rPr>
      </w:pPr>
      <w:r>
        <w:rPr>
          <w:b/>
          <w:noProof/>
        </w:rPr>
        <w:drawing>
          <wp:inline distT="0" distB="0" distL="0" distR="0" wp14:anchorId="3BF3D545" wp14:editId="144986BE">
            <wp:extent cx="4255542" cy="3093377"/>
            <wp:effectExtent l="0" t="0" r="12065" b="5715"/>
            <wp:docPr id="12" name="Picture 12" descr="placebo%20reforms_DB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cebo%20reforms_DBP.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68451" cy="3102761"/>
                    </a:xfrm>
                    <a:prstGeom prst="rect">
                      <a:avLst/>
                    </a:prstGeom>
                    <a:noFill/>
                    <a:ln>
                      <a:noFill/>
                    </a:ln>
                  </pic:spPr>
                </pic:pic>
              </a:graphicData>
            </a:graphic>
          </wp:inline>
        </w:drawing>
      </w:r>
    </w:p>
    <w:p w14:paraId="5D71CF6E" w14:textId="77777777" w:rsidR="00CC3DDD" w:rsidRDefault="00CC3DDD" w:rsidP="00CC3DDD">
      <w:pPr>
        <w:rPr>
          <w:b/>
        </w:rPr>
      </w:pPr>
      <w:r>
        <w:rPr>
          <w:b/>
        </w:rPr>
        <w:t>Panel B. White blood cells counts</w:t>
      </w:r>
    </w:p>
    <w:p w14:paraId="722F94A3" w14:textId="77777777" w:rsidR="00CC3DDD" w:rsidRPr="00287FDF" w:rsidRDefault="00CC3DDD" w:rsidP="00CC3DDD">
      <w:pPr>
        <w:jc w:val="center"/>
        <w:rPr>
          <w:b/>
        </w:rPr>
      </w:pPr>
      <w:r>
        <w:rPr>
          <w:b/>
          <w:noProof/>
        </w:rPr>
        <w:drawing>
          <wp:inline distT="0" distB="0" distL="0" distR="0" wp14:anchorId="63C2F639" wp14:editId="496CC252">
            <wp:extent cx="4194768" cy="3049200"/>
            <wp:effectExtent l="0" t="0" r="0" b="0"/>
            <wp:docPr id="13" name="Picture 13" descr="placebo%20reforms_white%20cell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cebo%20reforms_white%20cells.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29856" cy="3074706"/>
                    </a:xfrm>
                    <a:prstGeom prst="rect">
                      <a:avLst/>
                    </a:prstGeom>
                    <a:noFill/>
                    <a:ln>
                      <a:noFill/>
                    </a:ln>
                  </pic:spPr>
                </pic:pic>
              </a:graphicData>
            </a:graphic>
          </wp:inline>
        </w:drawing>
      </w:r>
    </w:p>
    <w:p w14:paraId="26661DB7" w14:textId="77777777" w:rsidR="00CC3DDD" w:rsidRDefault="00CC3DDD" w:rsidP="00CC3DDD">
      <w:pPr>
        <w:jc w:val="both"/>
        <w:rPr>
          <w:b/>
        </w:rPr>
      </w:pPr>
      <w:r w:rsidRPr="00C1427D">
        <w:rPr>
          <w:rFonts w:ascii="Garamond" w:hAnsi="Garamond"/>
          <w:i/>
        </w:rPr>
        <w:t xml:space="preserve">Notes: </w:t>
      </w:r>
      <w:r w:rsidRPr="0066740C">
        <w:rPr>
          <w:rFonts w:ascii="Garamond" w:hAnsi="Garamond"/>
        </w:rPr>
        <w:t xml:space="preserve">Data are from the </w:t>
      </w:r>
      <w:proofErr w:type="spellStart"/>
      <w:r w:rsidRPr="0066740C">
        <w:rPr>
          <w:rFonts w:ascii="Garamond" w:hAnsi="Garamond"/>
        </w:rPr>
        <w:t>Constances</w:t>
      </w:r>
      <w:proofErr w:type="spellEnd"/>
      <w:r w:rsidRPr="0066740C">
        <w:rPr>
          <w:rFonts w:ascii="Garamond" w:hAnsi="Garamond"/>
        </w:rPr>
        <w:t xml:space="preserve"> cohort.</w:t>
      </w:r>
      <w:r w:rsidRPr="0066740C">
        <w:rPr>
          <w:rFonts w:ascii="Garamond" w:hAnsi="Garamond"/>
          <w:i/>
        </w:rPr>
        <w:t xml:space="preserve"> </w:t>
      </w:r>
      <w:r w:rsidRPr="0066740C">
        <w:rPr>
          <w:rFonts w:ascii="Garamond" w:hAnsi="Garamond"/>
        </w:rPr>
        <w:t xml:space="preserve">Each estimate presents the effect of eligibility to the </w:t>
      </w:r>
      <w:proofErr w:type="spellStart"/>
      <w:r>
        <w:rPr>
          <w:rFonts w:ascii="Garamond" w:hAnsi="Garamond"/>
        </w:rPr>
        <w:t>Berthoin</w:t>
      </w:r>
      <w:proofErr w:type="spellEnd"/>
      <w:r>
        <w:rPr>
          <w:rFonts w:ascii="Garamond" w:hAnsi="Garamond"/>
        </w:rPr>
        <w:t xml:space="preserve"> reform (1953 cohort) or to placebo reforms in years 1947-1967. </w:t>
      </w:r>
      <w:r w:rsidRPr="0066740C">
        <w:rPr>
          <w:rFonts w:ascii="Garamond" w:eastAsia="Times New Roman" w:hAnsi="Garamond"/>
          <w:bCs/>
          <w:color w:val="000000"/>
        </w:rPr>
        <w:t>All models control for age, age squared, gender, month of birth, birth cohort relative to the cut-off point, interacted with the treatment. Standard errors are clustered at the month of birth level. The bandwidth is fixed at 48 months.</w:t>
      </w:r>
    </w:p>
    <w:p w14:paraId="368EA98E" w14:textId="77777777" w:rsidR="00CC3DDD" w:rsidRDefault="00CC3DDD" w:rsidP="00CC3DDD">
      <w:pPr>
        <w:jc w:val="center"/>
        <w:rPr>
          <w:noProof/>
        </w:rPr>
      </w:pPr>
    </w:p>
    <w:p w14:paraId="1A0B8FA5" w14:textId="77777777" w:rsidR="00CC3DDD" w:rsidRDefault="00CC3DDD" w:rsidP="00CC3DDD">
      <w:pPr>
        <w:jc w:val="center"/>
        <w:rPr>
          <w:b/>
        </w:rPr>
      </w:pPr>
      <w:r>
        <w:rPr>
          <w:b/>
        </w:rPr>
        <w:br w:type="page"/>
      </w:r>
    </w:p>
    <w:p w14:paraId="4892655D" w14:textId="77777777" w:rsidR="00CC3DDD" w:rsidRPr="00D56A34" w:rsidRDefault="00CC3DDD" w:rsidP="00CC3DDD">
      <w:pPr>
        <w:outlineLvl w:val="0"/>
        <w:rPr>
          <w:rFonts w:ascii="Garamond" w:hAnsi="Garamond"/>
          <w:b/>
        </w:rPr>
      </w:pPr>
      <w:r>
        <w:rPr>
          <w:rFonts w:ascii="Garamond" w:hAnsi="Garamond"/>
          <w:b/>
        </w:rPr>
        <w:lastRenderedPageBreak/>
        <w:t>Appendix Figure 4</w:t>
      </w:r>
      <w:r w:rsidRPr="00D56A34">
        <w:rPr>
          <w:rFonts w:ascii="Garamond" w:hAnsi="Garamond"/>
          <w:b/>
        </w:rPr>
        <w:t xml:space="preserve">. </w:t>
      </w:r>
      <w:r>
        <w:rPr>
          <w:rFonts w:ascii="Garamond" w:hAnsi="Garamond"/>
        </w:rPr>
        <w:t xml:space="preserve">Impact of the 1959 </w:t>
      </w:r>
      <w:proofErr w:type="spellStart"/>
      <w:r>
        <w:rPr>
          <w:rFonts w:ascii="Garamond" w:hAnsi="Garamond"/>
        </w:rPr>
        <w:t>Berthoin</w:t>
      </w:r>
      <w:proofErr w:type="spellEnd"/>
      <w:r>
        <w:rPr>
          <w:rFonts w:ascii="Garamond" w:hAnsi="Garamond"/>
        </w:rPr>
        <w:t xml:space="preserve"> reform on diastolic blood pressure and white blood cells counts with different bandwidth sizes</w:t>
      </w:r>
    </w:p>
    <w:p w14:paraId="33477202" w14:textId="77777777" w:rsidR="00CC3DDD" w:rsidRDefault="00CC3DDD" w:rsidP="00CC3DDD">
      <w:pPr>
        <w:rPr>
          <w:noProof/>
        </w:rPr>
      </w:pPr>
    </w:p>
    <w:p w14:paraId="56ED8CAB" w14:textId="77777777" w:rsidR="00CC3DDD" w:rsidRDefault="00CC3DDD" w:rsidP="00CC3DDD">
      <w:pPr>
        <w:rPr>
          <w:rFonts w:ascii="Garamond" w:hAnsi="Garamond"/>
          <w:b/>
        </w:rPr>
      </w:pPr>
      <w:r>
        <w:rPr>
          <w:rFonts w:ascii="Garamond" w:hAnsi="Garamond"/>
          <w:b/>
          <w:noProof/>
        </w:rPr>
        <w:t>Panel A.</w:t>
      </w:r>
      <w:r>
        <w:rPr>
          <w:rFonts w:ascii="Garamond" w:hAnsi="Garamond"/>
          <w:b/>
        </w:rPr>
        <w:t xml:space="preserve"> Diastolic blood pressure</w:t>
      </w:r>
    </w:p>
    <w:p w14:paraId="723A6312" w14:textId="77777777" w:rsidR="00CC3DDD" w:rsidRDefault="00CC3DDD" w:rsidP="00CC3DDD">
      <w:pPr>
        <w:jc w:val="center"/>
        <w:rPr>
          <w:rFonts w:ascii="Garamond" w:hAnsi="Garamond"/>
          <w:b/>
        </w:rPr>
      </w:pPr>
      <w:r>
        <w:rPr>
          <w:rFonts w:ascii="Garamond" w:hAnsi="Garamond"/>
          <w:b/>
          <w:noProof/>
        </w:rPr>
        <w:drawing>
          <wp:inline distT="0" distB="0" distL="0" distR="0" wp14:anchorId="6C67A6EB" wp14:editId="5F7B6B1F">
            <wp:extent cx="4257807" cy="3095024"/>
            <wp:effectExtent l="0" t="0" r="9525" b="3810"/>
            <wp:docPr id="14" name="Picture 14" descr="bandwidth_DB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ndwidth_DBP.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64609" cy="3099969"/>
                    </a:xfrm>
                    <a:prstGeom prst="rect">
                      <a:avLst/>
                    </a:prstGeom>
                    <a:noFill/>
                    <a:ln>
                      <a:noFill/>
                    </a:ln>
                  </pic:spPr>
                </pic:pic>
              </a:graphicData>
            </a:graphic>
          </wp:inline>
        </w:drawing>
      </w:r>
    </w:p>
    <w:p w14:paraId="44F79968" w14:textId="77777777" w:rsidR="00CC3DDD" w:rsidRDefault="00CC3DDD" w:rsidP="00CC3DDD">
      <w:pPr>
        <w:rPr>
          <w:rFonts w:ascii="Garamond" w:hAnsi="Garamond"/>
          <w:b/>
        </w:rPr>
      </w:pPr>
      <w:r>
        <w:rPr>
          <w:rFonts w:ascii="Garamond" w:hAnsi="Garamond"/>
          <w:b/>
        </w:rPr>
        <w:t>Panel B. White blood cells counts</w:t>
      </w:r>
    </w:p>
    <w:p w14:paraId="69C50BF6" w14:textId="77777777" w:rsidR="00CC3DDD" w:rsidRDefault="00CC3DDD" w:rsidP="00CC3DDD">
      <w:pPr>
        <w:jc w:val="center"/>
        <w:rPr>
          <w:rFonts w:ascii="Garamond" w:hAnsi="Garamond"/>
          <w:b/>
        </w:rPr>
      </w:pPr>
      <w:r>
        <w:rPr>
          <w:rFonts w:ascii="Garamond" w:hAnsi="Garamond"/>
          <w:b/>
          <w:noProof/>
        </w:rPr>
        <w:drawing>
          <wp:inline distT="0" distB="0" distL="0" distR="0" wp14:anchorId="1CC977E1" wp14:editId="7808B0A0">
            <wp:extent cx="4257807" cy="3095024"/>
            <wp:effectExtent l="0" t="0" r="9525" b="3810"/>
            <wp:docPr id="15" name="Picture 15" descr="bandwidth_whitecell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ndwidth_whitecells.pd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64773" cy="3100088"/>
                    </a:xfrm>
                    <a:prstGeom prst="rect">
                      <a:avLst/>
                    </a:prstGeom>
                    <a:noFill/>
                    <a:ln>
                      <a:noFill/>
                    </a:ln>
                  </pic:spPr>
                </pic:pic>
              </a:graphicData>
            </a:graphic>
          </wp:inline>
        </w:drawing>
      </w:r>
    </w:p>
    <w:p w14:paraId="4768CCC2" w14:textId="77777777" w:rsidR="00CC3DDD" w:rsidRDefault="00CC3DDD" w:rsidP="00CC3DDD">
      <w:pPr>
        <w:jc w:val="both"/>
        <w:rPr>
          <w:rFonts w:ascii="Garamond" w:eastAsia="Times New Roman" w:hAnsi="Garamond"/>
          <w:bCs/>
          <w:color w:val="000000"/>
        </w:rPr>
      </w:pPr>
      <w:r w:rsidRPr="00C1427D">
        <w:rPr>
          <w:rFonts w:ascii="Garamond" w:hAnsi="Garamond"/>
          <w:i/>
        </w:rPr>
        <w:t xml:space="preserve">Notes: </w:t>
      </w:r>
      <w:r w:rsidRPr="0066740C">
        <w:rPr>
          <w:rFonts w:ascii="Garamond" w:hAnsi="Garamond"/>
        </w:rPr>
        <w:t xml:space="preserve">Data are from the </w:t>
      </w:r>
      <w:proofErr w:type="spellStart"/>
      <w:r w:rsidRPr="0066740C">
        <w:rPr>
          <w:rFonts w:ascii="Garamond" w:hAnsi="Garamond"/>
        </w:rPr>
        <w:t>Constances</w:t>
      </w:r>
      <w:proofErr w:type="spellEnd"/>
      <w:r w:rsidRPr="0066740C">
        <w:rPr>
          <w:rFonts w:ascii="Garamond" w:hAnsi="Garamond"/>
        </w:rPr>
        <w:t xml:space="preserve"> cohort.</w:t>
      </w:r>
      <w:r w:rsidRPr="0066740C">
        <w:rPr>
          <w:rFonts w:ascii="Garamond" w:hAnsi="Garamond"/>
          <w:i/>
        </w:rPr>
        <w:t xml:space="preserve"> </w:t>
      </w:r>
      <w:r>
        <w:rPr>
          <w:rFonts w:ascii="Garamond" w:eastAsia="Times New Roman" w:hAnsi="Garamond"/>
          <w:bCs/>
          <w:color w:val="000000"/>
        </w:rPr>
        <w:t>Both</w:t>
      </w:r>
      <w:r w:rsidRPr="0066740C">
        <w:rPr>
          <w:rFonts w:ascii="Garamond" w:eastAsia="Times New Roman" w:hAnsi="Garamond"/>
          <w:bCs/>
          <w:color w:val="000000"/>
        </w:rPr>
        <w:t xml:space="preserve"> models control for age, age squared, gender, month of birth, birth cohort relative to the cut-off point, interacted with the treatment. Standard errors are clustered at the month of birth level. The bandwidth </w:t>
      </w:r>
      <w:r>
        <w:rPr>
          <w:rFonts w:ascii="Garamond" w:eastAsia="Times New Roman" w:hAnsi="Garamond"/>
          <w:bCs/>
          <w:color w:val="000000"/>
        </w:rPr>
        <w:t>varies between 12 and 72 months in the graphs</w:t>
      </w:r>
      <w:r w:rsidRPr="0066740C">
        <w:rPr>
          <w:rFonts w:ascii="Garamond" w:eastAsia="Times New Roman" w:hAnsi="Garamond"/>
          <w:bCs/>
          <w:color w:val="000000"/>
        </w:rPr>
        <w:t>.</w:t>
      </w:r>
    </w:p>
    <w:p w14:paraId="1A841A00" w14:textId="77777777" w:rsidR="00CC3DDD" w:rsidRDefault="00CC3DDD" w:rsidP="00CC3DDD">
      <w:r>
        <w:br w:type="page"/>
      </w:r>
    </w:p>
    <w:p w14:paraId="58E63E93" w14:textId="77777777" w:rsidR="00CC3DDD" w:rsidRPr="00D56A34" w:rsidRDefault="00CC3DDD" w:rsidP="00CC3DDD">
      <w:pPr>
        <w:outlineLvl w:val="0"/>
        <w:rPr>
          <w:rFonts w:ascii="Garamond" w:hAnsi="Garamond"/>
          <w:b/>
        </w:rPr>
      </w:pPr>
      <w:r>
        <w:rPr>
          <w:rFonts w:ascii="Garamond" w:hAnsi="Garamond"/>
          <w:b/>
        </w:rPr>
        <w:lastRenderedPageBreak/>
        <w:t>Appendix Figure 5</w:t>
      </w:r>
      <w:r w:rsidRPr="00D56A34">
        <w:rPr>
          <w:rFonts w:ascii="Garamond" w:hAnsi="Garamond"/>
          <w:b/>
        </w:rPr>
        <w:t xml:space="preserve">. </w:t>
      </w:r>
      <w:r>
        <w:rPr>
          <w:rFonts w:ascii="Garamond" w:hAnsi="Garamond"/>
        </w:rPr>
        <w:t xml:space="preserve">Distributional effects of the 1959 </w:t>
      </w:r>
      <w:proofErr w:type="spellStart"/>
      <w:r>
        <w:rPr>
          <w:rFonts w:ascii="Garamond" w:hAnsi="Garamond"/>
        </w:rPr>
        <w:t>Berthoin</w:t>
      </w:r>
      <w:proofErr w:type="spellEnd"/>
      <w:r>
        <w:rPr>
          <w:rFonts w:ascii="Garamond" w:hAnsi="Garamond"/>
        </w:rPr>
        <w:t xml:space="preserve"> reform on school leaving age</w:t>
      </w:r>
    </w:p>
    <w:p w14:paraId="13FB7FAC" w14:textId="77777777" w:rsidR="00CC3DDD" w:rsidRPr="00530935" w:rsidRDefault="00CC3DDD" w:rsidP="00CC3DDD">
      <w:pPr>
        <w:jc w:val="center"/>
        <w:rPr>
          <w:rFonts w:ascii="Garamond" w:hAnsi="Garamond"/>
          <w:b/>
        </w:rPr>
      </w:pPr>
      <w:r>
        <w:rPr>
          <w:rFonts w:ascii="Garamond" w:hAnsi="Garamond"/>
          <w:b/>
          <w:noProof/>
        </w:rPr>
        <w:drawing>
          <wp:inline distT="0" distB="0" distL="0" distR="0" wp14:anchorId="006CEBAE" wp14:editId="6D9A27EF">
            <wp:extent cx="5029200" cy="3657600"/>
            <wp:effectExtent l="0" t="0" r="0" b="0"/>
            <wp:docPr id="2" name="Picture 2" descr="../Documents/Emilie/distributional%20effect%20on%20school%20leaving%20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Emilie/distributional%20effect%20on%20school%20leaving%20age.pd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25D9D09" w14:textId="77777777" w:rsidR="00CC3DDD" w:rsidRDefault="00CC3DDD" w:rsidP="00CC3DDD">
      <w:pPr>
        <w:rPr>
          <w:rFonts w:ascii="Garamond" w:hAnsi="Garamond"/>
          <w:b/>
        </w:rPr>
      </w:pPr>
    </w:p>
    <w:p w14:paraId="4C5E3AE9" w14:textId="77777777" w:rsidR="00CC3DDD" w:rsidRDefault="00CC3DDD" w:rsidP="00CC3DDD">
      <w:pPr>
        <w:jc w:val="both"/>
        <w:outlineLvl w:val="0"/>
        <w:rPr>
          <w:rFonts w:ascii="Garamond" w:hAnsi="Garamond"/>
        </w:rPr>
      </w:pPr>
      <w:r w:rsidRPr="00C1427D">
        <w:rPr>
          <w:rFonts w:ascii="Garamond" w:hAnsi="Garamond"/>
          <w:i/>
        </w:rPr>
        <w:t xml:space="preserve">Notes: </w:t>
      </w:r>
      <w:r>
        <w:rPr>
          <w:rFonts w:ascii="Garamond" w:hAnsi="Garamond"/>
        </w:rPr>
        <w:t xml:space="preserve">Data are from the </w:t>
      </w:r>
      <w:r w:rsidRPr="002A27EC">
        <w:rPr>
          <w:rFonts w:ascii="Garamond" w:hAnsi="Garamond"/>
        </w:rPr>
        <w:t>French Labor Force Survey</w:t>
      </w:r>
      <w:r>
        <w:rPr>
          <w:rFonts w:ascii="Garamond" w:hAnsi="Garamond"/>
        </w:rPr>
        <w:t xml:space="preserve"> (2003-</w:t>
      </w:r>
      <w:r w:rsidRPr="00D77627">
        <w:rPr>
          <w:rFonts w:ascii="Garamond" w:hAnsi="Garamond"/>
        </w:rPr>
        <w:t>2012). The</w:t>
      </w:r>
      <w:r>
        <w:rPr>
          <w:rFonts w:ascii="Garamond" w:hAnsi="Garamond"/>
        </w:rPr>
        <w:t xml:space="preserve"> dashed line represents the respondents eligible to the </w:t>
      </w:r>
      <w:proofErr w:type="spellStart"/>
      <w:r>
        <w:rPr>
          <w:rFonts w:ascii="Garamond" w:hAnsi="Garamond"/>
        </w:rPr>
        <w:t>Berthoin</w:t>
      </w:r>
      <w:proofErr w:type="spellEnd"/>
      <w:r>
        <w:rPr>
          <w:rFonts w:ascii="Garamond" w:hAnsi="Garamond"/>
        </w:rPr>
        <w:t xml:space="preserve"> reform (i.e. born after the 1</w:t>
      </w:r>
      <w:r w:rsidRPr="00D77627">
        <w:rPr>
          <w:rFonts w:ascii="Garamond" w:hAnsi="Garamond"/>
          <w:vertAlign w:val="superscript"/>
        </w:rPr>
        <w:t>st</w:t>
      </w:r>
      <w:r>
        <w:rPr>
          <w:rFonts w:ascii="Garamond" w:hAnsi="Garamond"/>
        </w:rPr>
        <w:t xml:space="preserve"> of January 1953), while the black line represents respondents who were not eligible to the reform. </w:t>
      </w:r>
    </w:p>
    <w:p w14:paraId="5606D1E9" w14:textId="77777777" w:rsidR="00CC3DDD" w:rsidRDefault="00CC3DDD" w:rsidP="00CC3DDD"/>
    <w:p w14:paraId="7B8970DD" w14:textId="77777777" w:rsidR="00941CEA" w:rsidRPr="002359A3" w:rsidRDefault="00941CEA" w:rsidP="00CC3DDD">
      <w:pPr>
        <w:rPr>
          <w:rFonts w:ascii="Garamond" w:hAnsi="Garamond"/>
          <w:b/>
        </w:rPr>
      </w:pPr>
    </w:p>
    <w:sectPr w:rsidR="00941CEA" w:rsidRPr="002359A3" w:rsidSect="002A2441">
      <w:footerReference w:type="even" r:id="rId23"/>
      <w:footerReference w:type="default" r:id="rId24"/>
      <w:pgSz w:w="12240" w:h="15840"/>
      <w:pgMar w:top="1440" w:right="1800" w:bottom="1440" w:left="1800" w:header="720" w:footer="720" w:gutter="0"/>
      <w:lnNumType w:countBy="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AF74EB" w14:textId="77777777" w:rsidR="00791F2E" w:rsidRDefault="00791F2E" w:rsidP="00B2313C">
      <w:r>
        <w:separator/>
      </w:r>
    </w:p>
  </w:endnote>
  <w:endnote w:type="continuationSeparator" w:id="0">
    <w:p w14:paraId="56CBB71C" w14:textId="77777777" w:rsidR="00791F2E" w:rsidRDefault="00791F2E" w:rsidP="00B2313C">
      <w:r>
        <w:continuationSeparator/>
      </w:r>
    </w:p>
  </w:endnote>
  <w:endnote w:type="continuationNotice" w:id="1">
    <w:p w14:paraId="0BE95D37" w14:textId="77777777" w:rsidR="00791F2E" w:rsidRDefault="00791F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auto"/>
    <w:pitch w:val="variable"/>
    <w:sig w:usb0="00000287" w:usb1="00000000" w:usb2="00000000" w:usb3="00000000" w:csb0="0000009F"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FADEBB" w14:textId="77777777" w:rsidR="00CC3DDD" w:rsidRDefault="00CC3DDD" w:rsidP="005C327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C3F8852" w14:textId="77777777" w:rsidR="00CC3DDD" w:rsidRDefault="00CC3DDD" w:rsidP="005C327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8BD39E" w14:textId="77777777" w:rsidR="00CC3DDD" w:rsidRDefault="00CC3DDD" w:rsidP="005C327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73116">
      <w:rPr>
        <w:rStyle w:val="PageNumber"/>
        <w:noProof/>
      </w:rPr>
      <w:t>29</w:t>
    </w:r>
    <w:r>
      <w:rPr>
        <w:rStyle w:val="PageNumber"/>
      </w:rPr>
      <w:fldChar w:fldCharType="end"/>
    </w:r>
  </w:p>
  <w:p w14:paraId="4E422F5C" w14:textId="77777777" w:rsidR="00CC3DDD" w:rsidRDefault="00CC3DDD" w:rsidP="005C327A">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972BF" w14:textId="77777777" w:rsidR="00CC3DDD" w:rsidRDefault="00CC3DDD" w:rsidP="005C327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8E4F50B" w14:textId="77777777" w:rsidR="00CC3DDD" w:rsidRDefault="00CC3DDD" w:rsidP="005C327A">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74DB12" w14:textId="77777777" w:rsidR="00CC3DDD" w:rsidRDefault="00CC3DDD" w:rsidP="005C327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73116">
      <w:rPr>
        <w:rStyle w:val="PageNumber"/>
        <w:noProof/>
      </w:rPr>
      <w:t>39</w:t>
    </w:r>
    <w:r>
      <w:rPr>
        <w:rStyle w:val="PageNumber"/>
      </w:rPr>
      <w:fldChar w:fldCharType="end"/>
    </w:r>
  </w:p>
  <w:p w14:paraId="636637BB" w14:textId="77777777" w:rsidR="00CC3DDD" w:rsidRDefault="00CC3DDD" w:rsidP="005C327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A44697" w14:textId="77777777" w:rsidR="00791F2E" w:rsidRDefault="00791F2E" w:rsidP="00B2313C">
      <w:r>
        <w:separator/>
      </w:r>
    </w:p>
  </w:footnote>
  <w:footnote w:type="continuationSeparator" w:id="0">
    <w:p w14:paraId="321BC770" w14:textId="77777777" w:rsidR="00791F2E" w:rsidRDefault="00791F2E" w:rsidP="00B2313C">
      <w:r>
        <w:continuationSeparator/>
      </w:r>
    </w:p>
  </w:footnote>
  <w:footnote w:type="continuationNotice" w:id="1">
    <w:p w14:paraId="2BC83B71" w14:textId="77777777" w:rsidR="00791F2E" w:rsidRDefault="00791F2E"/>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B4938"/>
    <w:multiLevelType w:val="hybridMultilevel"/>
    <w:tmpl w:val="C7DCD16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9B34077"/>
    <w:multiLevelType w:val="hybridMultilevel"/>
    <w:tmpl w:val="F6605F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5B2B09"/>
    <w:multiLevelType w:val="hybridMultilevel"/>
    <w:tmpl w:val="B80054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03251C5"/>
    <w:multiLevelType w:val="multilevel"/>
    <w:tmpl w:val="662AC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82E70CA"/>
    <w:multiLevelType w:val="hybridMultilevel"/>
    <w:tmpl w:val="29B2E5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8B5643"/>
    <w:multiLevelType w:val="hybridMultilevel"/>
    <w:tmpl w:val="23920B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CC878C0"/>
    <w:multiLevelType w:val="hybridMultilevel"/>
    <w:tmpl w:val="3C888270"/>
    <w:lvl w:ilvl="0" w:tplc="A8124570">
      <w:start w:val="1"/>
      <w:numFmt w:val="lowerLetter"/>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7">
    <w:nsid w:val="3CF00B5D"/>
    <w:multiLevelType w:val="hybridMultilevel"/>
    <w:tmpl w:val="BA3ABB5A"/>
    <w:lvl w:ilvl="0" w:tplc="04090015">
      <w:start w:val="1"/>
      <w:numFmt w:val="upperLetter"/>
      <w:lvlText w:val="%1."/>
      <w:lvlJc w:val="left"/>
      <w:pPr>
        <w:ind w:left="720" w:hanging="360"/>
      </w:pPr>
      <w:rPr>
        <w:rFonts w:ascii="Times New Roman" w:hAnsi="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6DC790D"/>
    <w:multiLevelType w:val="hybridMultilevel"/>
    <w:tmpl w:val="8342E69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nsid w:val="583C430E"/>
    <w:multiLevelType w:val="hybridMultilevel"/>
    <w:tmpl w:val="1A4AD592"/>
    <w:lvl w:ilvl="0" w:tplc="CCDA78BA">
      <w:start w:val="5"/>
      <w:numFmt w:val="bullet"/>
      <w:lvlText w:val="-"/>
      <w:lvlJc w:val="left"/>
      <w:pPr>
        <w:ind w:left="720" w:hanging="360"/>
      </w:pPr>
      <w:rPr>
        <w:rFonts w:ascii="Garamond" w:eastAsiaTheme="minorEastAsia"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EF350C9"/>
    <w:multiLevelType w:val="hybridMultilevel"/>
    <w:tmpl w:val="CE8EC9F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662C77D5"/>
    <w:multiLevelType w:val="hybridMultilevel"/>
    <w:tmpl w:val="FD32F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B380533"/>
    <w:multiLevelType w:val="multilevel"/>
    <w:tmpl w:val="255EF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0"/>
  </w:num>
  <w:num w:numId="3">
    <w:abstractNumId w:val="10"/>
  </w:num>
  <w:num w:numId="4">
    <w:abstractNumId w:val="9"/>
  </w:num>
  <w:num w:numId="5">
    <w:abstractNumId w:val="3"/>
  </w:num>
  <w:num w:numId="6">
    <w:abstractNumId w:val="1"/>
  </w:num>
  <w:num w:numId="7">
    <w:abstractNumId w:val="4"/>
  </w:num>
  <w:num w:numId="8">
    <w:abstractNumId w:val="5"/>
  </w:num>
  <w:num w:numId="9">
    <w:abstractNumId w:val="2"/>
  </w:num>
  <w:num w:numId="10">
    <w:abstractNumId w:val="7"/>
  </w:num>
  <w:num w:numId="11">
    <w:abstractNumId w:val="8"/>
  </w:num>
  <w:num w:numId="12">
    <w:abstractNumId w:val="11"/>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1"/>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Garamond&lt;/FontName&gt;&lt;FontSize&gt;12&lt;/FontSize&gt;&lt;ReflistTitle&gt;&lt;/ReflistTitle&gt;&lt;StartingRefnum&gt;1&lt;/StartingRefnum&gt;&lt;FirstLineIndent&gt;0&lt;/FirstLineIndent&gt;&lt;HangingIndent&gt;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p5pavdvzwwdesueaz0rxssxmtd2ext2dvwpd&quot;&gt;Berthoin reform&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record-ids&gt;&lt;/item&gt;&lt;/Libraries&gt;"/>
  </w:docVars>
  <w:rsids>
    <w:rsidRoot w:val="00AE2399"/>
    <w:rsid w:val="00001355"/>
    <w:rsid w:val="0000161B"/>
    <w:rsid w:val="000016FF"/>
    <w:rsid w:val="00006326"/>
    <w:rsid w:val="0000789C"/>
    <w:rsid w:val="00010E8B"/>
    <w:rsid w:val="0001738F"/>
    <w:rsid w:val="000207BA"/>
    <w:rsid w:val="0002423D"/>
    <w:rsid w:val="00024F7B"/>
    <w:rsid w:val="00027A2B"/>
    <w:rsid w:val="0003027B"/>
    <w:rsid w:val="00030601"/>
    <w:rsid w:val="000367D2"/>
    <w:rsid w:val="000413B1"/>
    <w:rsid w:val="0004257A"/>
    <w:rsid w:val="0004281D"/>
    <w:rsid w:val="00043E55"/>
    <w:rsid w:val="000443EE"/>
    <w:rsid w:val="00045DA2"/>
    <w:rsid w:val="0005001F"/>
    <w:rsid w:val="00055E5F"/>
    <w:rsid w:val="000579A0"/>
    <w:rsid w:val="00060FB0"/>
    <w:rsid w:val="000632D0"/>
    <w:rsid w:val="0006371F"/>
    <w:rsid w:val="00063E10"/>
    <w:rsid w:val="000656C8"/>
    <w:rsid w:val="00066CED"/>
    <w:rsid w:val="00067C25"/>
    <w:rsid w:val="000743A6"/>
    <w:rsid w:val="00074A56"/>
    <w:rsid w:val="000766BE"/>
    <w:rsid w:val="000775EF"/>
    <w:rsid w:val="00080437"/>
    <w:rsid w:val="00080AAA"/>
    <w:rsid w:val="00080EBE"/>
    <w:rsid w:val="00090EF4"/>
    <w:rsid w:val="000A35C4"/>
    <w:rsid w:val="000A49E0"/>
    <w:rsid w:val="000A4B66"/>
    <w:rsid w:val="000A60B3"/>
    <w:rsid w:val="000A62AE"/>
    <w:rsid w:val="000A68EA"/>
    <w:rsid w:val="000A6E95"/>
    <w:rsid w:val="000B0407"/>
    <w:rsid w:val="000B1A27"/>
    <w:rsid w:val="000B2188"/>
    <w:rsid w:val="000B24E9"/>
    <w:rsid w:val="000B37C1"/>
    <w:rsid w:val="000B6F3B"/>
    <w:rsid w:val="000C1E86"/>
    <w:rsid w:val="000C6310"/>
    <w:rsid w:val="000C7331"/>
    <w:rsid w:val="000C75CD"/>
    <w:rsid w:val="000C7B39"/>
    <w:rsid w:val="000D2894"/>
    <w:rsid w:val="000D2A8D"/>
    <w:rsid w:val="000D7F98"/>
    <w:rsid w:val="000E1BBB"/>
    <w:rsid w:val="000E1D1E"/>
    <w:rsid w:val="000E4ABE"/>
    <w:rsid w:val="000E68AB"/>
    <w:rsid w:val="000E6D88"/>
    <w:rsid w:val="000F2697"/>
    <w:rsid w:val="000F5698"/>
    <w:rsid w:val="0010034B"/>
    <w:rsid w:val="0010189B"/>
    <w:rsid w:val="0010192F"/>
    <w:rsid w:val="001149AF"/>
    <w:rsid w:val="001219F3"/>
    <w:rsid w:val="00121F6B"/>
    <w:rsid w:val="00124DF8"/>
    <w:rsid w:val="00125BF6"/>
    <w:rsid w:val="00130035"/>
    <w:rsid w:val="00130D3C"/>
    <w:rsid w:val="00132027"/>
    <w:rsid w:val="00135C8E"/>
    <w:rsid w:val="00136929"/>
    <w:rsid w:val="00141AEF"/>
    <w:rsid w:val="00143600"/>
    <w:rsid w:val="00151C06"/>
    <w:rsid w:val="001538BA"/>
    <w:rsid w:val="00154961"/>
    <w:rsid w:val="00156BDE"/>
    <w:rsid w:val="00164AE3"/>
    <w:rsid w:val="00166828"/>
    <w:rsid w:val="00167EE0"/>
    <w:rsid w:val="001714D7"/>
    <w:rsid w:val="001726AF"/>
    <w:rsid w:val="001742E3"/>
    <w:rsid w:val="00176835"/>
    <w:rsid w:val="00176C26"/>
    <w:rsid w:val="0018033F"/>
    <w:rsid w:val="00183038"/>
    <w:rsid w:val="0018566A"/>
    <w:rsid w:val="0019245C"/>
    <w:rsid w:val="00195F83"/>
    <w:rsid w:val="00196356"/>
    <w:rsid w:val="00196FDD"/>
    <w:rsid w:val="001A0E47"/>
    <w:rsid w:val="001A2A92"/>
    <w:rsid w:val="001A6D16"/>
    <w:rsid w:val="001B4D13"/>
    <w:rsid w:val="001B5605"/>
    <w:rsid w:val="001B58A2"/>
    <w:rsid w:val="001B70D7"/>
    <w:rsid w:val="001B7F80"/>
    <w:rsid w:val="001C0794"/>
    <w:rsid w:val="001C558A"/>
    <w:rsid w:val="001C6E5F"/>
    <w:rsid w:val="001D0563"/>
    <w:rsid w:val="001D297B"/>
    <w:rsid w:val="001D65CC"/>
    <w:rsid w:val="001E0F48"/>
    <w:rsid w:val="001E2407"/>
    <w:rsid w:val="001E5451"/>
    <w:rsid w:val="001F2626"/>
    <w:rsid w:val="001F3A9B"/>
    <w:rsid w:val="001F6465"/>
    <w:rsid w:val="001F6FA5"/>
    <w:rsid w:val="001F7BDC"/>
    <w:rsid w:val="0020357B"/>
    <w:rsid w:val="0020654B"/>
    <w:rsid w:val="0021031F"/>
    <w:rsid w:val="0021425A"/>
    <w:rsid w:val="00215512"/>
    <w:rsid w:val="00217902"/>
    <w:rsid w:val="002225CC"/>
    <w:rsid w:val="00233E93"/>
    <w:rsid w:val="00234329"/>
    <w:rsid w:val="00234AA4"/>
    <w:rsid w:val="00234F17"/>
    <w:rsid w:val="002359A3"/>
    <w:rsid w:val="00235FCC"/>
    <w:rsid w:val="00236447"/>
    <w:rsid w:val="0023682D"/>
    <w:rsid w:val="0024093D"/>
    <w:rsid w:val="00244762"/>
    <w:rsid w:val="0024527A"/>
    <w:rsid w:val="00245885"/>
    <w:rsid w:val="002460D9"/>
    <w:rsid w:val="002479CE"/>
    <w:rsid w:val="0025091B"/>
    <w:rsid w:val="00256D6E"/>
    <w:rsid w:val="00263315"/>
    <w:rsid w:val="00263795"/>
    <w:rsid w:val="00264691"/>
    <w:rsid w:val="00266F5E"/>
    <w:rsid w:val="0027111B"/>
    <w:rsid w:val="002716D0"/>
    <w:rsid w:val="0027647B"/>
    <w:rsid w:val="0028049A"/>
    <w:rsid w:val="00281DB8"/>
    <w:rsid w:val="002844F4"/>
    <w:rsid w:val="00285C5C"/>
    <w:rsid w:val="00286DD7"/>
    <w:rsid w:val="00287FDF"/>
    <w:rsid w:val="00290A0F"/>
    <w:rsid w:val="0029158E"/>
    <w:rsid w:val="002948E0"/>
    <w:rsid w:val="002950A8"/>
    <w:rsid w:val="00295DE8"/>
    <w:rsid w:val="002A159A"/>
    <w:rsid w:val="002A2441"/>
    <w:rsid w:val="002A27EC"/>
    <w:rsid w:val="002A4037"/>
    <w:rsid w:val="002B0A8F"/>
    <w:rsid w:val="002B1CC2"/>
    <w:rsid w:val="002B1D32"/>
    <w:rsid w:val="002B4C3E"/>
    <w:rsid w:val="002C36B2"/>
    <w:rsid w:val="002C3E32"/>
    <w:rsid w:val="002C525B"/>
    <w:rsid w:val="002C7991"/>
    <w:rsid w:val="002D26A5"/>
    <w:rsid w:val="002D5806"/>
    <w:rsid w:val="002D5AB9"/>
    <w:rsid w:val="002D6943"/>
    <w:rsid w:val="002E284B"/>
    <w:rsid w:val="002E3845"/>
    <w:rsid w:val="002E394B"/>
    <w:rsid w:val="002E6A39"/>
    <w:rsid w:val="002E7647"/>
    <w:rsid w:val="002F16D5"/>
    <w:rsid w:val="002F3424"/>
    <w:rsid w:val="002F56DA"/>
    <w:rsid w:val="00303D3E"/>
    <w:rsid w:val="0030582E"/>
    <w:rsid w:val="00307CF1"/>
    <w:rsid w:val="00310B9C"/>
    <w:rsid w:val="00310FAF"/>
    <w:rsid w:val="0031394E"/>
    <w:rsid w:val="00316971"/>
    <w:rsid w:val="00317B67"/>
    <w:rsid w:val="00320FB7"/>
    <w:rsid w:val="00323B6A"/>
    <w:rsid w:val="00326FE4"/>
    <w:rsid w:val="00330660"/>
    <w:rsid w:val="00330AA6"/>
    <w:rsid w:val="0033420C"/>
    <w:rsid w:val="00336023"/>
    <w:rsid w:val="00337914"/>
    <w:rsid w:val="00340E69"/>
    <w:rsid w:val="003422CF"/>
    <w:rsid w:val="0034778C"/>
    <w:rsid w:val="0035098D"/>
    <w:rsid w:val="00351BE3"/>
    <w:rsid w:val="0036166E"/>
    <w:rsid w:val="003635E9"/>
    <w:rsid w:val="003643D7"/>
    <w:rsid w:val="00366E88"/>
    <w:rsid w:val="00371EE4"/>
    <w:rsid w:val="00375035"/>
    <w:rsid w:val="0037658B"/>
    <w:rsid w:val="00377A71"/>
    <w:rsid w:val="0038021E"/>
    <w:rsid w:val="00381F78"/>
    <w:rsid w:val="00382B5F"/>
    <w:rsid w:val="003831AF"/>
    <w:rsid w:val="003844B7"/>
    <w:rsid w:val="0038533F"/>
    <w:rsid w:val="00391AF9"/>
    <w:rsid w:val="00391C38"/>
    <w:rsid w:val="00391E19"/>
    <w:rsid w:val="00394F67"/>
    <w:rsid w:val="003956D8"/>
    <w:rsid w:val="0039742C"/>
    <w:rsid w:val="003A0478"/>
    <w:rsid w:val="003A0A4B"/>
    <w:rsid w:val="003A163B"/>
    <w:rsid w:val="003A170A"/>
    <w:rsid w:val="003A232A"/>
    <w:rsid w:val="003A2C41"/>
    <w:rsid w:val="003A6698"/>
    <w:rsid w:val="003A7DE0"/>
    <w:rsid w:val="003B15DB"/>
    <w:rsid w:val="003B37BD"/>
    <w:rsid w:val="003B3C49"/>
    <w:rsid w:val="003B61D6"/>
    <w:rsid w:val="003C0AF0"/>
    <w:rsid w:val="003C46FD"/>
    <w:rsid w:val="003D1910"/>
    <w:rsid w:val="003D2F21"/>
    <w:rsid w:val="003D3583"/>
    <w:rsid w:val="003D3BDC"/>
    <w:rsid w:val="003D47BE"/>
    <w:rsid w:val="003D6602"/>
    <w:rsid w:val="003D738C"/>
    <w:rsid w:val="003D73A9"/>
    <w:rsid w:val="003E128E"/>
    <w:rsid w:val="003E223B"/>
    <w:rsid w:val="003E24BD"/>
    <w:rsid w:val="003E4199"/>
    <w:rsid w:val="003E5704"/>
    <w:rsid w:val="003E5867"/>
    <w:rsid w:val="003F071E"/>
    <w:rsid w:val="003F4A3E"/>
    <w:rsid w:val="003F5701"/>
    <w:rsid w:val="00401B9B"/>
    <w:rsid w:val="00403112"/>
    <w:rsid w:val="0040523D"/>
    <w:rsid w:val="004052F2"/>
    <w:rsid w:val="0040552B"/>
    <w:rsid w:val="00405DB7"/>
    <w:rsid w:val="00406DAD"/>
    <w:rsid w:val="00406DEB"/>
    <w:rsid w:val="004107E2"/>
    <w:rsid w:val="00414984"/>
    <w:rsid w:val="00416150"/>
    <w:rsid w:val="00417320"/>
    <w:rsid w:val="004213B1"/>
    <w:rsid w:val="0042153A"/>
    <w:rsid w:val="00426432"/>
    <w:rsid w:val="00427C7A"/>
    <w:rsid w:val="00433398"/>
    <w:rsid w:val="004338E9"/>
    <w:rsid w:val="00434EF7"/>
    <w:rsid w:val="00437AE9"/>
    <w:rsid w:val="004411FE"/>
    <w:rsid w:val="00441ABC"/>
    <w:rsid w:val="00441B1E"/>
    <w:rsid w:val="004440F8"/>
    <w:rsid w:val="004444E7"/>
    <w:rsid w:val="00444D1E"/>
    <w:rsid w:val="00445CB9"/>
    <w:rsid w:val="00447F5D"/>
    <w:rsid w:val="00451061"/>
    <w:rsid w:val="0045247A"/>
    <w:rsid w:val="00452DE6"/>
    <w:rsid w:val="00453689"/>
    <w:rsid w:val="00453C4D"/>
    <w:rsid w:val="00454AE9"/>
    <w:rsid w:val="0046004E"/>
    <w:rsid w:val="00460ECF"/>
    <w:rsid w:val="004636E4"/>
    <w:rsid w:val="00464907"/>
    <w:rsid w:val="0047007C"/>
    <w:rsid w:val="00475CBF"/>
    <w:rsid w:val="004775A3"/>
    <w:rsid w:val="00480B8C"/>
    <w:rsid w:val="00481D18"/>
    <w:rsid w:val="00481F12"/>
    <w:rsid w:val="00482D2D"/>
    <w:rsid w:val="00484361"/>
    <w:rsid w:val="00485E80"/>
    <w:rsid w:val="004869B4"/>
    <w:rsid w:val="00490CD1"/>
    <w:rsid w:val="00491F4E"/>
    <w:rsid w:val="0049237D"/>
    <w:rsid w:val="004A192C"/>
    <w:rsid w:val="004A41D2"/>
    <w:rsid w:val="004A4ABC"/>
    <w:rsid w:val="004A5544"/>
    <w:rsid w:val="004A764F"/>
    <w:rsid w:val="004B2B4A"/>
    <w:rsid w:val="004B33D0"/>
    <w:rsid w:val="004B3B5F"/>
    <w:rsid w:val="004B4CE0"/>
    <w:rsid w:val="004B6CC7"/>
    <w:rsid w:val="004B73E3"/>
    <w:rsid w:val="004C2B51"/>
    <w:rsid w:val="004C4F60"/>
    <w:rsid w:val="004C6F63"/>
    <w:rsid w:val="004C735F"/>
    <w:rsid w:val="004D4A01"/>
    <w:rsid w:val="004D66AB"/>
    <w:rsid w:val="004E08B9"/>
    <w:rsid w:val="004E13DB"/>
    <w:rsid w:val="004E239A"/>
    <w:rsid w:val="004E4241"/>
    <w:rsid w:val="004E485A"/>
    <w:rsid w:val="004E6394"/>
    <w:rsid w:val="004F1ECC"/>
    <w:rsid w:val="004F5022"/>
    <w:rsid w:val="005022E5"/>
    <w:rsid w:val="005037ED"/>
    <w:rsid w:val="00504E29"/>
    <w:rsid w:val="00505F44"/>
    <w:rsid w:val="00506868"/>
    <w:rsid w:val="005129A2"/>
    <w:rsid w:val="00515E78"/>
    <w:rsid w:val="00516D98"/>
    <w:rsid w:val="00522FA1"/>
    <w:rsid w:val="00523C54"/>
    <w:rsid w:val="00523DF5"/>
    <w:rsid w:val="005305AA"/>
    <w:rsid w:val="00530935"/>
    <w:rsid w:val="00533F28"/>
    <w:rsid w:val="005341FD"/>
    <w:rsid w:val="00535124"/>
    <w:rsid w:val="005363BC"/>
    <w:rsid w:val="005370C1"/>
    <w:rsid w:val="00543975"/>
    <w:rsid w:val="005454CD"/>
    <w:rsid w:val="0055031E"/>
    <w:rsid w:val="00550E84"/>
    <w:rsid w:val="00551887"/>
    <w:rsid w:val="00554271"/>
    <w:rsid w:val="00554E62"/>
    <w:rsid w:val="005623E1"/>
    <w:rsid w:val="0056249B"/>
    <w:rsid w:val="00564637"/>
    <w:rsid w:val="0056492B"/>
    <w:rsid w:val="00565539"/>
    <w:rsid w:val="00567AA1"/>
    <w:rsid w:val="00567F68"/>
    <w:rsid w:val="0057030D"/>
    <w:rsid w:val="00583663"/>
    <w:rsid w:val="00585A84"/>
    <w:rsid w:val="00586692"/>
    <w:rsid w:val="00590042"/>
    <w:rsid w:val="00592B64"/>
    <w:rsid w:val="005A0D56"/>
    <w:rsid w:val="005A4AA7"/>
    <w:rsid w:val="005A573C"/>
    <w:rsid w:val="005A7943"/>
    <w:rsid w:val="005B0116"/>
    <w:rsid w:val="005B0648"/>
    <w:rsid w:val="005B2F8C"/>
    <w:rsid w:val="005B3F9C"/>
    <w:rsid w:val="005B6093"/>
    <w:rsid w:val="005B72D5"/>
    <w:rsid w:val="005B73DF"/>
    <w:rsid w:val="005C042F"/>
    <w:rsid w:val="005C1026"/>
    <w:rsid w:val="005C327A"/>
    <w:rsid w:val="005C38BD"/>
    <w:rsid w:val="005C3B49"/>
    <w:rsid w:val="005C5E74"/>
    <w:rsid w:val="005C73B7"/>
    <w:rsid w:val="005D1338"/>
    <w:rsid w:val="005D3667"/>
    <w:rsid w:val="005D3DB4"/>
    <w:rsid w:val="005D51A4"/>
    <w:rsid w:val="005E0788"/>
    <w:rsid w:val="005E0E16"/>
    <w:rsid w:val="005E6C32"/>
    <w:rsid w:val="005F0774"/>
    <w:rsid w:val="005F1378"/>
    <w:rsid w:val="005F27D0"/>
    <w:rsid w:val="0060144F"/>
    <w:rsid w:val="006014C4"/>
    <w:rsid w:val="00604BB2"/>
    <w:rsid w:val="006116CA"/>
    <w:rsid w:val="006157E2"/>
    <w:rsid w:val="0063299B"/>
    <w:rsid w:val="00636471"/>
    <w:rsid w:val="00640E52"/>
    <w:rsid w:val="00642B02"/>
    <w:rsid w:val="00642E70"/>
    <w:rsid w:val="006438C7"/>
    <w:rsid w:val="00643D3B"/>
    <w:rsid w:val="0064464B"/>
    <w:rsid w:val="00645E92"/>
    <w:rsid w:val="00646C5E"/>
    <w:rsid w:val="0065318E"/>
    <w:rsid w:val="00653FE8"/>
    <w:rsid w:val="006548D2"/>
    <w:rsid w:val="00655DA4"/>
    <w:rsid w:val="00657631"/>
    <w:rsid w:val="006627FA"/>
    <w:rsid w:val="00663EEC"/>
    <w:rsid w:val="006666B0"/>
    <w:rsid w:val="0066736F"/>
    <w:rsid w:val="0066740C"/>
    <w:rsid w:val="0067088A"/>
    <w:rsid w:val="00671473"/>
    <w:rsid w:val="00671E06"/>
    <w:rsid w:val="00673768"/>
    <w:rsid w:val="00674006"/>
    <w:rsid w:val="006750CB"/>
    <w:rsid w:val="0067566C"/>
    <w:rsid w:val="0067582D"/>
    <w:rsid w:val="00676862"/>
    <w:rsid w:val="006777FE"/>
    <w:rsid w:val="00677DBE"/>
    <w:rsid w:val="00680C29"/>
    <w:rsid w:val="0068410F"/>
    <w:rsid w:val="00684434"/>
    <w:rsid w:val="006935F4"/>
    <w:rsid w:val="006937C5"/>
    <w:rsid w:val="00693FE6"/>
    <w:rsid w:val="00694D76"/>
    <w:rsid w:val="006A1895"/>
    <w:rsid w:val="006A3E93"/>
    <w:rsid w:val="006A5196"/>
    <w:rsid w:val="006B070D"/>
    <w:rsid w:val="006B1217"/>
    <w:rsid w:val="006B1724"/>
    <w:rsid w:val="006B46C0"/>
    <w:rsid w:val="006B4D72"/>
    <w:rsid w:val="006B6DDE"/>
    <w:rsid w:val="006B72F0"/>
    <w:rsid w:val="006C623E"/>
    <w:rsid w:val="006D1D87"/>
    <w:rsid w:val="006D2C25"/>
    <w:rsid w:val="006D539F"/>
    <w:rsid w:val="006D70E2"/>
    <w:rsid w:val="006D7C96"/>
    <w:rsid w:val="006E01C5"/>
    <w:rsid w:val="006E1DA2"/>
    <w:rsid w:val="006E34A0"/>
    <w:rsid w:val="006E3A67"/>
    <w:rsid w:val="006E450D"/>
    <w:rsid w:val="006F34D5"/>
    <w:rsid w:val="006F39D3"/>
    <w:rsid w:val="006F65A1"/>
    <w:rsid w:val="006F661B"/>
    <w:rsid w:val="00702939"/>
    <w:rsid w:val="00702DB1"/>
    <w:rsid w:val="0070422F"/>
    <w:rsid w:val="007126DC"/>
    <w:rsid w:val="00713361"/>
    <w:rsid w:val="0071558D"/>
    <w:rsid w:val="00715AD9"/>
    <w:rsid w:val="0071731D"/>
    <w:rsid w:val="007236F3"/>
    <w:rsid w:val="00724591"/>
    <w:rsid w:val="00725269"/>
    <w:rsid w:val="00726659"/>
    <w:rsid w:val="00726B34"/>
    <w:rsid w:val="007313F8"/>
    <w:rsid w:val="00731ED0"/>
    <w:rsid w:val="00732323"/>
    <w:rsid w:val="0073327D"/>
    <w:rsid w:val="00733519"/>
    <w:rsid w:val="0073607E"/>
    <w:rsid w:val="007370AB"/>
    <w:rsid w:val="00741915"/>
    <w:rsid w:val="00743991"/>
    <w:rsid w:val="00751835"/>
    <w:rsid w:val="00751A80"/>
    <w:rsid w:val="00752499"/>
    <w:rsid w:val="00753EDE"/>
    <w:rsid w:val="00755AC2"/>
    <w:rsid w:val="00756502"/>
    <w:rsid w:val="007613BE"/>
    <w:rsid w:val="00761C3D"/>
    <w:rsid w:val="007665DE"/>
    <w:rsid w:val="00767858"/>
    <w:rsid w:val="00767BE0"/>
    <w:rsid w:val="0077041E"/>
    <w:rsid w:val="0077093A"/>
    <w:rsid w:val="00776FE3"/>
    <w:rsid w:val="00781013"/>
    <w:rsid w:val="0078329D"/>
    <w:rsid w:val="00783FF8"/>
    <w:rsid w:val="00785505"/>
    <w:rsid w:val="0079096E"/>
    <w:rsid w:val="00791F2E"/>
    <w:rsid w:val="00795F91"/>
    <w:rsid w:val="007A121E"/>
    <w:rsid w:val="007A1F9C"/>
    <w:rsid w:val="007A49A7"/>
    <w:rsid w:val="007A6B40"/>
    <w:rsid w:val="007B1099"/>
    <w:rsid w:val="007B1762"/>
    <w:rsid w:val="007B310C"/>
    <w:rsid w:val="007B7577"/>
    <w:rsid w:val="007B792A"/>
    <w:rsid w:val="007C02F0"/>
    <w:rsid w:val="007C1DAE"/>
    <w:rsid w:val="007C261B"/>
    <w:rsid w:val="007C29C4"/>
    <w:rsid w:val="007C558B"/>
    <w:rsid w:val="007C5E71"/>
    <w:rsid w:val="007C6277"/>
    <w:rsid w:val="007D412E"/>
    <w:rsid w:val="007D58BB"/>
    <w:rsid w:val="007D7CB9"/>
    <w:rsid w:val="007E5F92"/>
    <w:rsid w:val="007F1B36"/>
    <w:rsid w:val="007F3964"/>
    <w:rsid w:val="007F3ECA"/>
    <w:rsid w:val="007F4258"/>
    <w:rsid w:val="007F4C0C"/>
    <w:rsid w:val="007F5201"/>
    <w:rsid w:val="0080107D"/>
    <w:rsid w:val="008066AD"/>
    <w:rsid w:val="00806A60"/>
    <w:rsid w:val="00825A3B"/>
    <w:rsid w:val="00826758"/>
    <w:rsid w:val="0083313D"/>
    <w:rsid w:val="0083563C"/>
    <w:rsid w:val="0084197B"/>
    <w:rsid w:val="0084688A"/>
    <w:rsid w:val="00847F05"/>
    <w:rsid w:val="0085183C"/>
    <w:rsid w:val="0085626E"/>
    <w:rsid w:val="0086127C"/>
    <w:rsid w:val="008673D5"/>
    <w:rsid w:val="0087234D"/>
    <w:rsid w:val="00880EC2"/>
    <w:rsid w:val="00882E33"/>
    <w:rsid w:val="0088486C"/>
    <w:rsid w:val="0088628E"/>
    <w:rsid w:val="0089338C"/>
    <w:rsid w:val="00895051"/>
    <w:rsid w:val="0089596E"/>
    <w:rsid w:val="00895E97"/>
    <w:rsid w:val="008A04D4"/>
    <w:rsid w:val="008A0BDD"/>
    <w:rsid w:val="008A2D19"/>
    <w:rsid w:val="008A45AD"/>
    <w:rsid w:val="008A49AB"/>
    <w:rsid w:val="008A4DF2"/>
    <w:rsid w:val="008A7AF4"/>
    <w:rsid w:val="008B423F"/>
    <w:rsid w:val="008B4324"/>
    <w:rsid w:val="008B51CE"/>
    <w:rsid w:val="008B7F9E"/>
    <w:rsid w:val="008C0DC6"/>
    <w:rsid w:val="008C0F72"/>
    <w:rsid w:val="008C15F4"/>
    <w:rsid w:val="008C2F58"/>
    <w:rsid w:val="008C5494"/>
    <w:rsid w:val="008C7F7F"/>
    <w:rsid w:val="008D0533"/>
    <w:rsid w:val="008D3F18"/>
    <w:rsid w:val="008D5C23"/>
    <w:rsid w:val="008E454F"/>
    <w:rsid w:val="008E5512"/>
    <w:rsid w:val="008E588C"/>
    <w:rsid w:val="008E5FE1"/>
    <w:rsid w:val="008E7671"/>
    <w:rsid w:val="008E7DDA"/>
    <w:rsid w:val="008F26D8"/>
    <w:rsid w:val="008F3E83"/>
    <w:rsid w:val="008F4FAB"/>
    <w:rsid w:val="00900150"/>
    <w:rsid w:val="00900525"/>
    <w:rsid w:val="00903112"/>
    <w:rsid w:val="00904801"/>
    <w:rsid w:val="00904BEB"/>
    <w:rsid w:val="009050FC"/>
    <w:rsid w:val="0090632F"/>
    <w:rsid w:val="00916102"/>
    <w:rsid w:val="00916832"/>
    <w:rsid w:val="009179B8"/>
    <w:rsid w:val="009203B6"/>
    <w:rsid w:val="009224C1"/>
    <w:rsid w:val="0093086A"/>
    <w:rsid w:val="00933AE2"/>
    <w:rsid w:val="00933E55"/>
    <w:rsid w:val="009402E6"/>
    <w:rsid w:val="00941CEA"/>
    <w:rsid w:val="0094218A"/>
    <w:rsid w:val="00943F2C"/>
    <w:rsid w:val="0094660C"/>
    <w:rsid w:val="009476D8"/>
    <w:rsid w:val="00950BE2"/>
    <w:rsid w:val="00962887"/>
    <w:rsid w:val="00963F6B"/>
    <w:rsid w:val="0096657D"/>
    <w:rsid w:val="0097161E"/>
    <w:rsid w:val="009742E6"/>
    <w:rsid w:val="009743D2"/>
    <w:rsid w:val="00981101"/>
    <w:rsid w:val="009811AC"/>
    <w:rsid w:val="00981FDC"/>
    <w:rsid w:val="00983C2F"/>
    <w:rsid w:val="0098533B"/>
    <w:rsid w:val="00985CA9"/>
    <w:rsid w:val="00991D00"/>
    <w:rsid w:val="00993244"/>
    <w:rsid w:val="00993C65"/>
    <w:rsid w:val="00994615"/>
    <w:rsid w:val="00994A20"/>
    <w:rsid w:val="00997658"/>
    <w:rsid w:val="00997F0F"/>
    <w:rsid w:val="009B183A"/>
    <w:rsid w:val="009B2CF7"/>
    <w:rsid w:val="009B31F6"/>
    <w:rsid w:val="009B55BC"/>
    <w:rsid w:val="009B6478"/>
    <w:rsid w:val="009B6B6F"/>
    <w:rsid w:val="009C1BE0"/>
    <w:rsid w:val="009C56DA"/>
    <w:rsid w:val="009C60D5"/>
    <w:rsid w:val="009D03D4"/>
    <w:rsid w:val="009D2E92"/>
    <w:rsid w:val="009D482B"/>
    <w:rsid w:val="009D4988"/>
    <w:rsid w:val="009D5B5A"/>
    <w:rsid w:val="009E2753"/>
    <w:rsid w:val="009E3200"/>
    <w:rsid w:val="009E536F"/>
    <w:rsid w:val="009E5BE9"/>
    <w:rsid w:val="009E5D8E"/>
    <w:rsid w:val="009E5F46"/>
    <w:rsid w:val="009E6A00"/>
    <w:rsid w:val="009F1325"/>
    <w:rsid w:val="009F306C"/>
    <w:rsid w:val="009F7430"/>
    <w:rsid w:val="009F76F4"/>
    <w:rsid w:val="00A014AC"/>
    <w:rsid w:val="00A026A9"/>
    <w:rsid w:val="00A054FA"/>
    <w:rsid w:val="00A12532"/>
    <w:rsid w:val="00A14832"/>
    <w:rsid w:val="00A15392"/>
    <w:rsid w:val="00A16EBB"/>
    <w:rsid w:val="00A175FE"/>
    <w:rsid w:val="00A23195"/>
    <w:rsid w:val="00A23221"/>
    <w:rsid w:val="00A27054"/>
    <w:rsid w:val="00A3077C"/>
    <w:rsid w:val="00A330B6"/>
    <w:rsid w:val="00A378E0"/>
    <w:rsid w:val="00A4063C"/>
    <w:rsid w:val="00A407F6"/>
    <w:rsid w:val="00A44522"/>
    <w:rsid w:val="00A52265"/>
    <w:rsid w:val="00A5764E"/>
    <w:rsid w:val="00A64D7A"/>
    <w:rsid w:val="00A65330"/>
    <w:rsid w:val="00A66586"/>
    <w:rsid w:val="00A67039"/>
    <w:rsid w:val="00A67A13"/>
    <w:rsid w:val="00A70019"/>
    <w:rsid w:val="00A77FB5"/>
    <w:rsid w:val="00A902F0"/>
    <w:rsid w:val="00A9671C"/>
    <w:rsid w:val="00A97FC9"/>
    <w:rsid w:val="00AA0119"/>
    <w:rsid w:val="00AA3937"/>
    <w:rsid w:val="00AA3B3E"/>
    <w:rsid w:val="00AA5BC1"/>
    <w:rsid w:val="00AA65E9"/>
    <w:rsid w:val="00AB21BF"/>
    <w:rsid w:val="00AB24D2"/>
    <w:rsid w:val="00AB3737"/>
    <w:rsid w:val="00AB5BBC"/>
    <w:rsid w:val="00AB7EC9"/>
    <w:rsid w:val="00AC0CBB"/>
    <w:rsid w:val="00AC16DE"/>
    <w:rsid w:val="00AC3467"/>
    <w:rsid w:val="00AC3B1E"/>
    <w:rsid w:val="00AC535D"/>
    <w:rsid w:val="00AC59E6"/>
    <w:rsid w:val="00AC725B"/>
    <w:rsid w:val="00AD32CF"/>
    <w:rsid w:val="00AD33A7"/>
    <w:rsid w:val="00AD50E1"/>
    <w:rsid w:val="00AD61B7"/>
    <w:rsid w:val="00AD7DB2"/>
    <w:rsid w:val="00AE13EC"/>
    <w:rsid w:val="00AE2399"/>
    <w:rsid w:val="00AE4830"/>
    <w:rsid w:val="00AF0560"/>
    <w:rsid w:val="00AF16A1"/>
    <w:rsid w:val="00AF2AEB"/>
    <w:rsid w:val="00B00AFC"/>
    <w:rsid w:val="00B01E3D"/>
    <w:rsid w:val="00B06FFE"/>
    <w:rsid w:val="00B10480"/>
    <w:rsid w:val="00B1300C"/>
    <w:rsid w:val="00B13BC6"/>
    <w:rsid w:val="00B13DF8"/>
    <w:rsid w:val="00B1490A"/>
    <w:rsid w:val="00B20052"/>
    <w:rsid w:val="00B210D9"/>
    <w:rsid w:val="00B21259"/>
    <w:rsid w:val="00B21A47"/>
    <w:rsid w:val="00B21B82"/>
    <w:rsid w:val="00B2313C"/>
    <w:rsid w:val="00B2319E"/>
    <w:rsid w:val="00B331A3"/>
    <w:rsid w:val="00B362C4"/>
    <w:rsid w:val="00B37E4A"/>
    <w:rsid w:val="00B4077F"/>
    <w:rsid w:val="00B40A78"/>
    <w:rsid w:val="00B417A5"/>
    <w:rsid w:val="00B4252B"/>
    <w:rsid w:val="00B425C8"/>
    <w:rsid w:val="00B4353D"/>
    <w:rsid w:val="00B43B87"/>
    <w:rsid w:val="00B53A09"/>
    <w:rsid w:val="00B5507C"/>
    <w:rsid w:val="00B60681"/>
    <w:rsid w:val="00B60F09"/>
    <w:rsid w:val="00B63961"/>
    <w:rsid w:val="00B710A2"/>
    <w:rsid w:val="00B71CCD"/>
    <w:rsid w:val="00B7277F"/>
    <w:rsid w:val="00B728E8"/>
    <w:rsid w:val="00B80B65"/>
    <w:rsid w:val="00B81D46"/>
    <w:rsid w:val="00B81F62"/>
    <w:rsid w:val="00B84253"/>
    <w:rsid w:val="00B84DDB"/>
    <w:rsid w:val="00B869F4"/>
    <w:rsid w:val="00B87E6A"/>
    <w:rsid w:val="00B94D60"/>
    <w:rsid w:val="00BA3BB1"/>
    <w:rsid w:val="00BA4A59"/>
    <w:rsid w:val="00BA5222"/>
    <w:rsid w:val="00BA5506"/>
    <w:rsid w:val="00BB2CE8"/>
    <w:rsid w:val="00BB45B3"/>
    <w:rsid w:val="00BB502D"/>
    <w:rsid w:val="00BB6205"/>
    <w:rsid w:val="00BC1B71"/>
    <w:rsid w:val="00BC1D86"/>
    <w:rsid w:val="00BC2F64"/>
    <w:rsid w:val="00BC41F3"/>
    <w:rsid w:val="00BC668D"/>
    <w:rsid w:val="00BD4B24"/>
    <w:rsid w:val="00BD4BAC"/>
    <w:rsid w:val="00BE22FC"/>
    <w:rsid w:val="00BE2FC4"/>
    <w:rsid w:val="00BE3541"/>
    <w:rsid w:val="00BE762D"/>
    <w:rsid w:val="00BF0F59"/>
    <w:rsid w:val="00BF7978"/>
    <w:rsid w:val="00C01134"/>
    <w:rsid w:val="00C017C1"/>
    <w:rsid w:val="00C02739"/>
    <w:rsid w:val="00C0791B"/>
    <w:rsid w:val="00C07932"/>
    <w:rsid w:val="00C117C6"/>
    <w:rsid w:val="00C12564"/>
    <w:rsid w:val="00C1427D"/>
    <w:rsid w:val="00C16517"/>
    <w:rsid w:val="00C17C73"/>
    <w:rsid w:val="00C211B2"/>
    <w:rsid w:val="00C22679"/>
    <w:rsid w:val="00C24B0D"/>
    <w:rsid w:val="00C27686"/>
    <w:rsid w:val="00C278B9"/>
    <w:rsid w:val="00C27C0A"/>
    <w:rsid w:val="00C30E61"/>
    <w:rsid w:val="00C30F2B"/>
    <w:rsid w:val="00C31331"/>
    <w:rsid w:val="00C317DD"/>
    <w:rsid w:val="00C31AD7"/>
    <w:rsid w:val="00C32A3A"/>
    <w:rsid w:val="00C33B44"/>
    <w:rsid w:val="00C34B30"/>
    <w:rsid w:val="00C365CB"/>
    <w:rsid w:val="00C36AA6"/>
    <w:rsid w:val="00C4090C"/>
    <w:rsid w:val="00C43A0C"/>
    <w:rsid w:val="00C45C97"/>
    <w:rsid w:val="00C507A5"/>
    <w:rsid w:val="00C508E3"/>
    <w:rsid w:val="00C52854"/>
    <w:rsid w:val="00C52951"/>
    <w:rsid w:val="00C57C13"/>
    <w:rsid w:val="00C61376"/>
    <w:rsid w:val="00C6664D"/>
    <w:rsid w:val="00C71683"/>
    <w:rsid w:val="00C73116"/>
    <w:rsid w:val="00C77311"/>
    <w:rsid w:val="00C8055A"/>
    <w:rsid w:val="00C80BCF"/>
    <w:rsid w:val="00C81991"/>
    <w:rsid w:val="00C846B1"/>
    <w:rsid w:val="00C9257B"/>
    <w:rsid w:val="00C96070"/>
    <w:rsid w:val="00C97740"/>
    <w:rsid w:val="00CA1AF1"/>
    <w:rsid w:val="00CA5092"/>
    <w:rsid w:val="00CA6F42"/>
    <w:rsid w:val="00CA7B4F"/>
    <w:rsid w:val="00CB0C4A"/>
    <w:rsid w:val="00CB2916"/>
    <w:rsid w:val="00CB4095"/>
    <w:rsid w:val="00CB55D2"/>
    <w:rsid w:val="00CB7580"/>
    <w:rsid w:val="00CC0E0E"/>
    <w:rsid w:val="00CC2B97"/>
    <w:rsid w:val="00CC3DDD"/>
    <w:rsid w:val="00CC4AB6"/>
    <w:rsid w:val="00CC5B11"/>
    <w:rsid w:val="00CD10A9"/>
    <w:rsid w:val="00CD28A6"/>
    <w:rsid w:val="00CD3035"/>
    <w:rsid w:val="00CD5ED8"/>
    <w:rsid w:val="00CD7C34"/>
    <w:rsid w:val="00CE0747"/>
    <w:rsid w:val="00CE0A5D"/>
    <w:rsid w:val="00CE2725"/>
    <w:rsid w:val="00CE6E01"/>
    <w:rsid w:val="00CE7522"/>
    <w:rsid w:val="00CE7F88"/>
    <w:rsid w:val="00CF55CA"/>
    <w:rsid w:val="00CF67F6"/>
    <w:rsid w:val="00CF6F91"/>
    <w:rsid w:val="00CF70A2"/>
    <w:rsid w:val="00D0382F"/>
    <w:rsid w:val="00D10A8A"/>
    <w:rsid w:val="00D10EB2"/>
    <w:rsid w:val="00D13BF8"/>
    <w:rsid w:val="00D1482F"/>
    <w:rsid w:val="00D14A1C"/>
    <w:rsid w:val="00D159A3"/>
    <w:rsid w:val="00D15FF9"/>
    <w:rsid w:val="00D164C9"/>
    <w:rsid w:val="00D16606"/>
    <w:rsid w:val="00D1780E"/>
    <w:rsid w:val="00D21F7F"/>
    <w:rsid w:val="00D2449F"/>
    <w:rsid w:val="00D25F68"/>
    <w:rsid w:val="00D33218"/>
    <w:rsid w:val="00D339F1"/>
    <w:rsid w:val="00D36B4B"/>
    <w:rsid w:val="00D37E85"/>
    <w:rsid w:val="00D40017"/>
    <w:rsid w:val="00D40A8A"/>
    <w:rsid w:val="00D41306"/>
    <w:rsid w:val="00D41C22"/>
    <w:rsid w:val="00D43272"/>
    <w:rsid w:val="00D4344D"/>
    <w:rsid w:val="00D46E5E"/>
    <w:rsid w:val="00D505C7"/>
    <w:rsid w:val="00D55CB3"/>
    <w:rsid w:val="00D56A34"/>
    <w:rsid w:val="00D64736"/>
    <w:rsid w:val="00D6538C"/>
    <w:rsid w:val="00D653D9"/>
    <w:rsid w:val="00D65E6A"/>
    <w:rsid w:val="00D66293"/>
    <w:rsid w:val="00D67231"/>
    <w:rsid w:val="00D676B2"/>
    <w:rsid w:val="00D73A69"/>
    <w:rsid w:val="00D742F4"/>
    <w:rsid w:val="00D743D6"/>
    <w:rsid w:val="00D74AB8"/>
    <w:rsid w:val="00D751A1"/>
    <w:rsid w:val="00D751F7"/>
    <w:rsid w:val="00D77627"/>
    <w:rsid w:val="00D77C71"/>
    <w:rsid w:val="00D825C0"/>
    <w:rsid w:val="00D86A93"/>
    <w:rsid w:val="00D91C23"/>
    <w:rsid w:val="00DA0850"/>
    <w:rsid w:val="00DA1525"/>
    <w:rsid w:val="00DA1F6F"/>
    <w:rsid w:val="00DA2E75"/>
    <w:rsid w:val="00DA33F3"/>
    <w:rsid w:val="00DA439E"/>
    <w:rsid w:val="00DA5015"/>
    <w:rsid w:val="00DB0462"/>
    <w:rsid w:val="00DB04D3"/>
    <w:rsid w:val="00DB052D"/>
    <w:rsid w:val="00DB2EF1"/>
    <w:rsid w:val="00DB4B8A"/>
    <w:rsid w:val="00DB5E82"/>
    <w:rsid w:val="00DC3F5C"/>
    <w:rsid w:val="00DC4A6A"/>
    <w:rsid w:val="00DC607C"/>
    <w:rsid w:val="00DD118B"/>
    <w:rsid w:val="00DD7946"/>
    <w:rsid w:val="00DE01CE"/>
    <w:rsid w:val="00DE661F"/>
    <w:rsid w:val="00DE7618"/>
    <w:rsid w:val="00DF0A36"/>
    <w:rsid w:val="00DF23BD"/>
    <w:rsid w:val="00DF6B5B"/>
    <w:rsid w:val="00DF71D1"/>
    <w:rsid w:val="00DF749D"/>
    <w:rsid w:val="00DF753E"/>
    <w:rsid w:val="00DF7CB2"/>
    <w:rsid w:val="00E06EE9"/>
    <w:rsid w:val="00E075A2"/>
    <w:rsid w:val="00E107BE"/>
    <w:rsid w:val="00E11260"/>
    <w:rsid w:val="00E13611"/>
    <w:rsid w:val="00E163B7"/>
    <w:rsid w:val="00E24AA9"/>
    <w:rsid w:val="00E26DC2"/>
    <w:rsid w:val="00E26F70"/>
    <w:rsid w:val="00E32AD0"/>
    <w:rsid w:val="00E335D0"/>
    <w:rsid w:val="00E36631"/>
    <w:rsid w:val="00E37499"/>
    <w:rsid w:val="00E4300B"/>
    <w:rsid w:val="00E51CA4"/>
    <w:rsid w:val="00E53EC3"/>
    <w:rsid w:val="00E5417D"/>
    <w:rsid w:val="00E5637A"/>
    <w:rsid w:val="00E5704E"/>
    <w:rsid w:val="00E60378"/>
    <w:rsid w:val="00E61069"/>
    <w:rsid w:val="00E619EF"/>
    <w:rsid w:val="00E61C9B"/>
    <w:rsid w:val="00E64221"/>
    <w:rsid w:val="00E650DF"/>
    <w:rsid w:val="00E65EC5"/>
    <w:rsid w:val="00E74511"/>
    <w:rsid w:val="00E75492"/>
    <w:rsid w:val="00E76C1A"/>
    <w:rsid w:val="00E77763"/>
    <w:rsid w:val="00E815E8"/>
    <w:rsid w:val="00E82353"/>
    <w:rsid w:val="00E84749"/>
    <w:rsid w:val="00E84AC8"/>
    <w:rsid w:val="00E863CD"/>
    <w:rsid w:val="00E931E5"/>
    <w:rsid w:val="00E93F1E"/>
    <w:rsid w:val="00E95692"/>
    <w:rsid w:val="00EA1690"/>
    <w:rsid w:val="00EA79AA"/>
    <w:rsid w:val="00EB524D"/>
    <w:rsid w:val="00EB621F"/>
    <w:rsid w:val="00EB6C3F"/>
    <w:rsid w:val="00EB74D6"/>
    <w:rsid w:val="00EB78E1"/>
    <w:rsid w:val="00EC0071"/>
    <w:rsid w:val="00EC09D4"/>
    <w:rsid w:val="00EC5759"/>
    <w:rsid w:val="00EC59EC"/>
    <w:rsid w:val="00EC6F38"/>
    <w:rsid w:val="00ED1F3A"/>
    <w:rsid w:val="00ED2BBF"/>
    <w:rsid w:val="00ED3D0F"/>
    <w:rsid w:val="00ED55BF"/>
    <w:rsid w:val="00ED6C12"/>
    <w:rsid w:val="00ED6F7C"/>
    <w:rsid w:val="00ED7CE4"/>
    <w:rsid w:val="00EE0F7A"/>
    <w:rsid w:val="00EE2CBA"/>
    <w:rsid w:val="00EE34A6"/>
    <w:rsid w:val="00EE410A"/>
    <w:rsid w:val="00EE7F1B"/>
    <w:rsid w:val="00EF1597"/>
    <w:rsid w:val="00EF60F0"/>
    <w:rsid w:val="00F008D0"/>
    <w:rsid w:val="00F017C9"/>
    <w:rsid w:val="00F03141"/>
    <w:rsid w:val="00F07C3F"/>
    <w:rsid w:val="00F152EC"/>
    <w:rsid w:val="00F162AC"/>
    <w:rsid w:val="00F22A3B"/>
    <w:rsid w:val="00F265CC"/>
    <w:rsid w:val="00F32A7E"/>
    <w:rsid w:val="00F33E72"/>
    <w:rsid w:val="00F34EA0"/>
    <w:rsid w:val="00F3575F"/>
    <w:rsid w:val="00F3652F"/>
    <w:rsid w:val="00F3738A"/>
    <w:rsid w:val="00F4035E"/>
    <w:rsid w:val="00F41216"/>
    <w:rsid w:val="00F46EBB"/>
    <w:rsid w:val="00F51BD9"/>
    <w:rsid w:val="00F52011"/>
    <w:rsid w:val="00F53117"/>
    <w:rsid w:val="00F532FF"/>
    <w:rsid w:val="00F5714D"/>
    <w:rsid w:val="00F57EFE"/>
    <w:rsid w:val="00F6106E"/>
    <w:rsid w:val="00F610DE"/>
    <w:rsid w:val="00F62181"/>
    <w:rsid w:val="00F62A3D"/>
    <w:rsid w:val="00F642C8"/>
    <w:rsid w:val="00F64697"/>
    <w:rsid w:val="00F67209"/>
    <w:rsid w:val="00F714FA"/>
    <w:rsid w:val="00F73E4C"/>
    <w:rsid w:val="00F74A1B"/>
    <w:rsid w:val="00F83DE4"/>
    <w:rsid w:val="00F869D0"/>
    <w:rsid w:val="00F86C44"/>
    <w:rsid w:val="00F9013B"/>
    <w:rsid w:val="00F90601"/>
    <w:rsid w:val="00F91796"/>
    <w:rsid w:val="00F93EEA"/>
    <w:rsid w:val="00F95A8A"/>
    <w:rsid w:val="00F95CED"/>
    <w:rsid w:val="00F97FB4"/>
    <w:rsid w:val="00FA3985"/>
    <w:rsid w:val="00FA7F64"/>
    <w:rsid w:val="00FB1D70"/>
    <w:rsid w:val="00FB3CE7"/>
    <w:rsid w:val="00FB751C"/>
    <w:rsid w:val="00FB782A"/>
    <w:rsid w:val="00FC5F4A"/>
    <w:rsid w:val="00FD5F17"/>
    <w:rsid w:val="00FD6E2C"/>
    <w:rsid w:val="00FE1C53"/>
    <w:rsid w:val="00FE42AB"/>
    <w:rsid w:val="00FE474A"/>
    <w:rsid w:val="00FF0585"/>
    <w:rsid w:val="00FF19F7"/>
    <w:rsid w:val="00FF462E"/>
    <w:rsid w:val="00FF59CA"/>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42C7CF"/>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61069"/>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2399"/>
    <w:rPr>
      <w:rFonts w:ascii="Lucida Grande" w:eastAsiaTheme="minorHAnsi" w:hAnsi="Lucida Grande" w:cs="Lucida Grande"/>
      <w:sz w:val="18"/>
      <w:szCs w:val="18"/>
      <w:lang w:val="en-GB"/>
    </w:rPr>
  </w:style>
  <w:style w:type="character" w:customStyle="1" w:styleId="BalloonTextChar">
    <w:name w:val="Balloon Text Char"/>
    <w:basedOn w:val="DefaultParagraphFont"/>
    <w:link w:val="BalloonText"/>
    <w:uiPriority w:val="99"/>
    <w:semiHidden/>
    <w:rsid w:val="00AE2399"/>
    <w:rPr>
      <w:rFonts w:ascii="Lucida Grande" w:eastAsiaTheme="minorHAnsi" w:hAnsi="Lucida Grande" w:cs="Lucida Grande"/>
      <w:sz w:val="18"/>
      <w:szCs w:val="18"/>
      <w:lang w:val="en-GB"/>
    </w:rPr>
  </w:style>
  <w:style w:type="character" w:styleId="Hyperlink">
    <w:name w:val="Hyperlink"/>
    <w:basedOn w:val="DefaultParagraphFont"/>
    <w:uiPriority w:val="99"/>
    <w:unhideWhenUsed/>
    <w:rsid w:val="00CD28A6"/>
    <w:rPr>
      <w:color w:val="0000FF" w:themeColor="hyperlink"/>
      <w:u w:val="single"/>
    </w:rPr>
  </w:style>
  <w:style w:type="character" w:styleId="CommentReference">
    <w:name w:val="annotation reference"/>
    <w:basedOn w:val="DefaultParagraphFont"/>
    <w:uiPriority w:val="99"/>
    <w:semiHidden/>
    <w:unhideWhenUsed/>
    <w:rsid w:val="0085183C"/>
    <w:rPr>
      <w:sz w:val="16"/>
      <w:szCs w:val="16"/>
    </w:rPr>
  </w:style>
  <w:style w:type="paragraph" w:styleId="CommentText">
    <w:name w:val="annotation text"/>
    <w:basedOn w:val="Normal"/>
    <w:link w:val="CommentTextChar"/>
    <w:uiPriority w:val="99"/>
    <w:semiHidden/>
    <w:unhideWhenUsed/>
    <w:rsid w:val="0085183C"/>
    <w:pPr>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semiHidden/>
    <w:rsid w:val="0085183C"/>
    <w:rPr>
      <w:rFonts w:eastAsiaTheme="minorHAnsi"/>
      <w:sz w:val="20"/>
      <w:szCs w:val="20"/>
      <w:lang w:val="en-GB"/>
    </w:rPr>
  </w:style>
  <w:style w:type="paragraph" w:styleId="CommentSubject">
    <w:name w:val="annotation subject"/>
    <w:basedOn w:val="CommentText"/>
    <w:next w:val="CommentText"/>
    <w:link w:val="CommentSubjectChar"/>
    <w:uiPriority w:val="99"/>
    <w:semiHidden/>
    <w:unhideWhenUsed/>
    <w:rsid w:val="0085183C"/>
    <w:rPr>
      <w:b/>
      <w:bCs/>
    </w:rPr>
  </w:style>
  <w:style w:type="character" w:customStyle="1" w:styleId="CommentSubjectChar">
    <w:name w:val="Comment Subject Char"/>
    <w:basedOn w:val="CommentTextChar"/>
    <w:link w:val="CommentSubject"/>
    <w:uiPriority w:val="99"/>
    <w:semiHidden/>
    <w:rsid w:val="0085183C"/>
    <w:rPr>
      <w:rFonts w:eastAsiaTheme="minorHAnsi"/>
      <w:b/>
      <w:bCs/>
      <w:sz w:val="20"/>
      <w:szCs w:val="20"/>
      <w:lang w:val="en-GB"/>
    </w:rPr>
  </w:style>
  <w:style w:type="paragraph" w:styleId="Footer">
    <w:name w:val="footer"/>
    <w:basedOn w:val="Normal"/>
    <w:link w:val="FooterChar"/>
    <w:uiPriority w:val="99"/>
    <w:unhideWhenUsed/>
    <w:rsid w:val="00B2313C"/>
    <w:pPr>
      <w:tabs>
        <w:tab w:val="center" w:pos="4320"/>
        <w:tab w:val="right" w:pos="8640"/>
      </w:tabs>
    </w:pPr>
    <w:rPr>
      <w:rFonts w:asciiTheme="minorHAnsi" w:eastAsiaTheme="minorHAnsi" w:hAnsiTheme="minorHAnsi" w:cstheme="minorBidi"/>
      <w:sz w:val="22"/>
      <w:szCs w:val="22"/>
      <w:lang w:val="en-GB"/>
    </w:rPr>
  </w:style>
  <w:style w:type="character" w:customStyle="1" w:styleId="FooterChar">
    <w:name w:val="Footer Char"/>
    <w:basedOn w:val="DefaultParagraphFont"/>
    <w:link w:val="Footer"/>
    <w:uiPriority w:val="99"/>
    <w:rsid w:val="00B2313C"/>
    <w:rPr>
      <w:rFonts w:eastAsiaTheme="minorHAnsi"/>
      <w:sz w:val="22"/>
      <w:szCs w:val="22"/>
      <w:lang w:val="en-GB"/>
    </w:rPr>
  </w:style>
  <w:style w:type="character" w:styleId="PageNumber">
    <w:name w:val="page number"/>
    <w:basedOn w:val="DefaultParagraphFont"/>
    <w:uiPriority w:val="99"/>
    <w:semiHidden/>
    <w:unhideWhenUsed/>
    <w:rsid w:val="00B2313C"/>
  </w:style>
  <w:style w:type="paragraph" w:customStyle="1" w:styleId="EndNoteBibliographyTitle">
    <w:name w:val="EndNote Bibliography Title"/>
    <w:basedOn w:val="Normal"/>
    <w:link w:val="EndNoteBibliographyTitleChar"/>
    <w:rsid w:val="00D4344D"/>
    <w:pPr>
      <w:spacing w:line="259" w:lineRule="auto"/>
      <w:jc w:val="center"/>
    </w:pPr>
    <w:rPr>
      <w:rFonts w:ascii="Garamond" w:eastAsiaTheme="minorHAnsi" w:hAnsi="Garamond" w:cstheme="minorBidi"/>
      <w:noProof/>
      <w:szCs w:val="22"/>
    </w:rPr>
  </w:style>
  <w:style w:type="character" w:customStyle="1" w:styleId="EndNoteBibliographyTitleChar">
    <w:name w:val="EndNote Bibliography Title Char"/>
    <w:basedOn w:val="DefaultParagraphFont"/>
    <w:link w:val="EndNoteBibliographyTitle"/>
    <w:rsid w:val="00D4344D"/>
    <w:rPr>
      <w:rFonts w:ascii="Garamond" w:eastAsiaTheme="minorHAnsi" w:hAnsi="Garamond"/>
      <w:noProof/>
      <w:szCs w:val="22"/>
    </w:rPr>
  </w:style>
  <w:style w:type="paragraph" w:customStyle="1" w:styleId="EndNoteBibliography">
    <w:name w:val="EndNote Bibliography"/>
    <w:basedOn w:val="Normal"/>
    <w:link w:val="EndNoteBibliographyChar"/>
    <w:rsid w:val="00D4344D"/>
    <w:pPr>
      <w:spacing w:after="160"/>
    </w:pPr>
    <w:rPr>
      <w:rFonts w:ascii="Garamond" w:eastAsiaTheme="minorHAnsi" w:hAnsi="Garamond" w:cstheme="minorBidi"/>
      <w:noProof/>
      <w:szCs w:val="22"/>
    </w:rPr>
  </w:style>
  <w:style w:type="character" w:customStyle="1" w:styleId="EndNoteBibliographyChar">
    <w:name w:val="EndNote Bibliography Char"/>
    <w:basedOn w:val="DefaultParagraphFont"/>
    <w:link w:val="EndNoteBibliography"/>
    <w:rsid w:val="00D4344D"/>
    <w:rPr>
      <w:rFonts w:ascii="Garamond" w:eastAsiaTheme="minorHAnsi" w:hAnsi="Garamond"/>
      <w:noProof/>
      <w:szCs w:val="22"/>
    </w:rPr>
  </w:style>
  <w:style w:type="character" w:customStyle="1" w:styleId="UnresolvedMention1">
    <w:name w:val="Unresolved Mention1"/>
    <w:basedOn w:val="DefaultParagraphFont"/>
    <w:uiPriority w:val="99"/>
    <w:semiHidden/>
    <w:unhideWhenUsed/>
    <w:rsid w:val="00D4344D"/>
    <w:rPr>
      <w:color w:val="808080"/>
      <w:shd w:val="clear" w:color="auto" w:fill="E6E6E6"/>
    </w:rPr>
  </w:style>
  <w:style w:type="paragraph" w:styleId="ListParagraph">
    <w:name w:val="List Paragraph"/>
    <w:basedOn w:val="Normal"/>
    <w:uiPriority w:val="34"/>
    <w:qFormat/>
    <w:rsid w:val="00A16EBB"/>
    <w:pPr>
      <w:spacing w:after="160" w:line="259" w:lineRule="auto"/>
      <w:ind w:left="720"/>
      <w:contextualSpacing/>
    </w:pPr>
    <w:rPr>
      <w:rFonts w:asciiTheme="minorHAnsi" w:eastAsiaTheme="minorHAnsi" w:hAnsiTheme="minorHAnsi" w:cstheme="minorBidi"/>
      <w:sz w:val="22"/>
      <w:szCs w:val="22"/>
      <w:lang w:val="en-GB"/>
    </w:rPr>
  </w:style>
  <w:style w:type="character" w:customStyle="1" w:styleId="apple-converted-space">
    <w:name w:val="apple-converted-space"/>
    <w:basedOn w:val="DefaultParagraphFont"/>
    <w:rsid w:val="00F3738A"/>
  </w:style>
  <w:style w:type="character" w:customStyle="1" w:styleId="citationref">
    <w:name w:val="citationref"/>
    <w:basedOn w:val="DefaultParagraphFont"/>
    <w:rsid w:val="00F3738A"/>
  </w:style>
  <w:style w:type="table" w:styleId="TableGrid">
    <w:name w:val="Table Grid"/>
    <w:basedOn w:val="TableNormal"/>
    <w:uiPriority w:val="39"/>
    <w:rsid w:val="009811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C507A5"/>
    <w:rPr>
      <w:color w:val="800080" w:themeColor="followedHyperlink"/>
      <w:u w:val="single"/>
    </w:rPr>
  </w:style>
  <w:style w:type="character" w:styleId="PlaceholderText">
    <w:name w:val="Placeholder Text"/>
    <w:basedOn w:val="DefaultParagraphFont"/>
    <w:uiPriority w:val="99"/>
    <w:semiHidden/>
    <w:rsid w:val="00286DD7"/>
    <w:rPr>
      <w:color w:val="808080"/>
    </w:rPr>
  </w:style>
  <w:style w:type="character" w:customStyle="1" w:styleId="UnresolvedMention2">
    <w:name w:val="Unresolved Mention2"/>
    <w:basedOn w:val="DefaultParagraphFont"/>
    <w:uiPriority w:val="99"/>
    <w:rsid w:val="00997F0F"/>
    <w:rPr>
      <w:color w:val="808080"/>
      <w:shd w:val="clear" w:color="auto" w:fill="E6E6E6"/>
    </w:rPr>
  </w:style>
  <w:style w:type="paragraph" w:styleId="NormalWeb">
    <w:name w:val="Normal (Web)"/>
    <w:basedOn w:val="Normal"/>
    <w:uiPriority w:val="99"/>
    <w:semiHidden/>
    <w:unhideWhenUsed/>
    <w:rsid w:val="00C278B9"/>
    <w:pPr>
      <w:spacing w:before="100" w:beforeAutospacing="1" w:after="100" w:afterAutospacing="1"/>
    </w:pPr>
  </w:style>
  <w:style w:type="character" w:customStyle="1" w:styleId="UnresolvedMention3">
    <w:name w:val="Unresolved Mention3"/>
    <w:basedOn w:val="DefaultParagraphFont"/>
    <w:uiPriority w:val="99"/>
    <w:rsid w:val="005623E1"/>
    <w:rPr>
      <w:color w:val="808080"/>
      <w:shd w:val="clear" w:color="auto" w:fill="E6E6E6"/>
    </w:rPr>
  </w:style>
  <w:style w:type="character" w:customStyle="1" w:styleId="bold-text">
    <w:name w:val="bold-text"/>
    <w:basedOn w:val="DefaultParagraphFont"/>
    <w:rsid w:val="00D77C71"/>
  </w:style>
  <w:style w:type="character" w:styleId="Emphasis">
    <w:name w:val="Emphasis"/>
    <w:basedOn w:val="DefaultParagraphFont"/>
    <w:uiPriority w:val="20"/>
    <w:qFormat/>
    <w:rsid w:val="008F26D8"/>
    <w:rPr>
      <w:i/>
      <w:iCs/>
    </w:rPr>
  </w:style>
  <w:style w:type="paragraph" w:styleId="Header">
    <w:name w:val="header"/>
    <w:basedOn w:val="Normal"/>
    <w:link w:val="HeaderChar"/>
    <w:uiPriority w:val="99"/>
    <w:unhideWhenUsed/>
    <w:rsid w:val="00592B64"/>
    <w:pPr>
      <w:tabs>
        <w:tab w:val="center" w:pos="4252"/>
        <w:tab w:val="right" w:pos="8504"/>
      </w:tabs>
    </w:pPr>
  </w:style>
  <w:style w:type="character" w:customStyle="1" w:styleId="HeaderChar">
    <w:name w:val="Header Char"/>
    <w:basedOn w:val="DefaultParagraphFont"/>
    <w:link w:val="Header"/>
    <w:uiPriority w:val="99"/>
    <w:rsid w:val="00592B64"/>
    <w:rPr>
      <w:rFonts w:ascii="Times New Roman" w:hAnsi="Times New Roman" w:cs="Times New Roman"/>
    </w:rPr>
  </w:style>
  <w:style w:type="paragraph" w:styleId="Revision">
    <w:name w:val="Revision"/>
    <w:hidden/>
    <w:uiPriority w:val="99"/>
    <w:semiHidden/>
    <w:rsid w:val="003D2F21"/>
    <w:rPr>
      <w:rFonts w:ascii="Times New Roman" w:hAnsi="Times New Roman" w:cs="Times New Roman"/>
    </w:rPr>
  </w:style>
  <w:style w:type="paragraph" w:customStyle="1" w:styleId="p1">
    <w:name w:val="p1"/>
    <w:basedOn w:val="Normal"/>
    <w:rsid w:val="005B3F9C"/>
    <w:rPr>
      <w:sz w:val="18"/>
      <w:szCs w:val="18"/>
    </w:rPr>
  </w:style>
  <w:style w:type="paragraph" w:customStyle="1" w:styleId="p2">
    <w:name w:val="p2"/>
    <w:basedOn w:val="Normal"/>
    <w:rsid w:val="005B3F9C"/>
    <w:rPr>
      <w:sz w:val="17"/>
      <w:szCs w:val="17"/>
    </w:rPr>
  </w:style>
  <w:style w:type="character" w:customStyle="1" w:styleId="ej-keyword">
    <w:name w:val="ej-keyword"/>
    <w:basedOn w:val="DefaultParagraphFont"/>
    <w:rsid w:val="0018033F"/>
  </w:style>
  <w:style w:type="character" w:styleId="LineNumber">
    <w:name w:val="line number"/>
    <w:basedOn w:val="DefaultParagraphFont"/>
    <w:uiPriority w:val="99"/>
    <w:semiHidden/>
    <w:unhideWhenUsed/>
    <w:rsid w:val="002A2441"/>
  </w:style>
  <w:style w:type="character" w:customStyle="1" w:styleId="UnresolvedMention">
    <w:name w:val="Unresolved Mention"/>
    <w:basedOn w:val="DefaultParagraphFont"/>
    <w:uiPriority w:val="99"/>
    <w:rsid w:val="00CC2B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617146">
      <w:bodyDiv w:val="1"/>
      <w:marLeft w:val="0"/>
      <w:marRight w:val="0"/>
      <w:marTop w:val="0"/>
      <w:marBottom w:val="0"/>
      <w:divBdr>
        <w:top w:val="none" w:sz="0" w:space="0" w:color="auto"/>
        <w:left w:val="none" w:sz="0" w:space="0" w:color="auto"/>
        <w:bottom w:val="none" w:sz="0" w:space="0" w:color="auto"/>
        <w:right w:val="none" w:sz="0" w:space="0" w:color="auto"/>
      </w:divBdr>
    </w:div>
    <w:div w:id="131943521">
      <w:bodyDiv w:val="1"/>
      <w:marLeft w:val="0"/>
      <w:marRight w:val="0"/>
      <w:marTop w:val="0"/>
      <w:marBottom w:val="0"/>
      <w:divBdr>
        <w:top w:val="none" w:sz="0" w:space="0" w:color="auto"/>
        <w:left w:val="none" w:sz="0" w:space="0" w:color="auto"/>
        <w:bottom w:val="none" w:sz="0" w:space="0" w:color="auto"/>
        <w:right w:val="none" w:sz="0" w:space="0" w:color="auto"/>
      </w:divBdr>
    </w:div>
    <w:div w:id="163713449">
      <w:bodyDiv w:val="1"/>
      <w:marLeft w:val="0"/>
      <w:marRight w:val="0"/>
      <w:marTop w:val="0"/>
      <w:marBottom w:val="0"/>
      <w:divBdr>
        <w:top w:val="none" w:sz="0" w:space="0" w:color="auto"/>
        <w:left w:val="none" w:sz="0" w:space="0" w:color="auto"/>
        <w:bottom w:val="none" w:sz="0" w:space="0" w:color="auto"/>
        <w:right w:val="none" w:sz="0" w:space="0" w:color="auto"/>
      </w:divBdr>
    </w:div>
    <w:div w:id="169103522">
      <w:bodyDiv w:val="1"/>
      <w:marLeft w:val="0"/>
      <w:marRight w:val="0"/>
      <w:marTop w:val="0"/>
      <w:marBottom w:val="0"/>
      <w:divBdr>
        <w:top w:val="none" w:sz="0" w:space="0" w:color="auto"/>
        <w:left w:val="none" w:sz="0" w:space="0" w:color="auto"/>
        <w:bottom w:val="none" w:sz="0" w:space="0" w:color="auto"/>
        <w:right w:val="none" w:sz="0" w:space="0" w:color="auto"/>
      </w:divBdr>
    </w:div>
    <w:div w:id="241305905">
      <w:bodyDiv w:val="1"/>
      <w:marLeft w:val="0"/>
      <w:marRight w:val="0"/>
      <w:marTop w:val="0"/>
      <w:marBottom w:val="0"/>
      <w:divBdr>
        <w:top w:val="none" w:sz="0" w:space="0" w:color="auto"/>
        <w:left w:val="none" w:sz="0" w:space="0" w:color="auto"/>
        <w:bottom w:val="none" w:sz="0" w:space="0" w:color="auto"/>
        <w:right w:val="none" w:sz="0" w:space="0" w:color="auto"/>
      </w:divBdr>
      <w:divsChild>
        <w:div w:id="2091344553">
          <w:marLeft w:val="0"/>
          <w:marRight w:val="0"/>
          <w:marTop w:val="0"/>
          <w:marBottom w:val="0"/>
          <w:divBdr>
            <w:top w:val="none" w:sz="0" w:space="0" w:color="auto"/>
            <w:left w:val="none" w:sz="0" w:space="0" w:color="auto"/>
            <w:bottom w:val="none" w:sz="0" w:space="0" w:color="auto"/>
            <w:right w:val="none" w:sz="0" w:space="0" w:color="auto"/>
          </w:divBdr>
        </w:div>
      </w:divsChild>
    </w:div>
    <w:div w:id="298997231">
      <w:bodyDiv w:val="1"/>
      <w:marLeft w:val="0"/>
      <w:marRight w:val="0"/>
      <w:marTop w:val="0"/>
      <w:marBottom w:val="0"/>
      <w:divBdr>
        <w:top w:val="none" w:sz="0" w:space="0" w:color="auto"/>
        <w:left w:val="none" w:sz="0" w:space="0" w:color="auto"/>
        <w:bottom w:val="none" w:sz="0" w:space="0" w:color="auto"/>
        <w:right w:val="none" w:sz="0" w:space="0" w:color="auto"/>
      </w:divBdr>
    </w:div>
    <w:div w:id="300697500">
      <w:bodyDiv w:val="1"/>
      <w:marLeft w:val="0"/>
      <w:marRight w:val="0"/>
      <w:marTop w:val="0"/>
      <w:marBottom w:val="0"/>
      <w:divBdr>
        <w:top w:val="none" w:sz="0" w:space="0" w:color="auto"/>
        <w:left w:val="none" w:sz="0" w:space="0" w:color="auto"/>
        <w:bottom w:val="none" w:sz="0" w:space="0" w:color="auto"/>
        <w:right w:val="none" w:sz="0" w:space="0" w:color="auto"/>
      </w:divBdr>
    </w:div>
    <w:div w:id="309094897">
      <w:bodyDiv w:val="1"/>
      <w:marLeft w:val="0"/>
      <w:marRight w:val="0"/>
      <w:marTop w:val="0"/>
      <w:marBottom w:val="0"/>
      <w:divBdr>
        <w:top w:val="none" w:sz="0" w:space="0" w:color="auto"/>
        <w:left w:val="none" w:sz="0" w:space="0" w:color="auto"/>
        <w:bottom w:val="none" w:sz="0" w:space="0" w:color="auto"/>
        <w:right w:val="none" w:sz="0" w:space="0" w:color="auto"/>
      </w:divBdr>
    </w:div>
    <w:div w:id="316611828">
      <w:bodyDiv w:val="1"/>
      <w:marLeft w:val="0"/>
      <w:marRight w:val="0"/>
      <w:marTop w:val="0"/>
      <w:marBottom w:val="0"/>
      <w:divBdr>
        <w:top w:val="none" w:sz="0" w:space="0" w:color="auto"/>
        <w:left w:val="none" w:sz="0" w:space="0" w:color="auto"/>
        <w:bottom w:val="none" w:sz="0" w:space="0" w:color="auto"/>
        <w:right w:val="none" w:sz="0" w:space="0" w:color="auto"/>
      </w:divBdr>
    </w:div>
    <w:div w:id="357238530">
      <w:bodyDiv w:val="1"/>
      <w:marLeft w:val="0"/>
      <w:marRight w:val="0"/>
      <w:marTop w:val="0"/>
      <w:marBottom w:val="0"/>
      <w:divBdr>
        <w:top w:val="none" w:sz="0" w:space="0" w:color="auto"/>
        <w:left w:val="none" w:sz="0" w:space="0" w:color="auto"/>
        <w:bottom w:val="none" w:sz="0" w:space="0" w:color="auto"/>
        <w:right w:val="none" w:sz="0" w:space="0" w:color="auto"/>
      </w:divBdr>
    </w:div>
    <w:div w:id="365567116">
      <w:bodyDiv w:val="1"/>
      <w:marLeft w:val="0"/>
      <w:marRight w:val="0"/>
      <w:marTop w:val="0"/>
      <w:marBottom w:val="0"/>
      <w:divBdr>
        <w:top w:val="none" w:sz="0" w:space="0" w:color="auto"/>
        <w:left w:val="none" w:sz="0" w:space="0" w:color="auto"/>
        <w:bottom w:val="none" w:sz="0" w:space="0" w:color="auto"/>
        <w:right w:val="none" w:sz="0" w:space="0" w:color="auto"/>
      </w:divBdr>
    </w:div>
    <w:div w:id="385422078">
      <w:bodyDiv w:val="1"/>
      <w:marLeft w:val="0"/>
      <w:marRight w:val="0"/>
      <w:marTop w:val="0"/>
      <w:marBottom w:val="0"/>
      <w:divBdr>
        <w:top w:val="none" w:sz="0" w:space="0" w:color="auto"/>
        <w:left w:val="none" w:sz="0" w:space="0" w:color="auto"/>
        <w:bottom w:val="none" w:sz="0" w:space="0" w:color="auto"/>
        <w:right w:val="none" w:sz="0" w:space="0" w:color="auto"/>
      </w:divBdr>
    </w:div>
    <w:div w:id="388964445">
      <w:bodyDiv w:val="1"/>
      <w:marLeft w:val="0"/>
      <w:marRight w:val="0"/>
      <w:marTop w:val="0"/>
      <w:marBottom w:val="0"/>
      <w:divBdr>
        <w:top w:val="none" w:sz="0" w:space="0" w:color="auto"/>
        <w:left w:val="none" w:sz="0" w:space="0" w:color="auto"/>
        <w:bottom w:val="none" w:sz="0" w:space="0" w:color="auto"/>
        <w:right w:val="none" w:sz="0" w:space="0" w:color="auto"/>
      </w:divBdr>
    </w:div>
    <w:div w:id="390035999">
      <w:bodyDiv w:val="1"/>
      <w:marLeft w:val="0"/>
      <w:marRight w:val="0"/>
      <w:marTop w:val="0"/>
      <w:marBottom w:val="0"/>
      <w:divBdr>
        <w:top w:val="none" w:sz="0" w:space="0" w:color="auto"/>
        <w:left w:val="none" w:sz="0" w:space="0" w:color="auto"/>
        <w:bottom w:val="none" w:sz="0" w:space="0" w:color="auto"/>
        <w:right w:val="none" w:sz="0" w:space="0" w:color="auto"/>
      </w:divBdr>
    </w:div>
    <w:div w:id="404029606">
      <w:bodyDiv w:val="1"/>
      <w:marLeft w:val="0"/>
      <w:marRight w:val="0"/>
      <w:marTop w:val="0"/>
      <w:marBottom w:val="0"/>
      <w:divBdr>
        <w:top w:val="none" w:sz="0" w:space="0" w:color="auto"/>
        <w:left w:val="none" w:sz="0" w:space="0" w:color="auto"/>
        <w:bottom w:val="none" w:sz="0" w:space="0" w:color="auto"/>
        <w:right w:val="none" w:sz="0" w:space="0" w:color="auto"/>
      </w:divBdr>
    </w:div>
    <w:div w:id="419258481">
      <w:bodyDiv w:val="1"/>
      <w:marLeft w:val="0"/>
      <w:marRight w:val="0"/>
      <w:marTop w:val="0"/>
      <w:marBottom w:val="0"/>
      <w:divBdr>
        <w:top w:val="none" w:sz="0" w:space="0" w:color="auto"/>
        <w:left w:val="none" w:sz="0" w:space="0" w:color="auto"/>
        <w:bottom w:val="none" w:sz="0" w:space="0" w:color="auto"/>
        <w:right w:val="none" w:sz="0" w:space="0" w:color="auto"/>
      </w:divBdr>
    </w:div>
    <w:div w:id="449737820">
      <w:bodyDiv w:val="1"/>
      <w:marLeft w:val="0"/>
      <w:marRight w:val="0"/>
      <w:marTop w:val="0"/>
      <w:marBottom w:val="0"/>
      <w:divBdr>
        <w:top w:val="none" w:sz="0" w:space="0" w:color="auto"/>
        <w:left w:val="none" w:sz="0" w:space="0" w:color="auto"/>
        <w:bottom w:val="none" w:sz="0" w:space="0" w:color="auto"/>
        <w:right w:val="none" w:sz="0" w:space="0" w:color="auto"/>
      </w:divBdr>
    </w:div>
    <w:div w:id="513610466">
      <w:bodyDiv w:val="1"/>
      <w:marLeft w:val="0"/>
      <w:marRight w:val="0"/>
      <w:marTop w:val="0"/>
      <w:marBottom w:val="0"/>
      <w:divBdr>
        <w:top w:val="none" w:sz="0" w:space="0" w:color="auto"/>
        <w:left w:val="none" w:sz="0" w:space="0" w:color="auto"/>
        <w:bottom w:val="none" w:sz="0" w:space="0" w:color="auto"/>
        <w:right w:val="none" w:sz="0" w:space="0" w:color="auto"/>
      </w:divBdr>
    </w:div>
    <w:div w:id="531265939">
      <w:bodyDiv w:val="1"/>
      <w:marLeft w:val="0"/>
      <w:marRight w:val="0"/>
      <w:marTop w:val="0"/>
      <w:marBottom w:val="0"/>
      <w:divBdr>
        <w:top w:val="none" w:sz="0" w:space="0" w:color="auto"/>
        <w:left w:val="none" w:sz="0" w:space="0" w:color="auto"/>
        <w:bottom w:val="none" w:sz="0" w:space="0" w:color="auto"/>
        <w:right w:val="none" w:sz="0" w:space="0" w:color="auto"/>
      </w:divBdr>
    </w:div>
    <w:div w:id="567227876">
      <w:bodyDiv w:val="1"/>
      <w:marLeft w:val="0"/>
      <w:marRight w:val="0"/>
      <w:marTop w:val="0"/>
      <w:marBottom w:val="0"/>
      <w:divBdr>
        <w:top w:val="none" w:sz="0" w:space="0" w:color="auto"/>
        <w:left w:val="none" w:sz="0" w:space="0" w:color="auto"/>
        <w:bottom w:val="none" w:sz="0" w:space="0" w:color="auto"/>
        <w:right w:val="none" w:sz="0" w:space="0" w:color="auto"/>
      </w:divBdr>
    </w:div>
    <w:div w:id="581255766">
      <w:bodyDiv w:val="1"/>
      <w:marLeft w:val="0"/>
      <w:marRight w:val="0"/>
      <w:marTop w:val="0"/>
      <w:marBottom w:val="0"/>
      <w:divBdr>
        <w:top w:val="none" w:sz="0" w:space="0" w:color="auto"/>
        <w:left w:val="none" w:sz="0" w:space="0" w:color="auto"/>
        <w:bottom w:val="none" w:sz="0" w:space="0" w:color="auto"/>
        <w:right w:val="none" w:sz="0" w:space="0" w:color="auto"/>
      </w:divBdr>
    </w:div>
    <w:div w:id="597831757">
      <w:bodyDiv w:val="1"/>
      <w:marLeft w:val="0"/>
      <w:marRight w:val="0"/>
      <w:marTop w:val="0"/>
      <w:marBottom w:val="0"/>
      <w:divBdr>
        <w:top w:val="none" w:sz="0" w:space="0" w:color="auto"/>
        <w:left w:val="none" w:sz="0" w:space="0" w:color="auto"/>
        <w:bottom w:val="none" w:sz="0" w:space="0" w:color="auto"/>
        <w:right w:val="none" w:sz="0" w:space="0" w:color="auto"/>
      </w:divBdr>
    </w:div>
    <w:div w:id="689723089">
      <w:bodyDiv w:val="1"/>
      <w:marLeft w:val="0"/>
      <w:marRight w:val="0"/>
      <w:marTop w:val="0"/>
      <w:marBottom w:val="0"/>
      <w:divBdr>
        <w:top w:val="none" w:sz="0" w:space="0" w:color="auto"/>
        <w:left w:val="none" w:sz="0" w:space="0" w:color="auto"/>
        <w:bottom w:val="none" w:sz="0" w:space="0" w:color="auto"/>
        <w:right w:val="none" w:sz="0" w:space="0" w:color="auto"/>
      </w:divBdr>
    </w:div>
    <w:div w:id="732431066">
      <w:bodyDiv w:val="1"/>
      <w:marLeft w:val="0"/>
      <w:marRight w:val="0"/>
      <w:marTop w:val="0"/>
      <w:marBottom w:val="0"/>
      <w:divBdr>
        <w:top w:val="none" w:sz="0" w:space="0" w:color="auto"/>
        <w:left w:val="none" w:sz="0" w:space="0" w:color="auto"/>
        <w:bottom w:val="none" w:sz="0" w:space="0" w:color="auto"/>
        <w:right w:val="none" w:sz="0" w:space="0" w:color="auto"/>
      </w:divBdr>
    </w:div>
    <w:div w:id="746999686">
      <w:bodyDiv w:val="1"/>
      <w:marLeft w:val="0"/>
      <w:marRight w:val="0"/>
      <w:marTop w:val="0"/>
      <w:marBottom w:val="0"/>
      <w:divBdr>
        <w:top w:val="none" w:sz="0" w:space="0" w:color="auto"/>
        <w:left w:val="none" w:sz="0" w:space="0" w:color="auto"/>
        <w:bottom w:val="none" w:sz="0" w:space="0" w:color="auto"/>
        <w:right w:val="none" w:sz="0" w:space="0" w:color="auto"/>
      </w:divBdr>
    </w:div>
    <w:div w:id="755439329">
      <w:bodyDiv w:val="1"/>
      <w:marLeft w:val="0"/>
      <w:marRight w:val="0"/>
      <w:marTop w:val="0"/>
      <w:marBottom w:val="0"/>
      <w:divBdr>
        <w:top w:val="none" w:sz="0" w:space="0" w:color="auto"/>
        <w:left w:val="none" w:sz="0" w:space="0" w:color="auto"/>
        <w:bottom w:val="none" w:sz="0" w:space="0" w:color="auto"/>
        <w:right w:val="none" w:sz="0" w:space="0" w:color="auto"/>
      </w:divBdr>
    </w:div>
    <w:div w:id="836923609">
      <w:bodyDiv w:val="1"/>
      <w:marLeft w:val="0"/>
      <w:marRight w:val="0"/>
      <w:marTop w:val="0"/>
      <w:marBottom w:val="0"/>
      <w:divBdr>
        <w:top w:val="none" w:sz="0" w:space="0" w:color="auto"/>
        <w:left w:val="none" w:sz="0" w:space="0" w:color="auto"/>
        <w:bottom w:val="none" w:sz="0" w:space="0" w:color="auto"/>
        <w:right w:val="none" w:sz="0" w:space="0" w:color="auto"/>
      </w:divBdr>
    </w:div>
    <w:div w:id="867256306">
      <w:bodyDiv w:val="1"/>
      <w:marLeft w:val="0"/>
      <w:marRight w:val="0"/>
      <w:marTop w:val="0"/>
      <w:marBottom w:val="0"/>
      <w:divBdr>
        <w:top w:val="none" w:sz="0" w:space="0" w:color="auto"/>
        <w:left w:val="none" w:sz="0" w:space="0" w:color="auto"/>
        <w:bottom w:val="none" w:sz="0" w:space="0" w:color="auto"/>
        <w:right w:val="none" w:sz="0" w:space="0" w:color="auto"/>
      </w:divBdr>
    </w:div>
    <w:div w:id="887423149">
      <w:bodyDiv w:val="1"/>
      <w:marLeft w:val="0"/>
      <w:marRight w:val="0"/>
      <w:marTop w:val="0"/>
      <w:marBottom w:val="0"/>
      <w:divBdr>
        <w:top w:val="none" w:sz="0" w:space="0" w:color="auto"/>
        <w:left w:val="none" w:sz="0" w:space="0" w:color="auto"/>
        <w:bottom w:val="none" w:sz="0" w:space="0" w:color="auto"/>
        <w:right w:val="none" w:sz="0" w:space="0" w:color="auto"/>
      </w:divBdr>
    </w:div>
    <w:div w:id="913852844">
      <w:bodyDiv w:val="1"/>
      <w:marLeft w:val="0"/>
      <w:marRight w:val="0"/>
      <w:marTop w:val="0"/>
      <w:marBottom w:val="0"/>
      <w:divBdr>
        <w:top w:val="none" w:sz="0" w:space="0" w:color="auto"/>
        <w:left w:val="none" w:sz="0" w:space="0" w:color="auto"/>
        <w:bottom w:val="none" w:sz="0" w:space="0" w:color="auto"/>
        <w:right w:val="none" w:sz="0" w:space="0" w:color="auto"/>
      </w:divBdr>
    </w:div>
    <w:div w:id="931158529">
      <w:bodyDiv w:val="1"/>
      <w:marLeft w:val="0"/>
      <w:marRight w:val="0"/>
      <w:marTop w:val="0"/>
      <w:marBottom w:val="0"/>
      <w:divBdr>
        <w:top w:val="none" w:sz="0" w:space="0" w:color="auto"/>
        <w:left w:val="none" w:sz="0" w:space="0" w:color="auto"/>
        <w:bottom w:val="none" w:sz="0" w:space="0" w:color="auto"/>
        <w:right w:val="none" w:sz="0" w:space="0" w:color="auto"/>
      </w:divBdr>
    </w:div>
    <w:div w:id="1070886220">
      <w:bodyDiv w:val="1"/>
      <w:marLeft w:val="0"/>
      <w:marRight w:val="0"/>
      <w:marTop w:val="0"/>
      <w:marBottom w:val="0"/>
      <w:divBdr>
        <w:top w:val="none" w:sz="0" w:space="0" w:color="auto"/>
        <w:left w:val="none" w:sz="0" w:space="0" w:color="auto"/>
        <w:bottom w:val="none" w:sz="0" w:space="0" w:color="auto"/>
        <w:right w:val="none" w:sz="0" w:space="0" w:color="auto"/>
      </w:divBdr>
    </w:div>
    <w:div w:id="1082028200">
      <w:bodyDiv w:val="1"/>
      <w:marLeft w:val="0"/>
      <w:marRight w:val="0"/>
      <w:marTop w:val="0"/>
      <w:marBottom w:val="0"/>
      <w:divBdr>
        <w:top w:val="none" w:sz="0" w:space="0" w:color="auto"/>
        <w:left w:val="none" w:sz="0" w:space="0" w:color="auto"/>
        <w:bottom w:val="none" w:sz="0" w:space="0" w:color="auto"/>
        <w:right w:val="none" w:sz="0" w:space="0" w:color="auto"/>
      </w:divBdr>
    </w:div>
    <w:div w:id="1087308917">
      <w:bodyDiv w:val="1"/>
      <w:marLeft w:val="0"/>
      <w:marRight w:val="0"/>
      <w:marTop w:val="0"/>
      <w:marBottom w:val="0"/>
      <w:divBdr>
        <w:top w:val="none" w:sz="0" w:space="0" w:color="auto"/>
        <w:left w:val="none" w:sz="0" w:space="0" w:color="auto"/>
        <w:bottom w:val="none" w:sz="0" w:space="0" w:color="auto"/>
        <w:right w:val="none" w:sz="0" w:space="0" w:color="auto"/>
      </w:divBdr>
    </w:div>
    <w:div w:id="1173715986">
      <w:bodyDiv w:val="1"/>
      <w:marLeft w:val="0"/>
      <w:marRight w:val="0"/>
      <w:marTop w:val="0"/>
      <w:marBottom w:val="0"/>
      <w:divBdr>
        <w:top w:val="none" w:sz="0" w:space="0" w:color="auto"/>
        <w:left w:val="none" w:sz="0" w:space="0" w:color="auto"/>
        <w:bottom w:val="none" w:sz="0" w:space="0" w:color="auto"/>
        <w:right w:val="none" w:sz="0" w:space="0" w:color="auto"/>
      </w:divBdr>
    </w:div>
    <w:div w:id="1187720031">
      <w:bodyDiv w:val="1"/>
      <w:marLeft w:val="0"/>
      <w:marRight w:val="0"/>
      <w:marTop w:val="0"/>
      <w:marBottom w:val="0"/>
      <w:divBdr>
        <w:top w:val="none" w:sz="0" w:space="0" w:color="auto"/>
        <w:left w:val="none" w:sz="0" w:space="0" w:color="auto"/>
        <w:bottom w:val="none" w:sz="0" w:space="0" w:color="auto"/>
        <w:right w:val="none" w:sz="0" w:space="0" w:color="auto"/>
      </w:divBdr>
    </w:div>
    <w:div w:id="1209296074">
      <w:bodyDiv w:val="1"/>
      <w:marLeft w:val="0"/>
      <w:marRight w:val="0"/>
      <w:marTop w:val="0"/>
      <w:marBottom w:val="0"/>
      <w:divBdr>
        <w:top w:val="none" w:sz="0" w:space="0" w:color="auto"/>
        <w:left w:val="none" w:sz="0" w:space="0" w:color="auto"/>
        <w:bottom w:val="none" w:sz="0" w:space="0" w:color="auto"/>
        <w:right w:val="none" w:sz="0" w:space="0" w:color="auto"/>
      </w:divBdr>
    </w:div>
    <w:div w:id="1233781257">
      <w:bodyDiv w:val="1"/>
      <w:marLeft w:val="0"/>
      <w:marRight w:val="0"/>
      <w:marTop w:val="0"/>
      <w:marBottom w:val="0"/>
      <w:divBdr>
        <w:top w:val="none" w:sz="0" w:space="0" w:color="auto"/>
        <w:left w:val="none" w:sz="0" w:space="0" w:color="auto"/>
        <w:bottom w:val="none" w:sz="0" w:space="0" w:color="auto"/>
        <w:right w:val="none" w:sz="0" w:space="0" w:color="auto"/>
      </w:divBdr>
    </w:div>
    <w:div w:id="1236084540">
      <w:bodyDiv w:val="1"/>
      <w:marLeft w:val="0"/>
      <w:marRight w:val="0"/>
      <w:marTop w:val="0"/>
      <w:marBottom w:val="0"/>
      <w:divBdr>
        <w:top w:val="none" w:sz="0" w:space="0" w:color="auto"/>
        <w:left w:val="none" w:sz="0" w:space="0" w:color="auto"/>
        <w:bottom w:val="none" w:sz="0" w:space="0" w:color="auto"/>
        <w:right w:val="none" w:sz="0" w:space="0" w:color="auto"/>
      </w:divBdr>
    </w:div>
    <w:div w:id="1245529467">
      <w:bodyDiv w:val="1"/>
      <w:marLeft w:val="0"/>
      <w:marRight w:val="0"/>
      <w:marTop w:val="0"/>
      <w:marBottom w:val="0"/>
      <w:divBdr>
        <w:top w:val="none" w:sz="0" w:space="0" w:color="auto"/>
        <w:left w:val="none" w:sz="0" w:space="0" w:color="auto"/>
        <w:bottom w:val="none" w:sz="0" w:space="0" w:color="auto"/>
        <w:right w:val="none" w:sz="0" w:space="0" w:color="auto"/>
      </w:divBdr>
    </w:div>
    <w:div w:id="1285113389">
      <w:bodyDiv w:val="1"/>
      <w:marLeft w:val="0"/>
      <w:marRight w:val="0"/>
      <w:marTop w:val="0"/>
      <w:marBottom w:val="0"/>
      <w:divBdr>
        <w:top w:val="none" w:sz="0" w:space="0" w:color="auto"/>
        <w:left w:val="none" w:sz="0" w:space="0" w:color="auto"/>
        <w:bottom w:val="none" w:sz="0" w:space="0" w:color="auto"/>
        <w:right w:val="none" w:sz="0" w:space="0" w:color="auto"/>
      </w:divBdr>
    </w:div>
    <w:div w:id="1288316995">
      <w:bodyDiv w:val="1"/>
      <w:marLeft w:val="0"/>
      <w:marRight w:val="0"/>
      <w:marTop w:val="0"/>
      <w:marBottom w:val="0"/>
      <w:divBdr>
        <w:top w:val="none" w:sz="0" w:space="0" w:color="auto"/>
        <w:left w:val="none" w:sz="0" w:space="0" w:color="auto"/>
        <w:bottom w:val="none" w:sz="0" w:space="0" w:color="auto"/>
        <w:right w:val="none" w:sz="0" w:space="0" w:color="auto"/>
      </w:divBdr>
    </w:div>
    <w:div w:id="1363088750">
      <w:bodyDiv w:val="1"/>
      <w:marLeft w:val="0"/>
      <w:marRight w:val="0"/>
      <w:marTop w:val="0"/>
      <w:marBottom w:val="0"/>
      <w:divBdr>
        <w:top w:val="none" w:sz="0" w:space="0" w:color="auto"/>
        <w:left w:val="none" w:sz="0" w:space="0" w:color="auto"/>
        <w:bottom w:val="none" w:sz="0" w:space="0" w:color="auto"/>
        <w:right w:val="none" w:sz="0" w:space="0" w:color="auto"/>
      </w:divBdr>
    </w:div>
    <w:div w:id="1367482055">
      <w:bodyDiv w:val="1"/>
      <w:marLeft w:val="0"/>
      <w:marRight w:val="0"/>
      <w:marTop w:val="0"/>
      <w:marBottom w:val="0"/>
      <w:divBdr>
        <w:top w:val="none" w:sz="0" w:space="0" w:color="auto"/>
        <w:left w:val="none" w:sz="0" w:space="0" w:color="auto"/>
        <w:bottom w:val="none" w:sz="0" w:space="0" w:color="auto"/>
        <w:right w:val="none" w:sz="0" w:space="0" w:color="auto"/>
      </w:divBdr>
    </w:div>
    <w:div w:id="1372462354">
      <w:bodyDiv w:val="1"/>
      <w:marLeft w:val="0"/>
      <w:marRight w:val="0"/>
      <w:marTop w:val="0"/>
      <w:marBottom w:val="0"/>
      <w:divBdr>
        <w:top w:val="none" w:sz="0" w:space="0" w:color="auto"/>
        <w:left w:val="none" w:sz="0" w:space="0" w:color="auto"/>
        <w:bottom w:val="none" w:sz="0" w:space="0" w:color="auto"/>
        <w:right w:val="none" w:sz="0" w:space="0" w:color="auto"/>
      </w:divBdr>
    </w:div>
    <w:div w:id="1444496746">
      <w:bodyDiv w:val="1"/>
      <w:marLeft w:val="0"/>
      <w:marRight w:val="0"/>
      <w:marTop w:val="0"/>
      <w:marBottom w:val="0"/>
      <w:divBdr>
        <w:top w:val="none" w:sz="0" w:space="0" w:color="auto"/>
        <w:left w:val="none" w:sz="0" w:space="0" w:color="auto"/>
        <w:bottom w:val="none" w:sz="0" w:space="0" w:color="auto"/>
        <w:right w:val="none" w:sz="0" w:space="0" w:color="auto"/>
      </w:divBdr>
    </w:div>
    <w:div w:id="1490176002">
      <w:bodyDiv w:val="1"/>
      <w:marLeft w:val="0"/>
      <w:marRight w:val="0"/>
      <w:marTop w:val="0"/>
      <w:marBottom w:val="0"/>
      <w:divBdr>
        <w:top w:val="none" w:sz="0" w:space="0" w:color="auto"/>
        <w:left w:val="none" w:sz="0" w:space="0" w:color="auto"/>
        <w:bottom w:val="none" w:sz="0" w:space="0" w:color="auto"/>
        <w:right w:val="none" w:sz="0" w:space="0" w:color="auto"/>
      </w:divBdr>
    </w:div>
    <w:div w:id="1502969283">
      <w:bodyDiv w:val="1"/>
      <w:marLeft w:val="0"/>
      <w:marRight w:val="0"/>
      <w:marTop w:val="0"/>
      <w:marBottom w:val="0"/>
      <w:divBdr>
        <w:top w:val="none" w:sz="0" w:space="0" w:color="auto"/>
        <w:left w:val="none" w:sz="0" w:space="0" w:color="auto"/>
        <w:bottom w:val="none" w:sz="0" w:space="0" w:color="auto"/>
        <w:right w:val="none" w:sz="0" w:space="0" w:color="auto"/>
      </w:divBdr>
    </w:div>
    <w:div w:id="1523015377">
      <w:bodyDiv w:val="1"/>
      <w:marLeft w:val="0"/>
      <w:marRight w:val="0"/>
      <w:marTop w:val="0"/>
      <w:marBottom w:val="0"/>
      <w:divBdr>
        <w:top w:val="none" w:sz="0" w:space="0" w:color="auto"/>
        <w:left w:val="none" w:sz="0" w:space="0" w:color="auto"/>
        <w:bottom w:val="none" w:sz="0" w:space="0" w:color="auto"/>
        <w:right w:val="none" w:sz="0" w:space="0" w:color="auto"/>
      </w:divBdr>
    </w:div>
    <w:div w:id="1600985976">
      <w:bodyDiv w:val="1"/>
      <w:marLeft w:val="0"/>
      <w:marRight w:val="0"/>
      <w:marTop w:val="0"/>
      <w:marBottom w:val="0"/>
      <w:divBdr>
        <w:top w:val="none" w:sz="0" w:space="0" w:color="auto"/>
        <w:left w:val="none" w:sz="0" w:space="0" w:color="auto"/>
        <w:bottom w:val="none" w:sz="0" w:space="0" w:color="auto"/>
        <w:right w:val="none" w:sz="0" w:space="0" w:color="auto"/>
      </w:divBdr>
    </w:div>
    <w:div w:id="1603103004">
      <w:bodyDiv w:val="1"/>
      <w:marLeft w:val="0"/>
      <w:marRight w:val="0"/>
      <w:marTop w:val="0"/>
      <w:marBottom w:val="0"/>
      <w:divBdr>
        <w:top w:val="none" w:sz="0" w:space="0" w:color="auto"/>
        <w:left w:val="none" w:sz="0" w:space="0" w:color="auto"/>
        <w:bottom w:val="none" w:sz="0" w:space="0" w:color="auto"/>
        <w:right w:val="none" w:sz="0" w:space="0" w:color="auto"/>
      </w:divBdr>
    </w:div>
    <w:div w:id="1609238983">
      <w:bodyDiv w:val="1"/>
      <w:marLeft w:val="0"/>
      <w:marRight w:val="0"/>
      <w:marTop w:val="0"/>
      <w:marBottom w:val="0"/>
      <w:divBdr>
        <w:top w:val="none" w:sz="0" w:space="0" w:color="auto"/>
        <w:left w:val="none" w:sz="0" w:space="0" w:color="auto"/>
        <w:bottom w:val="none" w:sz="0" w:space="0" w:color="auto"/>
        <w:right w:val="none" w:sz="0" w:space="0" w:color="auto"/>
      </w:divBdr>
    </w:div>
    <w:div w:id="1610314266">
      <w:bodyDiv w:val="1"/>
      <w:marLeft w:val="0"/>
      <w:marRight w:val="0"/>
      <w:marTop w:val="0"/>
      <w:marBottom w:val="0"/>
      <w:divBdr>
        <w:top w:val="none" w:sz="0" w:space="0" w:color="auto"/>
        <w:left w:val="none" w:sz="0" w:space="0" w:color="auto"/>
        <w:bottom w:val="none" w:sz="0" w:space="0" w:color="auto"/>
        <w:right w:val="none" w:sz="0" w:space="0" w:color="auto"/>
      </w:divBdr>
    </w:div>
    <w:div w:id="1617562306">
      <w:bodyDiv w:val="1"/>
      <w:marLeft w:val="0"/>
      <w:marRight w:val="0"/>
      <w:marTop w:val="0"/>
      <w:marBottom w:val="0"/>
      <w:divBdr>
        <w:top w:val="none" w:sz="0" w:space="0" w:color="auto"/>
        <w:left w:val="none" w:sz="0" w:space="0" w:color="auto"/>
        <w:bottom w:val="none" w:sz="0" w:space="0" w:color="auto"/>
        <w:right w:val="none" w:sz="0" w:space="0" w:color="auto"/>
      </w:divBdr>
    </w:div>
    <w:div w:id="1685472183">
      <w:bodyDiv w:val="1"/>
      <w:marLeft w:val="0"/>
      <w:marRight w:val="0"/>
      <w:marTop w:val="0"/>
      <w:marBottom w:val="0"/>
      <w:divBdr>
        <w:top w:val="none" w:sz="0" w:space="0" w:color="auto"/>
        <w:left w:val="none" w:sz="0" w:space="0" w:color="auto"/>
        <w:bottom w:val="none" w:sz="0" w:space="0" w:color="auto"/>
        <w:right w:val="none" w:sz="0" w:space="0" w:color="auto"/>
      </w:divBdr>
    </w:div>
    <w:div w:id="1706367651">
      <w:bodyDiv w:val="1"/>
      <w:marLeft w:val="0"/>
      <w:marRight w:val="0"/>
      <w:marTop w:val="0"/>
      <w:marBottom w:val="0"/>
      <w:divBdr>
        <w:top w:val="none" w:sz="0" w:space="0" w:color="auto"/>
        <w:left w:val="none" w:sz="0" w:space="0" w:color="auto"/>
        <w:bottom w:val="none" w:sz="0" w:space="0" w:color="auto"/>
        <w:right w:val="none" w:sz="0" w:space="0" w:color="auto"/>
      </w:divBdr>
    </w:div>
    <w:div w:id="1734961606">
      <w:bodyDiv w:val="1"/>
      <w:marLeft w:val="0"/>
      <w:marRight w:val="0"/>
      <w:marTop w:val="0"/>
      <w:marBottom w:val="0"/>
      <w:divBdr>
        <w:top w:val="none" w:sz="0" w:space="0" w:color="auto"/>
        <w:left w:val="none" w:sz="0" w:space="0" w:color="auto"/>
        <w:bottom w:val="none" w:sz="0" w:space="0" w:color="auto"/>
        <w:right w:val="none" w:sz="0" w:space="0" w:color="auto"/>
      </w:divBdr>
    </w:div>
    <w:div w:id="1742217060">
      <w:bodyDiv w:val="1"/>
      <w:marLeft w:val="0"/>
      <w:marRight w:val="0"/>
      <w:marTop w:val="0"/>
      <w:marBottom w:val="0"/>
      <w:divBdr>
        <w:top w:val="none" w:sz="0" w:space="0" w:color="auto"/>
        <w:left w:val="none" w:sz="0" w:space="0" w:color="auto"/>
        <w:bottom w:val="none" w:sz="0" w:space="0" w:color="auto"/>
        <w:right w:val="none" w:sz="0" w:space="0" w:color="auto"/>
      </w:divBdr>
    </w:div>
    <w:div w:id="1770539907">
      <w:bodyDiv w:val="1"/>
      <w:marLeft w:val="0"/>
      <w:marRight w:val="0"/>
      <w:marTop w:val="0"/>
      <w:marBottom w:val="0"/>
      <w:divBdr>
        <w:top w:val="none" w:sz="0" w:space="0" w:color="auto"/>
        <w:left w:val="none" w:sz="0" w:space="0" w:color="auto"/>
        <w:bottom w:val="none" w:sz="0" w:space="0" w:color="auto"/>
        <w:right w:val="none" w:sz="0" w:space="0" w:color="auto"/>
      </w:divBdr>
    </w:div>
    <w:div w:id="1908606469">
      <w:bodyDiv w:val="1"/>
      <w:marLeft w:val="0"/>
      <w:marRight w:val="0"/>
      <w:marTop w:val="0"/>
      <w:marBottom w:val="0"/>
      <w:divBdr>
        <w:top w:val="none" w:sz="0" w:space="0" w:color="auto"/>
        <w:left w:val="none" w:sz="0" w:space="0" w:color="auto"/>
        <w:bottom w:val="none" w:sz="0" w:space="0" w:color="auto"/>
        <w:right w:val="none" w:sz="0" w:space="0" w:color="auto"/>
      </w:divBdr>
    </w:div>
    <w:div w:id="1991134166">
      <w:bodyDiv w:val="1"/>
      <w:marLeft w:val="0"/>
      <w:marRight w:val="0"/>
      <w:marTop w:val="0"/>
      <w:marBottom w:val="0"/>
      <w:divBdr>
        <w:top w:val="none" w:sz="0" w:space="0" w:color="auto"/>
        <w:left w:val="none" w:sz="0" w:space="0" w:color="auto"/>
        <w:bottom w:val="none" w:sz="0" w:space="0" w:color="auto"/>
        <w:right w:val="none" w:sz="0" w:space="0" w:color="auto"/>
      </w:divBdr>
    </w:div>
    <w:div w:id="2016103233">
      <w:bodyDiv w:val="1"/>
      <w:marLeft w:val="0"/>
      <w:marRight w:val="0"/>
      <w:marTop w:val="0"/>
      <w:marBottom w:val="0"/>
      <w:divBdr>
        <w:top w:val="none" w:sz="0" w:space="0" w:color="auto"/>
        <w:left w:val="none" w:sz="0" w:space="0" w:color="auto"/>
        <w:bottom w:val="none" w:sz="0" w:space="0" w:color="auto"/>
        <w:right w:val="none" w:sz="0" w:space="0" w:color="auto"/>
      </w:divBdr>
      <w:divsChild>
        <w:div w:id="1754233161">
          <w:marLeft w:val="0"/>
          <w:marRight w:val="0"/>
          <w:marTop w:val="0"/>
          <w:marBottom w:val="48"/>
          <w:divBdr>
            <w:top w:val="none" w:sz="0" w:space="0" w:color="auto"/>
            <w:left w:val="none" w:sz="0" w:space="0" w:color="auto"/>
            <w:bottom w:val="none" w:sz="0" w:space="0" w:color="auto"/>
            <w:right w:val="none" w:sz="0" w:space="0" w:color="auto"/>
          </w:divBdr>
          <w:divsChild>
            <w:div w:id="838619019">
              <w:marLeft w:val="0"/>
              <w:marRight w:val="0"/>
              <w:marTop w:val="0"/>
              <w:marBottom w:val="0"/>
              <w:divBdr>
                <w:top w:val="none" w:sz="0" w:space="0" w:color="auto"/>
                <w:left w:val="none" w:sz="0" w:space="0" w:color="auto"/>
                <w:bottom w:val="none" w:sz="0" w:space="0" w:color="auto"/>
                <w:right w:val="none" w:sz="0" w:space="0" w:color="auto"/>
              </w:divBdr>
            </w:div>
            <w:div w:id="1967419706">
              <w:marLeft w:val="0"/>
              <w:marRight w:val="0"/>
              <w:marTop w:val="0"/>
              <w:marBottom w:val="0"/>
              <w:divBdr>
                <w:top w:val="none" w:sz="0" w:space="0" w:color="auto"/>
                <w:left w:val="none" w:sz="0" w:space="0" w:color="auto"/>
                <w:bottom w:val="none" w:sz="0" w:space="0" w:color="auto"/>
                <w:right w:val="none" w:sz="0" w:space="0" w:color="auto"/>
              </w:divBdr>
              <w:divsChild>
                <w:div w:id="868178450">
                  <w:marLeft w:val="0"/>
                  <w:marRight w:val="0"/>
                  <w:marTop w:val="0"/>
                  <w:marBottom w:val="0"/>
                  <w:divBdr>
                    <w:top w:val="none" w:sz="0" w:space="0" w:color="auto"/>
                    <w:left w:val="none" w:sz="0" w:space="0" w:color="auto"/>
                    <w:bottom w:val="none" w:sz="0" w:space="0" w:color="auto"/>
                    <w:right w:val="none" w:sz="0" w:space="0" w:color="auto"/>
                  </w:divBdr>
                  <w:divsChild>
                    <w:div w:id="1427002121">
                      <w:marLeft w:val="0"/>
                      <w:marRight w:val="0"/>
                      <w:marTop w:val="0"/>
                      <w:marBottom w:val="0"/>
                      <w:divBdr>
                        <w:top w:val="none" w:sz="0" w:space="0" w:color="auto"/>
                        <w:left w:val="none" w:sz="0" w:space="0" w:color="auto"/>
                        <w:bottom w:val="none" w:sz="0" w:space="0" w:color="auto"/>
                        <w:right w:val="none" w:sz="0" w:space="0" w:color="auto"/>
                      </w:divBdr>
                      <w:divsChild>
                        <w:div w:id="87196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943260">
          <w:marLeft w:val="0"/>
          <w:marRight w:val="0"/>
          <w:marTop w:val="0"/>
          <w:marBottom w:val="48"/>
          <w:divBdr>
            <w:top w:val="none" w:sz="0" w:space="0" w:color="auto"/>
            <w:left w:val="none" w:sz="0" w:space="0" w:color="auto"/>
            <w:bottom w:val="none" w:sz="0" w:space="0" w:color="auto"/>
            <w:right w:val="none" w:sz="0" w:space="0" w:color="auto"/>
          </w:divBdr>
          <w:divsChild>
            <w:div w:id="599797363">
              <w:marLeft w:val="0"/>
              <w:marRight w:val="0"/>
              <w:marTop w:val="0"/>
              <w:marBottom w:val="0"/>
              <w:divBdr>
                <w:top w:val="none" w:sz="0" w:space="0" w:color="auto"/>
                <w:left w:val="none" w:sz="0" w:space="0" w:color="auto"/>
                <w:bottom w:val="none" w:sz="0" w:space="0" w:color="auto"/>
                <w:right w:val="none" w:sz="0" w:space="0" w:color="auto"/>
              </w:divBdr>
            </w:div>
            <w:div w:id="1949268317">
              <w:marLeft w:val="0"/>
              <w:marRight w:val="0"/>
              <w:marTop w:val="0"/>
              <w:marBottom w:val="0"/>
              <w:divBdr>
                <w:top w:val="none" w:sz="0" w:space="0" w:color="auto"/>
                <w:left w:val="none" w:sz="0" w:space="0" w:color="auto"/>
                <w:bottom w:val="none" w:sz="0" w:space="0" w:color="auto"/>
                <w:right w:val="none" w:sz="0" w:space="0" w:color="auto"/>
              </w:divBdr>
              <w:divsChild>
                <w:div w:id="455950587">
                  <w:marLeft w:val="0"/>
                  <w:marRight w:val="0"/>
                  <w:marTop w:val="0"/>
                  <w:marBottom w:val="0"/>
                  <w:divBdr>
                    <w:top w:val="none" w:sz="0" w:space="0" w:color="auto"/>
                    <w:left w:val="none" w:sz="0" w:space="0" w:color="auto"/>
                    <w:bottom w:val="none" w:sz="0" w:space="0" w:color="auto"/>
                    <w:right w:val="none" w:sz="0" w:space="0" w:color="auto"/>
                  </w:divBdr>
                  <w:divsChild>
                    <w:div w:id="1762599195">
                      <w:marLeft w:val="0"/>
                      <w:marRight w:val="0"/>
                      <w:marTop w:val="0"/>
                      <w:marBottom w:val="0"/>
                      <w:divBdr>
                        <w:top w:val="none" w:sz="0" w:space="0" w:color="auto"/>
                        <w:left w:val="none" w:sz="0" w:space="0" w:color="auto"/>
                        <w:bottom w:val="none" w:sz="0" w:space="0" w:color="auto"/>
                        <w:right w:val="none" w:sz="0" w:space="0" w:color="auto"/>
                      </w:divBdr>
                      <w:divsChild>
                        <w:div w:id="214068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4622557">
      <w:bodyDiv w:val="1"/>
      <w:marLeft w:val="0"/>
      <w:marRight w:val="0"/>
      <w:marTop w:val="0"/>
      <w:marBottom w:val="0"/>
      <w:divBdr>
        <w:top w:val="none" w:sz="0" w:space="0" w:color="auto"/>
        <w:left w:val="none" w:sz="0" w:space="0" w:color="auto"/>
        <w:bottom w:val="none" w:sz="0" w:space="0" w:color="auto"/>
        <w:right w:val="none" w:sz="0" w:space="0" w:color="auto"/>
      </w:divBdr>
    </w:div>
    <w:div w:id="2025587726">
      <w:bodyDiv w:val="1"/>
      <w:marLeft w:val="0"/>
      <w:marRight w:val="0"/>
      <w:marTop w:val="0"/>
      <w:marBottom w:val="0"/>
      <w:divBdr>
        <w:top w:val="none" w:sz="0" w:space="0" w:color="auto"/>
        <w:left w:val="none" w:sz="0" w:space="0" w:color="auto"/>
        <w:bottom w:val="none" w:sz="0" w:space="0" w:color="auto"/>
        <w:right w:val="none" w:sz="0" w:space="0" w:color="auto"/>
      </w:divBdr>
    </w:div>
    <w:div w:id="2032873529">
      <w:bodyDiv w:val="1"/>
      <w:marLeft w:val="0"/>
      <w:marRight w:val="0"/>
      <w:marTop w:val="0"/>
      <w:marBottom w:val="0"/>
      <w:divBdr>
        <w:top w:val="none" w:sz="0" w:space="0" w:color="auto"/>
        <w:left w:val="none" w:sz="0" w:space="0" w:color="auto"/>
        <w:bottom w:val="none" w:sz="0" w:space="0" w:color="auto"/>
        <w:right w:val="none" w:sz="0" w:space="0" w:color="auto"/>
      </w:divBdr>
    </w:div>
    <w:div w:id="2097090162">
      <w:bodyDiv w:val="1"/>
      <w:marLeft w:val="0"/>
      <w:marRight w:val="0"/>
      <w:marTop w:val="0"/>
      <w:marBottom w:val="0"/>
      <w:divBdr>
        <w:top w:val="none" w:sz="0" w:space="0" w:color="auto"/>
        <w:left w:val="none" w:sz="0" w:space="0" w:color="auto"/>
        <w:bottom w:val="none" w:sz="0" w:space="0" w:color="auto"/>
        <w:right w:val="none" w:sz="0" w:space="0" w:color="auto"/>
      </w:divBdr>
    </w:div>
    <w:div w:id="2106414511">
      <w:bodyDiv w:val="1"/>
      <w:marLeft w:val="0"/>
      <w:marRight w:val="0"/>
      <w:marTop w:val="0"/>
      <w:marBottom w:val="0"/>
      <w:divBdr>
        <w:top w:val="none" w:sz="0" w:space="0" w:color="auto"/>
        <w:left w:val="none" w:sz="0" w:space="0" w:color="auto"/>
        <w:bottom w:val="none" w:sz="0" w:space="0" w:color="auto"/>
        <w:right w:val="none" w:sz="0" w:space="0" w:color="auto"/>
      </w:divBdr>
    </w:div>
    <w:div w:id="2109882485">
      <w:bodyDiv w:val="1"/>
      <w:marLeft w:val="0"/>
      <w:marRight w:val="0"/>
      <w:marTop w:val="0"/>
      <w:marBottom w:val="0"/>
      <w:divBdr>
        <w:top w:val="none" w:sz="0" w:space="0" w:color="auto"/>
        <w:left w:val="none" w:sz="0" w:space="0" w:color="auto"/>
        <w:bottom w:val="none" w:sz="0" w:space="0" w:color="auto"/>
        <w:right w:val="none" w:sz="0" w:space="0" w:color="auto"/>
      </w:divBdr>
      <w:divsChild>
        <w:div w:id="1677921391">
          <w:marLeft w:val="0"/>
          <w:marRight w:val="0"/>
          <w:marTop w:val="0"/>
          <w:marBottom w:val="0"/>
          <w:divBdr>
            <w:top w:val="none" w:sz="0" w:space="0" w:color="auto"/>
            <w:left w:val="none" w:sz="0" w:space="0" w:color="auto"/>
            <w:bottom w:val="none" w:sz="0" w:space="0" w:color="auto"/>
            <w:right w:val="none" w:sz="0" w:space="0" w:color="auto"/>
          </w:divBdr>
        </w:div>
        <w:div w:id="160043516">
          <w:marLeft w:val="0"/>
          <w:marRight w:val="0"/>
          <w:marTop w:val="0"/>
          <w:marBottom w:val="0"/>
          <w:divBdr>
            <w:top w:val="none" w:sz="0" w:space="0" w:color="auto"/>
            <w:left w:val="none" w:sz="0" w:space="0" w:color="auto"/>
            <w:bottom w:val="none" w:sz="0" w:space="0" w:color="auto"/>
            <w:right w:val="none" w:sz="0" w:space="0" w:color="auto"/>
          </w:divBdr>
        </w:div>
        <w:div w:id="115369523">
          <w:marLeft w:val="0"/>
          <w:marRight w:val="0"/>
          <w:marTop w:val="0"/>
          <w:marBottom w:val="0"/>
          <w:divBdr>
            <w:top w:val="none" w:sz="0" w:space="0" w:color="auto"/>
            <w:left w:val="none" w:sz="0" w:space="0" w:color="auto"/>
            <w:bottom w:val="none" w:sz="0" w:space="0" w:color="auto"/>
            <w:right w:val="none" w:sz="0" w:space="0" w:color="auto"/>
          </w:divBdr>
        </w:div>
        <w:div w:id="1180200764">
          <w:marLeft w:val="0"/>
          <w:marRight w:val="0"/>
          <w:marTop w:val="0"/>
          <w:marBottom w:val="0"/>
          <w:divBdr>
            <w:top w:val="none" w:sz="0" w:space="0" w:color="auto"/>
            <w:left w:val="none" w:sz="0" w:space="0" w:color="auto"/>
            <w:bottom w:val="none" w:sz="0" w:space="0" w:color="auto"/>
            <w:right w:val="none" w:sz="0" w:space="0" w:color="auto"/>
          </w:divBdr>
        </w:div>
      </w:divsChild>
    </w:div>
    <w:div w:id="2133018147">
      <w:bodyDiv w:val="1"/>
      <w:marLeft w:val="0"/>
      <w:marRight w:val="0"/>
      <w:marTop w:val="0"/>
      <w:marBottom w:val="0"/>
      <w:divBdr>
        <w:top w:val="none" w:sz="0" w:space="0" w:color="auto"/>
        <w:left w:val="none" w:sz="0" w:space="0" w:color="auto"/>
        <w:bottom w:val="none" w:sz="0" w:space="0" w:color="auto"/>
        <w:right w:val="none" w:sz="0" w:space="0" w:color="auto"/>
      </w:divBdr>
    </w:div>
    <w:div w:id="2134404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ecourtin@hsph.harvard.edu" TargetMode="Externa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footer" Target="footer3.xml"/><Relationship Id="rId24" Type="http://schemas.openxmlformats.org/officeDocument/2006/relationships/footer" Target="footer4.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1.emf"/><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image" Target="media/image4.tiff"/><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em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7B24EF-1439-8549-BC9F-E6DF158AFD27}">
  <ds:schemaRefs>
    <ds:schemaRef ds:uri="http://schemas.openxmlformats.org/officeDocument/2006/bibliography"/>
  </ds:schemaRefs>
</ds:datastoreItem>
</file>

<file path=customXml/itemProps2.xml><?xml version="1.0" encoding="utf-8"?>
<ds:datastoreItem xmlns:ds="http://schemas.openxmlformats.org/officeDocument/2006/customXml" ds:itemID="{76594E2B-90F5-4D4B-B75D-80B56C2261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19175</Words>
  <Characters>109300</Characters>
  <Application>Microsoft Macintosh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
    </vt:vector>
  </TitlesOfParts>
  <Company>CUNY SPH</Company>
  <LinksUpToDate>false</LinksUpToDate>
  <CharactersWithSpaces>128219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Dowd</dc:creator>
  <cp:lastModifiedBy>Courtin,E (pgr)</cp:lastModifiedBy>
  <cp:revision>2</cp:revision>
  <cp:lastPrinted>2018-06-12T13:49:00Z</cp:lastPrinted>
  <dcterms:created xsi:type="dcterms:W3CDTF">2020-06-15T13:34:00Z</dcterms:created>
  <dcterms:modified xsi:type="dcterms:W3CDTF">2020-06-15T13:34:00Z</dcterms:modified>
</cp:coreProperties>
</file>