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7D48" w14:textId="77777777" w:rsidR="00515850" w:rsidRPr="00515850" w:rsidRDefault="00515850" w:rsidP="00515850">
      <w:pPr>
        <w:spacing w:after="120" w:line="276" w:lineRule="auto"/>
        <w:jc w:val="center"/>
        <w:rPr>
          <w:rFonts w:ascii="Garamond" w:hAnsi="Garamond" w:cstheme="majorHAnsi"/>
          <w:b/>
          <w:sz w:val="40"/>
          <w:szCs w:val="44"/>
          <w:lang w:val="en-GB"/>
        </w:rPr>
      </w:pPr>
      <w:r w:rsidRPr="00515850">
        <w:rPr>
          <w:rFonts w:ascii="Garamond" w:hAnsi="Garamond" w:cstheme="majorHAnsi"/>
          <w:b/>
          <w:sz w:val="40"/>
          <w:szCs w:val="44"/>
          <w:lang w:val="en-GB"/>
        </w:rPr>
        <w:t>The International Society for Pharmacoepidemiology’s Comments on the Core Recommendations in the Summary of the Heads of Medicines Agencies (HMA) - EMA Joint Big Data Task Force</w:t>
      </w:r>
    </w:p>
    <w:p w14:paraId="3DD82B4B" w14:textId="3CA33593" w:rsidR="00515850" w:rsidRDefault="00515850" w:rsidP="00515850">
      <w:pPr>
        <w:spacing w:after="0"/>
        <w:jc w:val="center"/>
        <w:rPr>
          <w:rFonts w:ascii="Garamond" w:hAnsi="Garamond" w:cstheme="majorHAnsi"/>
          <w:sz w:val="28"/>
          <w:szCs w:val="28"/>
          <w:lang w:val="en-GB"/>
        </w:rPr>
      </w:pPr>
    </w:p>
    <w:p w14:paraId="5C4B28D5" w14:textId="77777777" w:rsidR="00515850" w:rsidRPr="00515850" w:rsidRDefault="00515850" w:rsidP="00515850">
      <w:pPr>
        <w:spacing w:after="0"/>
        <w:jc w:val="center"/>
        <w:rPr>
          <w:rFonts w:ascii="Garamond" w:hAnsi="Garamond" w:cstheme="majorHAnsi"/>
          <w:sz w:val="28"/>
          <w:szCs w:val="28"/>
          <w:lang w:val="en-GB"/>
        </w:rPr>
      </w:pPr>
    </w:p>
    <w:p w14:paraId="23AF1844" w14:textId="6F909BEE" w:rsidR="00515850" w:rsidRPr="000933AE" w:rsidRDefault="00515850" w:rsidP="00515850">
      <w:pPr>
        <w:spacing w:after="0"/>
        <w:jc w:val="center"/>
        <w:rPr>
          <w:rFonts w:ascii="Garamond" w:hAnsi="Garamond" w:cstheme="majorHAnsi"/>
          <w:sz w:val="28"/>
          <w:szCs w:val="28"/>
        </w:rPr>
      </w:pPr>
      <w:r w:rsidRPr="000933AE">
        <w:rPr>
          <w:rFonts w:ascii="Garamond" w:hAnsi="Garamond" w:cstheme="majorHAnsi"/>
          <w:sz w:val="28"/>
          <w:szCs w:val="28"/>
        </w:rPr>
        <w:t xml:space="preserve">Anton Pottegård </w:t>
      </w:r>
      <w:r w:rsidRPr="000933AE">
        <w:rPr>
          <w:rFonts w:ascii="Garamond" w:hAnsi="Garamond" w:cstheme="majorHAnsi"/>
          <w:sz w:val="28"/>
          <w:szCs w:val="28"/>
          <w:vertAlign w:val="superscript"/>
        </w:rPr>
        <w:t>1</w:t>
      </w:r>
    </w:p>
    <w:p w14:paraId="32EFE315" w14:textId="2969B6C9" w:rsidR="00F200CC" w:rsidRPr="00D027E9" w:rsidRDefault="00F200CC" w:rsidP="00D027E9">
      <w:pPr>
        <w:spacing w:after="0"/>
        <w:jc w:val="center"/>
        <w:rPr>
          <w:rFonts w:ascii="Garamond" w:hAnsi="Garamond" w:cstheme="majorHAnsi"/>
          <w:sz w:val="28"/>
          <w:szCs w:val="28"/>
        </w:rPr>
      </w:pPr>
      <w:r w:rsidRPr="000933AE">
        <w:rPr>
          <w:rFonts w:ascii="Garamond" w:hAnsi="Garamond" w:cstheme="majorHAnsi"/>
          <w:sz w:val="28"/>
          <w:szCs w:val="28"/>
        </w:rPr>
        <w:t>Olaf Klungel</w:t>
      </w:r>
      <w:r w:rsidR="00D027E9">
        <w:rPr>
          <w:rFonts w:ascii="Garamond" w:hAnsi="Garamond" w:cstheme="majorHAnsi"/>
          <w:sz w:val="28"/>
          <w:szCs w:val="28"/>
        </w:rPr>
        <w:t xml:space="preserve"> </w:t>
      </w:r>
      <w:r w:rsidR="00D027E9">
        <w:rPr>
          <w:rFonts w:ascii="Garamond" w:hAnsi="Garamond" w:cstheme="majorHAnsi"/>
          <w:sz w:val="28"/>
          <w:szCs w:val="28"/>
          <w:vertAlign w:val="superscript"/>
        </w:rPr>
        <w:t>2</w:t>
      </w:r>
    </w:p>
    <w:p w14:paraId="2EC7AE83" w14:textId="273BBE7F" w:rsidR="00515850" w:rsidRPr="00D027E9" w:rsidRDefault="00515850" w:rsidP="00D027E9">
      <w:pPr>
        <w:spacing w:after="0"/>
        <w:jc w:val="center"/>
        <w:rPr>
          <w:rFonts w:ascii="Garamond" w:hAnsi="Garamond" w:cstheme="majorHAnsi"/>
          <w:sz w:val="28"/>
          <w:szCs w:val="28"/>
          <w:vertAlign w:val="superscript"/>
        </w:rPr>
      </w:pPr>
      <w:proofErr w:type="spellStart"/>
      <w:r w:rsidRPr="000933AE">
        <w:rPr>
          <w:rFonts w:ascii="Garamond" w:hAnsi="Garamond" w:cstheme="majorHAnsi"/>
          <w:sz w:val="28"/>
          <w:szCs w:val="28"/>
        </w:rPr>
        <w:t>Almut</w:t>
      </w:r>
      <w:proofErr w:type="spellEnd"/>
      <w:r w:rsidRPr="000933AE">
        <w:rPr>
          <w:rFonts w:ascii="Garamond" w:hAnsi="Garamond" w:cstheme="majorHAnsi"/>
          <w:sz w:val="28"/>
          <w:szCs w:val="28"/>
        </w:rPr>
        <w:t xml:space="preserve"> </w:t>
      </w:r>
      <w:proofErr w:type="spellStart"/>
      <w:r w:rsidRPr="000933AE">
        <w:rPr>
          <w:rFonts w:ascii="Garamond" w:hAnsi="Garamond" w:cstheme="majorHAnsi"/>
          <w:sz w:val="28"/>
          <w:szCs w:val="28"/>
        </w:rPr>
        <w:t>Winterstein</w:t>
      </w:r>
      <w:proofErr w:type="spellEnd"/>
      <w:r w:rsidR="00D027E9">
        <w:rPr>
          <w:rFonts w:ascii="Garamond" w:hAnsi="Garamond" w:cstheme="majorHAnsi"/>
          <w:sz w:val="28"/>
          <w:szCs w:val="28"/>
        </w:rPr>
        <w:t xml:space="preserve"> </w:t>
      </w:r>
      <w:r w:rsidR="00D027E9">
        <w:rPr>
          <w:rFonts w:ascii="Garamond" w:hAnsi="Garamond" w:cstheme="majorHAnsi"/>
          <w:sz w:val="28"/>
          <w:szCs w:val="28"/>
          <w:vertAlign w:val="superscript"/>
        </w:rPr>
        <w:t>3</w:t>
      </w:r>
    </w:p>
    <w:p w14:paraId="7DB9C6AE" w14:textId="57171025" w:rsidR="00515850" w:rsidRPr="00D027E9" w:rsidRDefault="00515850" w:rsidP="00515850">
      <w:pPr>
        <w:spacing w:after="0"/>
        <w:jc w:val="center"/>
        <w:rPr>
          <w:rFonts w:ascii="Garamond" w:hAnsi="Garamond" w:cstheme="majorHAnsi"/>
          <w:sz w:val="28"/>
          <w:szCs w:val="28"/>
          <w:vertAlign w:val="superscript"/>
        </w:rPr>
      </w:pPr>
      <w:r w:rsidRPr="000933AE">
        <w:rPr>
          <w:rFonts w:ascii="Garamond" w:hAnsi="Garamond" w:cstheme="majorHAnsi"/>
          <w:sz w:val="28"/>
          <w:szCs w:val="28"/>
        </w:rPr>
        <w:t>Krista Huybrechts</w:t>
      </w:r>
      <w:r w:rsidR="00D027E9">
        <w:rPr>
          <w:rFonts w:ascii="Garamond" w:hAnsi="Garamond" w:cstheme="majorHAnsi"/>
          <w:sz w:val="28"/>
          <w:szCs w:val="28"/>
        </w:rPr>
        <w:t xml:space="preserve"> </w:t>
      </w:r>
      <w:r w:rsidR="00D027E9">
        <w:rPr>
          <w:rFonts w:ascii="Garamond" w:hAnsi="Garamond" w:cstheme="majorHAnsi"/>
          <w:sz w:val="28"/>
          <w:szCs w:val="28"/>
          <w:vertAlign w:val="superscript"/>
        </w:rPr>
        <w:t>4</w:t>
      </w:r>
    </w:p>
    <w:p w14:paraId="46E58C2F" w14:textId="270D8727" w:rsidR="00515850" w:rsidRPr="00515850" w:rsidRDefault="00515850" w:rsidP="00515850">
      <w:pPr>
        <w:spacing w:after="0"/>
        <w:jc w:val="center"/>
        <w:rPr>
          <w:rFonts w:ascii="Garamond" w:hAnsi="Garamond" w:cstheme="majorHAnsi"/>
          <w:sz w:val="28"/>
          <w:szCs w:val="28"/>
          <w:lang w:val="en-GB"/>
        </w:rPr>
      </w:pPr>
      <w:r w:rsidRPr="00515850">
        <w:rPr>
          <w:rFonts w:ascii="Garamond" w:hAnsi="Garamond" w:cstheme="majorHAnsi"/>
          <w:sz w:val="28"/>
          <w:szCs w:val="28"/>
          <w:lang w:val="en-GB"/>
        </w:rPr>
        <w:t>Jesper Hallas</w:t>
      </w:r>
      <w:r w:rsidR="000933AE">
        <w:rPr>
          <w:rFonts w:ascii="Garamond" w:hAnsi="Garamond" w:cstheme="majorHAnsi"/>
          <w:sz w:val="28"/>
          <w:szCs w:val="28"/>
          <w:lang w:val="en-GB"/>
        </w:rPr>
        <w:t xml:space="preserve"> </w:t>
      </w:r>
      <w:r w:rsidR="000933AE" w:rsidRPr="000933AE">
        <w:rPr>
          <w:rFonts w:ascii="Garamond" w:hAnsi="Garamond" w:cstheme="majorHAnsi"/>
          <w:sz w:val="28"/>
          <w:szCs w:val="28"/>
          <w:vertAlign w:val="superscript"/>
          <w:lang w:val="en-GB"/>
        </w:rPr>
        <w:t>1</w:t>
      </w:r>
    </w:p>
    <w:p w14:paraId="0DFD3FCF" w14:textId="5CE5210F" w:rsidR="00515850" w:rsidRPr="00D027E9" w:rsidRDefault="00515850" w:rsidP="00515850">
      <w:pPr>
        <w:spacing w:after="0"/>
        <w:jc w:val="center"/>
        <w:rPr>
          <w:rFonts w:ascii="Garamond" w:hAnsi="Garamond" w:cstheme="majorHAnsi"/>
          <w:sz w:val="28"/>
          <w:szCs w:val="28"/>
          <w:lang w:val="en-GB"/>
        </w:rPr>
      </w:pPr>
      <w:r w:rsidRPr="00515850">
        <w:rPr>
          <w:rFonts w:ascii="Garamond" w:hAnsi="Garamond" w:cstheme="majorHAnsi"/>
          <w:sz w:val="28"/>
          <w:szCs w:val="28"/>
          <w:lang w:val="en-GB"/>
        </w:rPr>
        <w:t>Sebastian Schneeweiss</w:t>
      </w:r>
      <w:r w:rsidR="00D027E9">
        <w:rPr>
          <w:rFonts w:ascii="Garamond" w:hAnsi="Garamond" w:cstheme="majorHAnsi"/>
          <w:sz w:val="28"/>
          <w:szCs w:val="28"/>
          <w:lang w:val="en-GB"/>
        </w:rPr>
        <w:t xml:space="preserve"> </w:t>
      </w:r>
      <w:r w:rsidR="00D027E9">
        <w:rPr>
          <w:rFonts w:ascii="Garamond" w:hAnsi="Garamond" w:cstheme="majorHAnsi"/>
          <w:sz w:val="28"/>
          <w:szCs w:val="28"/>
          <w:vertAlign w:val="superscript"/>
          <w:lang w:val="en-GB"/>
        </w:rPr>
        <w:t>4</w:t>
      </w:r>
    </w:p>
    <w:p w14:paraId="0CA7AA88" w14:textId="67EF4B23" w:rsidR="00515850" w:rsidRPr="00D027E9" w:rsidRDefault="00515850" w:rsidP="00515850">
      <w:pPr>
        <w:spacing w:after="0"/>
        <w:jc w:val="center"/>
        <w:rPr>
          <w:rFonts w:ascii="Garamond" w:hAnsi="Garamond" w:cstheme="majorHAnsi"/>
          <w:sz w:val="28"/>
          <w:szCs w:val="28"/>
          <w:vertAlign w:val="superscript"/>
          <w:lang w:val="en-GB"/>
        </w:rPr>
      </w:pPr>
      <w:r w:rsidRPr="00515850">
        <w:rPr>
          <w:rFonts w:ascii="Garamond" w:hAnsi="Garamond" w:cstheme="majorHAnsi"/>
          <w:sz w:val="28"/>
          <w:szCs w:val="28"/>
          <w:lang w:val="en-GB"/>
        </w:rPr>
        <w:t>Stephen Evans</w:t>
      </w:r>
      <w:r w:rsidR="00D027E9">
        <w:rPr>
          <w:rFonts w:ascii="Garamond" w:hAnsi="Garamond" w:cstheme="majorHAnsi"/>
          <w:sz w:val="28"/>
          <w:szCs w:val="28"/>
          <w:lang w:val="en-GB"/>
        </w:rPr>
        <w:t xml:space="preserve"> </w:t>
      </w:r>
      <w:r w:rsidR="00D027E9">
        <w:rPr>
          <w:rFonts w:ascii="Garamond" w:hAnsi="Garamond" w:cstheme="majorHAnsi"/>
          <w:sz w:val="28"/>
          <w:szCs w:val="28"/>
          <w:vertAlign w:val="superscript"/>
          <w:lang w:val="en-GB"/>
        </w:rPr>
        <w:t>5</w:t>
      </w:r>
    </w:p>
    <w:p w14:paraId="6B7CAC3B" w14:textId="5CE850BF" w:rsidR="00515850" w:rsidRPr="00D027E9" w:rsidRDefault="00515850" w:rsidP="00515850">
      <w:pPr>
        <w:spacing w:after="0"/>
        <w:jc w:val="center"/>
        <w:rPr>
          <w:rFonts w:ascii="Garamond" w:hAnsi="Garamond" w:cstheme="majorHAnsi"/>
          <w:sz w:val="28"/>
          <w:szCs w:val="28"/>
          <w:lang w:val="en-GB"/>
        </w:rPr>
      </w:pPr>
      <w:r w:rsidRPr="00515850">
        <w:rPr>
          <w:rFonts w:ascii="Garamond" w:hAnsi="Garamond" w:cstheme="majorHAnsi"/>
          <w:sz w:val="28"/>
          <w:szCs w:val="28"/>
          <w:lang w:val="en-GB"/>
        </w:rPr>
        <w:t>Andrew Bate</w:t>
      </w:r>
      <w:r w:rsidR="00D027E9">
        <w:rPr>
          <w:rFonts w:ascii="Garamond" w:hAnsi="Garamond" w:cstheme="majorHAnsi"/>
          <w:sz w:val="28"/>
          <w:szCs w:val="28"/>
          <w:lang w:val="en-GB"/>
        </w:rPr>
        <w:t xml:space="preserve"> </w:t>
      </w:r>
      <w:r w:rsidR="00D027E9">
        <w:rPr>
          <w:rFonts w:ascii="Garamond" w:hAnsi="Garamond" w:cstheme="majorHAnsi"/>
          <w:sz w:val="28"/>
          <w:szCs w:val="28"/>
          <w:vertAlign w:val="superscript"/>
          <w:lang w:val="en-GB"/>
        </w:rPr>
        <w:t>6&amp;7</w:t>
      </w:r>
    </w:p>
    <w:p w14:paraId="3167F118" w14:textId="46C7056A" w:rsidR="00515850" w:rsidRPr="00D027E9" w:rsidRDefault="00515850" w:rsidP="00D027E9">
      <w:pPr>
        <w:spacing w:after="0"/>
        <w:jc w:val="center"/>
        <w:rPr>
          <w:rFonts w:ascii="Garamond" w:hAnsi="Garamond" w:cstheme="majorHAnsi"/>
          <w:sz w:val="28"/>
          <w:szCs w:val="28"/>
          <w:vertAlign w:val="superscript"/>
          <w:lang w:val="en-GB"/>
        </w:rPr>
      </w:pPr>
      <w:r w:rsidRPr="00515850">
        <w:rPr>
          <w:rFonts w:ascii="Garamond" w:hAnsi="Garamond" w:cstheme="majorHAnsi"/>
          <w:sz w:val="28"/>
          <w:szCs w:val="28"/>
          <w:lang w:val="en-GB"/>
        </w:rPr>
        <w:t>Lisa Pont</w:t>
      </w:r>
      <w:r w:rsidR="00D027E9">
        <w:rPr>
          <w:rFonts w:ascii="Garamond" w:hAnsi="Garamond" w:cstheme="majorHAnsi"/>
          <w:sz w:val="28"/>
          <w:szCs w:val="28"/>
          <w:lang w:val="en-GB"/>
        </w:rPr>
        <w:t xml:space="preserve"> </w:t>
      </w:r>
      <w:r w:rsidR="00D027E9">
        <w:rPr>
          <w:rFonts w:ascii="Garamond" w:hAnsi="Garamond" w:cstheme="majorHAnsi"/>
          <w:sz w:val="28"/>
          <w:szCs w:val="28"/>
          <w:vertAlign w:val="superscript"/>
          <w:lang w:val="en-GB"/>
        </w:rPr>
        <w:t>8</w:t>
      </w:r>
    </w:p>
    <w:p w14:paraId="75B8D9EC" w14:textId="613222CA" w:rsidR="00515850" w:rsidRPr="00D027E9" w:rsidRDefault="00515850" w:rsidP="00D027E9">
      <w:pPr>
        <w:spacing w:after="0"/>
        <w:jc w:val="center"/>
        <w:rPr>
          <w:rFonts w:ascii="Garamond" w:hAnsi="Garamond" w:cstheme="majorHAnsi"/>
          <w:sz w:val="28"/>
          <w:szCs w:val="28"/>
          <w:lang w:val="en-GB"/>
        </w:rPr>
      </w:pPr>
      <w:r w:rsidRPr="00515850">
        <w:rPr>
          <w:rFonts w:ascii="Garamond" w:hAnsi="Garamond" w:cstheme="majorHAnsi"/>
          <w:sz w:val="28"/>
          <w:szCs w:val="28"/>
          <w:lang w:val="en-GB"/>
        </w:rPr>
        <w:t>Gianluca Trifirò</w:t>
      </w:r>
      <w:r w:rsidR="00D027E9">
        <w:rPr>
          <w:rFonts w:ascii="Garamond" w:hAnsi="Garamond" w:cstheme="majorHAnsi"/>
          <w:sz w:val="28"/>
          <w:szCs w:val="28"/>
          <w:lang w:val="en-GB"/>
        </w:rPr>
        <w:t xml:space="preserve"> </w:t>
      </w:r>
      <w:r w:rsidR="00D027E9">
        <w:rPr>
          <w:rFonts w:ascii="Garamond" w:hAnsi="Garamond" w:cstheme="majorHAnsi"/>
          <w:sz w:val="28"/>
          <w:szCs w:val="28"/>
          <w:vertAlign w:val="superscript"/>
          <w:lang w:val="en-GB"/>
        </w:rPr>
        <w:t>9</w:t>
      </w:r>
    </w:p>
    <w:p w14:paraId="64E7AAC8" w14:textId="0E05699F" w:rsidR="00515850" w:rsidRPr="00D027E9" w:rsidRDefault="00515850" w:rsidP="00D027E9">
      <w:pPr>
        <w:spacing w:after="0"/>
        <w:jc w:val="center"/>
        <w:rPr>
          <w:rFonts w:ascii="Garamond" w:hAnsi="Garamond" w:cstheme="majorHAnsi"/>
          <w:sz w:val="28"/>
          <w:szCs w:val="28"/>
          <w:vertAlign w:val="superscript"/>
          <w:lang w:val="en-GB"/>
        </w:rPr>
      </w:pPr>
      <w:r w:rsidRPr="00515850">
        <w:rPr>
          <w:rFonts w:ascii="Garamond" w:hAnsi="Garamond" w:cstheme="majorHAnsi"/>
          <w:sz w:val="28"/>
          <w:szCs w:val="28"/>
          <w:lang w:val="en-GB"/>
        </w:rPr>
        <w:t>Meredith Smith</w:t>
      </w:r>
      <w:r w:rsidR="00D027E9">
        <w:rPr>
          <w:rFonts w:ascii="Garamond" w:hAnsi="Garamond" w:cstheme="majorHAnsi"/>
          <w:sz w:val="28"/>
          <w:szCs w:val="28"/>
          <w:lang w:val="en-GB"/>
        </w:rPr>
        <w:t xml:space="preserve"> </w:t>
      </w:r>
      <w:r w:rsidR="00D027E9">
        <w:rPr>
          <w:rFonts w:ascii="Garamond" w:hAnsi="Garamond" w:cstheme="majorHAnsi"/>
          <w:sz w:val="28"/>
          <w:szCs w:val="28"/>
          <w:vertAlign w:val="superscript"/>
          <w:lang w:val="en-GB"/>
        </w:rPr>
        <w:t>10&amp;11</w:t>
      </w:r>
    </w:p>
    <w:p w14:paraId="1DDDB4AF" w14:textId="1C8DA58E" w:rsidR="00515850" w:rsidRPr="00D027E9" w:rsidRDefault="00515850" w:rsidP="00515850">
      <w:pPr>
        <w:spacing w:after="0"/>
        <w:jc w:val="center"/>
        <w:rPr>
          <w:rFonts w:ascii="Garamond" w:hAnsi="Garamond" w:cstheme="majorHAnsi"/>
          <w:sz w:val="28"/>
          <w:szCs w:val="28"/>
          <w:vertAlign w:val="superscript"/>
          <w:lang w:val="en-GB"/>
        </w:rPr>
      </w:pPr>
      <w:r w:rsidRPr="00515850">
        <w:rPr>
          <w:rFonts w:ascii="Garamond" w:hAnsi="Garamond" w:cstheme="majorHAnsi"/>
          <w:sz w:val="28"/>
          <w:szCs w:val="28"/>
          <w:lang w:val="en-GB"/>
        </w:rPr>
        <w:t>Alison Bourke</w:t>
      </w:r>
      <w:r w:rsidR="00D027E9">
        <w:rPr>
          <w:rFonts w:ascii="Garamond" w:hAnsi="Garamond" w:cstheme="majorHAnsi"/>
          <w:sz w:val="28"/>
          <w:szCs w:val="28"/>
          <w:lang w:val="en-GB"/>
        </w:rPr>
        <w:t xml:space="preserve"> </w:t>
      </w:r>
      <w:r w:rsidR="00D027E9">
        <w:rPr>
          <w:rFonts w:ascii="Garamond" w:hAnsi="Garamond" w:cstheme="majorHAnsi"/>
          <w:sz w:val="28"/>
          <w:szCs w:val="28"/>
          <w:vertAlign w:val="superscript"/>
          <w:lang w:val="en-GB"/>
        </w:rPr>
        <w:t>12</w:t>
      </w:r>
    </w:p>
    <w:p w14:paraId="07DF5572" w14:textId="327C3DCA" w:rsidR="00515850" w:rsidRDefault="00515850">
      <w:pPr>
        <w:rPr>
          <w:rFonts w:ascii="Garamond" w:hAnsi="Garamond" w:cstheme="majorHAnsi"/>
          <w:b/>
          <w:sz w:val="24"/>
          <w:szCs w:val="24"/>
          <w:lang w:val="en-GB"/>
        </w:rPr>
      </w:pPr>
    </w:p>
    <w:p w14:paraId="635B302B" w14:textId="10798018" w:rsidR="00515850" w:rsidRDefault="00515850" w:rsidP="00515850">
      <w:pPr>
        <w:pStyle w:val="Listeafsnit"/>
        <w:numPr>
          <w:ilvl w:val="0"/>
          <w:numId w:val="4"/>
        </w:numPr>
        <w:rPr>
          <w:rFonts w:ascii="Garamond" w:hAnsi="Garamond" w:cstheme="majorHAnsi"/>
          <w:sz w:val="16"/>
          <w:szCs w:val="24"/>
          <w:lang w:val="en-GB"/>
        </w:rPr>
      </w:pPr>
      <w:r w:rsidRPr="00515850">
        <w:rPr>
          <w:rFonts w:ascii="Garamond" w:hAnsi="Garamond" w:cstheme="majorHAnsi"/>
          <w:sz w:val="16"/>
          <w:szCs w:val="24"/>
          <w:lang w:val="en-GB"/>
        </w:rPr>
        <w:t>Clinical Pharmacology and Pharmacy, Department of Public Health, University of Southern Denmark, Denmark</w:t>
      </w:r>
    </w:p>
    <w:p w14:paraId="7EEB234C" w14:textId="42B38C7D" w:rsidR="00D027E9" w:rsidRPr="00D027E9" w:rsidRDefault="00D027E9" w:rsidP="00D027E9">
      <w:pPr>
        <w:pStyle w:val="Listeafsnit"/>
        <w:numPr>
          <w:ilvl w:val="0"/>
          <w:numId w:val="4"/>
        </w:numPr>
        <w:rPr>
          <w:rFonts w:ascii="Garamond" w:hAnsi="Garamond" w:cstheme="majorHAnsi"/>
          <w:sz w:val="16"/>
          <w:szCs w:val="24"/>
          <w:lang w:val="en-GB"/>
        </w:rPr>
      </w:pPr>
      <w:r w:rsidRPr="00D027E9">
        <w:rPr>
          <w:rFonts w:ascii="Garamond" w:hAnsi="Garamond" w:cstheme="majorHAnsi"/>
          <w:sz w:val="16"/>
          <w:szCs w:val="24"/>
          <w:lang w:val="en-GB"/>
        </w:rPr>
        <w:t>Division of Pharmacoepidemiology &amp; Clinical Pharmacology, Utrecht Institute for Pharmaceutical Sciences (UIPS), Utrecht University, the Netherlands.</w:t>
      </w:r>
    </w:p>
    <w:p w14:paraId="689D22F8" w14:textId="3E456411" w:rsidR="00D027E9" w:rsidRPr="00D027E9" w:rsidRDefault="00D027E9" w:rsidP="00B81792">
      <w:pPr>
        <w:pStyle w:val="Listeafsnit"/>
        <w:numPr>
          <w:ilvl w:val="0"/>
          <w:numId w:val="4"/>
        </w:numPr>
        <w:rPr>
          <w:rFonts w:ascii="Garamond" w:hAnsi="Garamond" w:cstheme="majorHAnsi"/>
          <w:sz w:val="16"/>
          <w:szCs w:val="24"/>
          <w:lang w:val="en-GB"/>
        </w:rPr>
      </w:pPr>
      <w:r w:rsidRPr="00D027E9">
        <w:rPr>
          <w:rFonts w:ascii="Garamond" w:hAnsi="Garamond" w:cstheme="majorHAnsi"/>
          <w:sz w:val="16"/>
          <w:szCs w:val="24"/>
          <w:lang w:val="en-GB"/>
        </w:rPr>
        <w:t>Pharmaceutical Outcomes &amp; Policy</w:t>
      </w:r>
      <w:r w:rsidRPr="00D027E9">
        <w:rPr>
          <w:rFonts w:ascii="Garamond" w:hAnsi="Garamond" w:cstheme="majorHAnsi"/>
          <w:sz w:val="16"/>
          <w:szCs w:val="24"/>
          <w:lang w:val="en-GB"/>
        </w:rPr>
        <w:t xml:space="preserve"> and </w:t>
      </w:r>
      <w:r w:rsidRPr="00D027E9">
        <w:rPr>
          <w:rFonts w:ascii="Garamond" w:hAnsi="Garamond" w:cstheme="majorHAnsi"/>
          <w:sz w:val="16"/>
          <w:szCs w:val="24"/>
          <w:lang w:val="en-GB"/>
        </w:rPr>
        <w:t>Center for Drug Evaluation and Safety</w:t>
      </w:r>
      <w:r w:rsidRPr="00D027E9">
        <w:rPr>
          <w:rFonts w:ascii="Garamond" w:hAnsi="Garamond" w:cstheme="majorHAnsi"/>
          <w:sz w:val="16"/>
          <w:szCs w:val="24"/>
          <w:lang w:val="en-GB"/>
        </w:rPr>
        <w:t>, University of Florida, United States</w:t>
      </w:r>
    </w:p>
    <w:p w14:paraId="05CF2464" w14:textId="47174E06" w:rsidR="00D027E9" w:rsidRPr="00D027E9" w:rsidRDefault="00D027E9" w:rsidP="00D027E9">
      <w:pPr>
        <w:pStyle w:val="Listeafsnit"/>
        <w:numPr>
          <w:ilvl w:val="0"/>
          <w:numId w:val="4"/>
        </w:numPr>
        <w:rPr>
          <w:rFonts w:ascii="Garamond" w:hAnsi="Garamond" w:cstheme="majorHAnsi"/>
          <w:sz w:val="16"/>
          <w:szCs w:val="24"/>
          <w:lang w:val="en-GB"/>
        </w:rPr>
      </w:pPr>
      <w:r w:rsidRPr="00D027E9">
        <w:rPr>
          <w:rFonts w:ascii="Garamond" w:hAnsi="Garamond" w:cstheme="majorHAnsi"/>
          <w:sz w:val="16"/>
          <w:szCs w:val="24"/>
          <w:lang w:val="en-GB"/>
        </w:rPr>
        <w:t xml:space="preserve">Division of Pharmacoepidemiology and Pharmacoeconomics, Department of Medicine, Brigham and Women's Hospital and Harvard Medical School, United States </w:t>
      </w:r>
    </w:p>
    <w:p w14:paraId="6CCD3549" w14:textId="77777777" w:rsidR="00D027E9" w:rsidRPr="00D027E9" w:rsidRDefault="00D027E9" w:rsidP="00D027E9">
      <w:pPr>
        <w:pStyle w:val="Listeafsnit"/>
        <w:numPr>
          <w:ilvl w:val="0"/>
          <w:numId w:val="4"/>
        </w:numPr>
        <w:rPr>
          <w:rFonts w:ascii="Garamond" w:hAnsi="Garamond" w:cstheme="majorHAnsi"/>
          <w:sz w:val="16"/>
          <w:szCs w:val="24"/>
          <w:lang w:val="en-GB"/>
        </w:rPr>
      </w:pPr>
      <w:r w:rsidRPr="00D027E9">
        <w:rPr>
          <w:rFonts w:ascii="Garamond" w:hAnsi="Garamond" w:cstheme="majorHAnsi"/>
          <w:sz w:val="16"/>
          <w:szCs w:val="24"/>
          <w:lang w:val="en-GB"/>
        </w:rPr>
        <w:t>Department of Medical Statistics, London School of Hygiene &amp; Tropical Medicine, United Kingdom</w:t>
      </w:r>
    </w:p>
    <w:p w14:paraId="70A17386" w14:textId="071CAB2F" w:rsidR="00D027E9" w:rsidRPr="00D027E9" w:rsidRDefault="00D027E9" w:rsidP="00D027E9">
      <w:pPr>
        <w:pStyle w:val="Listeafsnit"/>
        <w:numPr>
          <w:ilvl w:val="0"/>
          <w:numId w:val="4"/>
        </w:numPr>
        <w:rPr>
          <w:rFonts w:ascii="Garamond" w:hAnsi="Garamond" w:cstheme="majorHAnsi"/>
          <w:sz w:val="16"/>
          <w:szCs w:val="24"/>
          <w:lang w:val="en-GB"/>
        </w:rPr>
      </w:pPr>
      <w:r w:rsidRPr="00D027E9">
        <w:rPr>
          <w:rFonts w:ascii="Garamond" w:hAnsi="Garamond" w:cstheme="majorHAnsi"/>
          <w:sz w:val="16"/>
          <w:szCs w:val="24"/>
          <w:lang w:val="en-GB"/>
        </w:rPr>
        <w:t>Pfizer, U</w:t>
      </w:r>
      <w:r w:rsidRPr="00D027E9">
        <w:rPr>
          <w:rFonts w:ascii="Garamond" w:hAnsi="Garamond" w:cstheme="majorHAnsi"/>
          <w:sz w:val="16"/>
          <w:szCs w:val="24"/>
          <w:lang w:val="en-GB"/>
        </w:rPr>
        <w:t>nited Kingdom</w:t>
      </w:r>
    </w:p>
    <w:p w14:paraId="12EC2714" w14:textId="741C11C6" w:rsidR="00D027E9" w:rsidRPr="00D027E9" w:rsidRDefault="00D027E9" w:rsidP="00D027E9">
      <w:pPr>
        <w:pStyle w:val="Listeafsnit"/>
        <w:numPr>
          <w:ilvl w:val="0"/>
          <w:numId w:val="4"/>
        </w:numPr>
        <w:rPr>
          <w:rFonts w:ascii="Garamond" w:hAnsi="Garamond" w:cstheme="majorHAnsi"/>
          <w:sz w:val="16"/>
          <w:szCs w:val="24"/>
          <w:lang w:val="en-GB"/>
        </w:rPr>
      </w:pPr>
      <w:r w:rsidRPr="00D027E9">
        <w:rPr>
          <w:rFonts w:ascii="Garamond" w:hAnsi="Garamond" w:cstheme="majorHAnsi"/>
          <w:sz w:val="16"/>
          <w:szCs w:val="24"/>
          <w:lang w:val="en-GB"/>
        </w:rPr>
        <w:t xml:space="preserve">New York University, </w:t>
      </w:r>
      <w:r w:rsidRPr="00D027E9">
        <w:rPr>
          <w:rFonts w:ascii="Garamond" w:hAnsi="Garamond" w:cstheme="majorHAnsi"/>
          <w:sz w:val="16"/>
          <w:szCs w:val="24"/>
          <w:lang w:val="en-GB"/>
        </w:rPr>
        <w:t>United States</w:t>
      </w:r>
    </w:p>
    <w:p w14:paraId="1DB616EB" w14:textId="4FFE0EED" w:rsidR="00D027E9" w:rsidRPr="00D027E9" w:rsidRDefault="00D027E9" w:rsidP="00D027E9">
      <w:pPr>
        <w:pStyle w:val="Listeafsnit"/>
        <w:numPr>
          <w:ilvl w:val="0"/>
          <w:numId w:val="4"/>
        </w:numPr>
        <w:rPr>
          <w:rFonts w:ascii="Garamond" w:hAnsi="Garamond" w:cstheme="majorHAnsi"/>
          <w:sz w:val="16"/>
          <w:szCs w:val="24"/>
          <w:lang w:val="en-GB"/>
        </w:rPr>
      </w:pPr>
      <w:r w:rsidRPr="00D027E9">
        <w:rPr>
          <w:rFonts w:ascii="Garamond" w:hAnsi="Garamond" w:cstheme="majorHAnsi"/>
          <w:sz w:val="16"/>
          <w:szCs w:val="24"/>
          <w:lang w:val="en-GB"/>
        </w:rPr>
        <w:t>University of Technology Sydney</w:t>
      </w:r>
      <w:r w:rsidRPr="00D027E9">
        <w:rPr>
          <w:rFonts w:ascii="Garamond" w:hAnsi="Garamond" w:cstheme="majorHAnsi"/>
          <w:sz w:val="16"/>
          <w:szCs w:val="24"/>
          <w:lang w:val="en-GB"/>
        </w:rPr>
        <w:t xml:space="preserve">, </w:t>
      </w:r>
      <w:r w:rsidRPr="00D027E9">
        <w:rPr>
          <w:rFonts w:ascii="Garamond" w:hAnsi="Garamond" w:cstheme="majorHAnsi"/>
          <w:sz w:val="16"/>
          <w:szCs w:val="24"/>
          <w:lang w:val="en-GB"/>
        </w:rPr>
        <w:t>Australi</w:t>
      </w:r>
      <w:r w:rsidRPr="00D027E9">
        <w:rPr>
          <w:rFonts w:ascii="Garamond" w:hAnsi="Garamond" w:cstheme="majorHAnsi"/>
          <w:sz w:val="16"/>
          <w:szCs w:val="24"/>
          <w:lang w:val="en-GB"/>
        </w:rPr>
        <w:t>a</w:t>
      </w:r>
    </w:p>
    <w:p w14:paraId="6C1930C1" w14:textId="77777777" w:rsidR="00D027E9" w:rsidRPr="00D027E9" w:rsidRDefault="00D027E9" w:rsidP="00D027E9">
      <w:pPr>
        <w:pStyle w:val="Listeafsnit"/>
        <w:numPr>
          <w:ilvl w:val="0"/>
          <w:numId w:val="4"/>
        </w:numPr>
        <w:rPr>
          <w:rFonts w:ascii="Garamond" w:hAnsi="Garamond" w:cstheme="majorHAnsi"/>
          <w:sz w:val="16"/>
          <w:szCs w:val="24"/>
          <w:lang w:val="en-GB"/>
        </w:rPr>
      </w:pPr>
      <w:r w:rsidRPr="00D027E9">
        <w:rPr>
          <w:rFonts w:ascii="Garamond" w:hAnsi="Garamond" w:cstheme="majorHAnsi"/>
          <w:sz w:val="16"/>
          <w:szCs w:val="24"/>
          <w:lang w:val="en-GB"/>
        </w:rPr>
        <w:t xml:space="preserve">Department of Biomedical and Dental Sciences and </w:t>
      </w:r>
      <w:proofErr w:type="spellStart"/>
      <w:r w:rsidRPr="00D027E9">
        <w:rPr>
          <w:rFonts w:ascii="Garamond" w:hAnsi="Garamond" w:cstheme="majorHAnsi"/>
          <w:sz w:val="16"/>
          <w:szCs w:val="24"/>
          <w:lang w:val="en-GB"/>
        </w:rPr>
        <w:t>Morphofunctional</w:t>
      </w:r>
      <w:proofErr w:type="spellEnd"/>
      <w:r w:rsidRPr="00D027E9">
        <w:rPr>
          <w:rFonts w:ascii="Garamond" w:hAnsi="Garamond" w:cstheme="majorHAnsi"/>
          <w:sz w:val="16"/>
          <w:szCs w:val="24"/>
          <w:lang w:val="en-GB"/>
        </w:rPr>
        <w:t xml:space="preserve"> Imaging, University of Messina, Italy</w:t>
      </w:r>
    </w:p>
    <w:p w14:paraId="2033D124" w14:textId="27061C5C" w:rsidR="00D027E9" w:rsidRDefault="00D027E9" w:rsidP="00515850">
      <w:pPr>
        <w:pStyle w:val="Listeafsnit"/>
        <w:numPr>
          <w:ilvl w:val="0"/>
          <w:numId w:val="4"/>
        </w:numPr>
        <w:rPr>
          <w:rFonts w:ascii="Garamond" w:hAnsi="Garamond" w:cstheme="majorHAnsi"/>
          <w:sz w:val="16"/>
          <w:szCs w:val="24"/>
          <w:lang w:val="en-GB"/>
        </w:rPr>
      </w:pPr>
      <w:r>
        <w:rPr>
          <w:rFonts w:ascii="Garamond" w:hAnsi="Garamond" w:cstheme="majorHAnsi"/>
          <w:sz w:val="16"/>
          <w:szCs w:val="24"/>
          <w:lang w:val="en-GB"/>
        </w:rPr>
        <w:t>Amgen, United States</w:t>
      </w:r>
    </w:p>
    <w:p w14:paraId="307AB1BE" w14:textId="0114ECAA" w:rsidR="00D027E9" w:rsidRDefault="00D027E9" w:rsidP="00515850">
      <w:pPr>
        <w:pStyle w:val="Listeafsnit"/>
        <w:numPr>
          <w:ilvl w:val="0"/>
          <w:numId w:val="4"/>
        </w:numPr>
        <w:rPr>
          <w:rFonts w:ascii="Garamond" w:hAnsi="Garamond" w:cstheme="majorHAnsi"/>
          <w:sz w:val="16"/>
          <w:szCs w:val="24"/>
          <w:lang w:val="en-GB"/>
        </w:rPr>
      </w:pPr>
      <w:r>
        <w:rPr>
          <w:rFonts w:ascii="Garamond" w:hAnsi="Garamond" w:cstheme="majorHAnsi"/>
          <w:sz w:val="16"/>
          <w:szCs w:val="24"/>
          <w:lang w:val="en-GB"/>
        </w:rPr>
        <w:t>School of Pharmacy, University of Southern California, United States</w:t>
      </w:r>
    </w:p>
    <w:p w14:paraId="1AC7F274" w14:textId="01C02217" w:rsidR="00D027E9" w:rsidRPr="00515850" w:rsidRDefault="00D027E9" w:rsidP="00515850">
      <w:pPr>
        <w:pStyle w:val="Listeafsnit"/>
        <w:numPr>
          <w:ilvl w:val="0"/>
          <w:numId w:val="4"/>
        </w:numPr>
        <w:rPr>
          <w:rFonts w:ascii="Garamond" w:hAnsi="Garamond" w:cstheme="majorHAnsi"/>
          <w:sz w:val="16"/>
          <w:szCs w:val="24"/>
          <w:lang w:val="en-GB"/>
        </w:rPr>
      </w:pPr>
      <w:r>
        <w:rPr>
          <w:rFonts w:ascii="Garamond" w:hAnsi="Garamond" w:cstheme="majorHAnsi"/>
          <w:sz w:val="16"/>
          <w:szCs w:val="24"/>
          <w:lang w:val="en-GB"/>
        </w:rPr>
        <w:t>Real World Solutions, IQVIA</w:t>
      </w:r>
      <w:bookmarkStart w:id="0" w:name="_GoBack"/>
      <w:bookmarkEnd w:id="0"/>
    </w:p>
    <w:p w14:paraId="31449138" w14:textId="1B295C67" w:rsidR="00515850" w:rsidRDefault="00515850" w:rsidP="00515850">
      <w:pPr>
        <w:rPr>
          <w:rFonts w:ascii="Garamond" w:hAnsi="Garamond" w:cstheme="majorHAnsi"/>
          <w:sz w:val="24"/>
          <w:szCs w:val="24"/>
          <w:lang w:val="en-GB"/>
        </w:rPr>
      </w:pPr>
    </w:p>
    <w:p w14:paraId="1CCA8B13" w14:textId="77777777" w:rsidR="00515850" w:rsidRPr="00515850" w:rsidRDefault="00515850" w:rsidP="00515850">
      <w:pPr>
        <w:rPr>
          <w:rFonts w:ascii="Garamond" w:hAnsi="Garamond" w:cstheme="majorHAnsi"/>
          <w:sz w:val="24"/>
          <w:szCs w:val="24"/>
          <w:lang w:val="en-GB"/>
        </w:rPr>
      </w:pPr>
    </w:p>
    <w:p w14:paraId="1A31B741" w14:textId="77777777" w:rsidR="00515850" w:rsidRDefault="00515850">
      <w:pPr>
        <w:rPr>
          <w:rFonts w:ascii="Garamond" w:hAnsi="Garamond" w:cstheme="majorHAnsi"/>
          <w:sz w:val="24"/>
          <w:szCs w:val="24"/>
          <w:lang w:val="en-GB"/>
        </w:rPr>
      </w:pPr>
      <w:r>
        <w:rPr>
          <w:rFonts w:ascii="Garamond" w:hAnsi="Garamond" w:cstheme="majorHAnsi"/>
          <w:sz w:val="24"/>
          <w:szCs w:val="24"/>
          <w:lang w:val="en-GB"/>
        </w:rPr>
        <w:br w:type="page"/>
      </w:r>
    </w:p>
    <w:p w14:paraId="6BEE261F" w14:textId="21461F76" w:rsidR="00231817" w:rsidRPr="00515850" w:rsidRDefault="00231817" w:rsidP="00515850">
      <w:pPr>
        <w:spacing w:after="120" w:line="360" w:lineRule="auto"/>
        <w:rPr>
          <w:rFonts w:ascii="Garamond" w:hAnsi="Garamond" w:cstheme="majorHAnsi"/>
          <w:sz w:val="24"/>
          <w:szCs w:val="24"/>
          <w:lang w:val="en-GB"/>
        </w:rPr>
      </w:pPr>
      <w:r w:rsidRPr="00515850">
        <w:rPr>
          <w:rFonts w:ascii="Garamond" w:hAnsi="Garamond" w:cstheme="majorHAnsi"/>
          <w:sz w:val="24"/>
          <w:szCs w:val="24"/>
          <w:lang w:val="en-GB"/>
        </w:rPr>
        <w:lastRenderedPageBreak/>
        <w:t xml:space="preserve">The International Society for Pharmacoepidemiology (ISPE) appreciates the work done by the HMA/EMA Task Force and the importance of ensuring that the European regulatory network can evaluate evidence generated by new and emerging data sources and methods. The successful integration of real-world evidence (RWE) into the </w:t>
      </w:r>
      <w:r w:rsidR="005759FA" w:rsidRPr="00515850">
        <w:rPr>
          <w:rFonts w:ascii="Garamond" w:hAnsi="Garamond" w:cstheme="majorHAnsi"/>
          <w:sz w:val="24"/>
          <w:szCs w:val="24"/>
          <w:lang w:val="en-GB"/>
        </w:rPr>
        <w:t xml:space="preserve">regulatory </w:t>
      </w:r>
      <w:r w:rsidRPr="00515850">
        <w:rPr>
          <w:rFonts w:ascii="Garamond" w:hAnsi="Garamond" w:cstheme="majorHAnsi"/>
          <w:sz w:val="24"/>
          <w:szCs w:val="24"/>
          <w:lang w:val="en-GB"/>
        </w:rPr>
        <w:t xml:space="preserve">decision-making process will ultimately benefit patients, both within Europe and globally. </w:t>
      </w:r>
    </w:p>
    <w:p w14:paraId="2A395259" w14:textId="4F367C0D" w:rsidR="00231817" w:rsidRPr="00515850" w:rsidRDefault="00231817" w:rsidP="00515850">
      <w:pPr>
        <w:spacing w:after="120" w:line="360" w:lineRule="auto"/>
        <w:rPr>
          <w:rFonts w:ascii="Garamond" w:hAnsi="Garamond" w:cstheme="majorHAnsi"/>
          <w:sz w:val="24"/>
          <w:szCs w:val="24"/>
          <w:lang w:val="en-GB"/>
        </w:rPr>
      </w:pPr>
      <w:r w:rsidRPr="00515850">
        <w:rPr>
          <w:rFonts w:ascii="Garamond" w:hAnsi="Garamond" w:cstheme="majorHAnsi"/>
          <w:sz w:val="24"/>
          <w:szCs w:val="24"/>
          <w:lang w:val="en-GB"/>
        </w:rPr>
        <w:t>We note that the summary report highlights that “a prioritisation and focusing of activities is required, which should build on ongoing actions and</w:t>
      </w:r>
      <w:r w:rsidR="005759FA" w:rsidRPr="00515850">
        <w:rPr>
          <w:rFonts w:ascii="Garamond" w:hAnsi="Garamond" w:cstheme="majorHAnsi"/>
          <w:sz w:val="24"/>
          <w:szCs w:val="24"/>
          <w:lang w:val="en-GB"/>
        </w:rPr>
        <w:t>,</w:t>
      </w:r>
      <w:r w:rsidRPr="00515850">
        <w:rPr>
          <w:rFonts w:ascii="Garamond" w:hAnsi="Garamond" w:cstheme="majorHAnsi"/>
          <w:sz w:val="24"/>
          <w:szCs w:val="24"/>
          <w:lang w:val="en-GB"/>
        </w:rPr>
        <w:t xml:space="preserve"> where possible</w:t>
      </w:r>
      <w:r w:rsidR="005759FA" w:rsidRPr="00515850">
        <w:rPr>
          <w:rFonts w:ascii="Garamond" w:hAnsi="Garamond" w:cstheme="majorHAnsi"/>
          <w:sz w:val="24"/>
          <w:szCs w:val="24"/>
          <w:lang w:val="en-GB"/>
        </w:rPr>
        <w:t>,</w:t>
      </w:r>
      <w:r w:rsidRPr="00515850">
        <w:rPr>
          <w:rFonts w:ascii="Garamond" w:hAnsi="Garamond" w:cstheme="majorHAnsi"/>
          <w:sz w:val="24"/>
          <w:szCs w:val="24"/>
          <w:lang w:val="en-GB"/>
        </w:rPr>
        <w:t xml:space="preserve"> link to existing structures”. In this response, we point to such ongoing actions, and to areas that, in ISPE</w:t>
      </w:r>
      <w:r w:rsidR="009B05BB" w:rsidRPr="00515850">
        <w:rPr>
          <w:rFonts w:ascii="Garamond" w:hAnsi="Garamond" w:cstheme="majorHAnsi"/>
          <w:sz w:val="24"/>
          <w:szCs w:val="24"/>
          <w:lang w:val="en-GB"/>
        </w:rPr>
        <w:t>’s view</w:t>
      </w:r>
      <w:r w:rsidRPr="00515850">
        <w:rPr>
          <w:rFonts w:ascii="Garamond" w:hAnsi="Garamond" w:cstheme="majorHAnsi"/>
          <w:sz w:val="24"/>
          <w:szCs w:val="24"/>
          <w:lang w:val="en-GB"/>
        </w:rPr>
        <w:t>, are most likely to provide useful insights</w:t>
      </w:r>
      <w:r w:rsidR="005759FA" w:rsidRPr="00515850">
        <w:rPr>
          <w:rFonts w:ascii="Garamond" w:hAnsi="Garamond" w:cstheme="majorHAnsi"/>
          <w:sz w:val="24"/>
          <w:szCs w:val="24"/>
          <w:lang w:val="en-GB"/>
        </w:rPr>
        <w:t xml:space="preserve"> for regulatory decisions</w:t>
      </w:r>
      <w:r w:rsidRPr="00515850">
        <w:rPr>
          <w:rFonts w:ascii="Garamond" w:hAnsi="Garamond" w:cstheme="majorHAnsi"/>
          <w:sz w:val="24"/>
          <w:szCs w:val="24"/>
          <w:lang w:val="en-GB"/>
        </w:rPr>
        <w:t>.</w:t>
      </w:r>
    </w:p>
    <w:p w14:paraId="7418E723" w14:textId="0F6BD184" w:rsidR="00231817" w:rsidRPr="00515850" w:rsidRDefault="00231817" w:rsidP="00515850">
      <w:pPr>
        <w:spacing w:after="120" w:line="360" w:lineRule="auto"/>
        <w:rPr>
          <w:rFonts w:ascii="Garamond" w:hAnsi="Garamond" w:cstheme="majorHAnsi"/>
          <w:sz w:val="24"/>
          <w:szCs w:val="24"/>
          <w:lang w:val="en-GB"/>
        </w:rPr>
      </w:pPr>
      <w:r w:rsidRPr="00515850">
        <w:rPr>
          <w:rFonts w:ascii="Garamond" w:hAnsi="Garamond" w:cstheme="majorHAnsi"/>
          <w:sz w:val="24"/>
          <w:szCs w:val="24"/>
          <w:lang w:val="en-GB"/>
        </w:rPr>
        <w:t xml:space="preserve">To make optimal use of the many exciting new digital data sources and methods to ensure effectiveness and safety of licensed medical products, regulatory agencies will have to articulate the use cases they wish to address. The population-level effectiveness and safety can be demonstrated by studying the causal relationship between drugs and relevant health outcomes using randomized and non-interventional studies. </w:t>
      </w:r>
    </w:p>
    <w:p w14:paraId="7A681C80" w14:textId="75600359" w:rsidR="00231817" w:rsidRPr="00515850" w:rsidRDefault="00231817" w:rsidP="00515850">
      <w:pPr>
        <w:spacing w:after="120" w:line="360" w:lineRule="auto"/>
        <w:rPr>
          <w:rFonts w:ascii="Garamond" w:hAnsi="Garamond" w:cstheme="majorHAnsi"/>
          <w:sz w:val="24"/>
          <w:szCs w:val="24"/>
          <w:lang w:val="en-GB"/>
        </w:rPr>
      </w:pPr>
      <w:r w:rsidRPr="00515850">
        <w:rPr>
          <w:rFonts w:ascii="Garamond" w:hAnsi="Garamond" w:cstheme="majorHAnsi"/>
          <w:sz w:val="24"/>
          <w:szCs w:val="24"/>
          <w:lang w:val="en-GB"/>
        </w:rPr>
        <w:t xml:space="preserve">More than 2,000 members of ISPE undertake studies with non-interventional digital data that are generated by the routine operation of healthcare systems. While pharmacoepidemiology has been mostly working with and developing causal inference methods for data from insurance claims, registries, and electronic health records, the increasing availability of digital health data </w:t>
      </w:r>
      <w:r w:rsidR="005759FA" w:rsidRPr="00515850">
        <w:rPr>
          <w:rFonts w:ascii="Garamond" w:hAnsi="Garamond" w:cstheme="majorHAnsi"/>
          <w:sz w:val="24"/>
          <w:szCs w:val="24"/>
          <w:lang w:val="en-GB"/>
        </w:rPr>
        <w:t xml:space="preserve">generated </w:t>
      </w:r>
      <w:r w:rsidRPr="00515850">
        <w:rPr>
          <w:rFonts w:ascii="Garamond" w:hAnsi="Garamond" w:cstheme="majorHAnsi"/>
          <w:sz w:val="24"/>
          <w:szCs w:val="24"/>
          <w:lang w:val="en-GB"/>
        </w:rPr>
        <w:t xml:space="preserve">from sources </w:t>
      </w:r>
      <w:r w:rsidR="005759FA" w:rsidRPr="00515850">
        <w:rPr>
          <w:rFonts w:ascii="Garamond" w:hAnsi="Garamond" w:cstheme="majorHAnsi"/>
          <w:sz w:val="24"/>
          <w:szCs w:val="24"/>
          <w:lang w:val="en-GB"/>
        </w:rPr>
        <w:t xml:space="preserve">like </w:t>
      </w:r>
      <w:r w:rsidRPr="00515850">
        <w:rPr>
          <w:rFonts w:ascii="Garamond" w:hAnsi="Garamond" w:cstheme="majorHAnsi"/>
          <w:sz w:val="24"/>
          <w:szCs w:val="24"/>
          <w:lang w:val="en-GB"/>
        </w:rPr>
        <w:t>wearable devices</w:t>
      </w:r>
      <w:r w:rsidR="00035250" w:rsidRPr="00515850">
        <w:rPr>
          <w:rFonts w:ascii="Garamond" w:hAnsi="Garamond" w:cstheme="majorHAnsi"/>
          <w:sz w:val="24"/>
          <w:szCs w:val="24"/>
          <w:lang w:val="en-GB"/>
        </w:rPr>
        <w:t xml:space="preserve"> and</w:t>
      </w:r>
      <w:r w:rsidRPr="00515850">
        <w:rPr>
          <w:rFonts w:ascii="Garamond" w:hAnsi="Garamond" w:cstheme="majorHAnsi"/>
          <w:sz w:val="24"/>
          <w:szCs w:val="24"/>
          <w:lang w:val="en-GB"/>
        </w:rPr>
        <w:t xml:space="preserve"> social media, provides an unparalleled opportunity to improve and accelerate causal inference on medical products. Key ingredients are clear temporality, and accurate measurements of exposure</w:t>
      </w:r>
      <w:r w:rsidR="008623C9" w:rsidRPr="00515850">
        <w:rPr>
          <w:rFonts w:ascii="Garamond" w:hAnsi="Garamond" w:cstheme="majorHAnsi"/>
          <w:sz w:val="24"/>
          <w:szCs w:val="24"/>
          <w:lang w:val="en-GB"/>
        </w:rPr>
        <w:t>s</w:t>
      </w:r>
      <w:r w:rsidRPr="00515850">
        <w:rPr>
          <w:rFonts w:ascii="Garamond" w:hAnsi="Garamond" w:cstheme="majorHAnsi"/>
          <w:sz w:val="24"/>
          <w:szCs w:val="24"/>
          <w:lang w:val="en-GB"/>
        </w:rPr>
        <w:t>, outcomes, confounding factors and markers of patient group</w:t>
      </w:r>
      <w:r w:rsidR="008623C9" w:rsidRPr="00515850">
        <w:rPr>
          <w:rFonts w:ascii="Garamond" w:hAnsi="Garamond" w:cstheme="majorHAnsi"/>
          <w:sz w:val="24"/>
          <w:szCs w:val="24"/>
          <w:lang w:val="en-GB"/>
        </w:rPr>
        <w:t>s</w:t>
      </w:r>
      <w:r w:rsidRPr="00515850">
        <w:rPr>
          <w:rFonts w:ascii="Garamond" w:hAnsi="Garamond" w:cstheme="majorHAnsi"/>
          <w:sz w:val="24"/>
          <w:szCs w:val="24"/>
          <w:lang w:val="en-GB"/>
        </w:rPr>
        <w:t xml:space="preserve"> with varying susceptibility.</w:t>
      </w:r>
      <w:r w:rsidR="005E2D04" w:rsidRPr="00515850">
        <w:rPr>
          <w:rFonts w:ascii="Garamond" w:hAnsi="Garamond" w:cstheme="majorHAnsi"/>
          <w:sz w:val="24"/>
          <w:szCs w:val="24"/>
          <w:lang w:val="en-GB"/>
        </w:rPr>
        <w:t xml:space="preserve"> </w:t>
      </w:r>
      <w:r w:rsidRPr="00515850">
        <w:rPr>
          <w:rFonts w:ascii="Garamond" w:hAnsi="Garamond" w:cstheme="majorHAnsi"/>
          <w:sz w:val="24"/>
          <w:szCs w:val="24"/>
          <w:lang w:val="en-GB"/>
        </w:rPr>
        <w:t>Regardless of where the data originate, the application of the robust causal inference</w:t>
      </w:r>
      <w:r w:rsidR="00014245" w:rsidRPr="00515850">
        <w:rPr>
          <w:rFonts w:ascii="Garamond" w:hAnsi="Garamond" w:cstheme="majorHAnsi"/>
          <w:sz w:val="24"/>
          <w:szCs w:val="24"/>
          <w:lang w:val="en-GB"/>
        </w:rPr>
        <w:t xml:space="preserve"> models </w:t>
      </w:r>
      <w:r w:rsidRPr="00515850">
        <w:rPr>
          <w:rFonts w:ascii="Garamond" w:hAnsi="Garamond" w:cstheme="majorHAnsi"/>
          <w:sz w:val="24"/>
          <w:szCs w:val="24"/>
          <w:lang w:val="en-GB"/>
        </w:rPr>
        <w:t xml:space="preserve">developed in pharmacoepidemiology over decades is necessary to generate the RWE that can inform regulatory decision-making. </w:t>
      </w:r>
    </w:p>
    <w:p w14:paraId="071A6532" w14:textId="0512334F" w:rsidR="00231817" w:rsidRPr="00515850" w:rsidRDefault="00231817" w:rsidP="00515850">
      <w:pPr>
        <w:spacing w:after="120" w:line="360" w:lineRule="auto"/>
        <w:rPr>
          <w:rFonts w:ascii="Garamond" w:hAnsi="Garamond" w:cstheme="majorHAnsi"/>
          <w:sz w:val="24"/>
          <w:szCs w:val="24"/>
          <w:lang w:val="en-GB"/>
        </w:rPr>
      </w:pPr>
      <w:r w:rsidRPr="00515850">
        <w:rPr>
          <w:rFonts w:ascii="Garamond" w:hAnsi="Garamond" w:cstheme="majorHAnsi"/>
          <w:sz w:val="24"/>
          <w:szCs w:val="24"/>
          <w:lang w:val="en-GB"/>
        </w:rPr>
        <w:t xml:space="preserve">As also pointed out by the HMA/EMA Task Force, we consider a strengthened collaboration between academia, pharmaceutical companies, professional organisations and regulators essential to further this progress. In addition, and as also </w:t>
      </w:r>
      <w:r w:rsidR="005E2D04" w:rsidRPr="00515850">
        <w:rPr>
          <w:rFonts w:ascii="Garamond" w:hAnsi="Garamond" w:cstheme="majorHAnsi"/>
          <w:sz w:val="24"/>
          <w:szCs w:val="24"/>
          <w:lang w:val="en-GB"/>
        </w:rPr>
        <w:t>highlighted</w:t>
      </w:r>
      <w:r w:rsidRPr="00515850">
        <w:rPr>
          <w:rFonts w:ascii="Garamond" w:hAnsi="Garamond" w:cstheme="majorHAnsi"/>
          <w:sz w:val="24"/>
          <w:szCs w:val="24"/>
          <w:lang w:val="en-GB"/>
        </w:rPr>
        <w:t xml:space="preserve"> in previous EMA work </w:t>
      </w:r>
      <w:r w:rsidRPr="00515850">
        <w:rPr>
          <w:rFonts w:ascii="Garamond" w:hAnsi="Garamond" w:cstheme="majorHAnsi"/>
          <w:sz w:val="24"/>
          <w:szCs w:val="24"/>
          <w:lang w:val="en-GB"/>
        </w:rPr>
        <w:fldChar w:fldCharType="begin"/>
      </w:r>
      <w:r w:rsidR="00014245" w:rsidRPr="00515850">
        <w:rPr>
          <w:rFonts w:ascii="Garamond" w:hAnsi="Garamond" w:cstheme="majorHAnsi"/>
          <w:sz w:val="24"/>
          <w:szCs w:val="24"/>
          <w:lang w:val="en-GB"/>
        </w:rPr>
        <w:instrText xml:space="preserve"> ADDIN ZOTERO_ITEM CSL_CITATION {"citationID":"sx7KsMnF","properties":{"formattedCitation":"{\\rtf [1\\uc0\\u8211{}3]}","plainCitation":"[1–3]"},"citationItems":[{"id":3193,"uris":["http://zotero.org/users/1745437/items/U92FWZXI"],"uri":["http://zotero.org/users/1745437/items/U92FWZXI"],"itemData":{"id":3193,"type":"article","title":"The ENCePP Code of Conduct. 15 March 2018. EMA/929209/2011","author":[{"literal":"European Network of Centres for Pharmacoepidemiology and Pharmacovigilance (ENCePP)"}]}},{"id":3192,"uris":["http://zotero.org/users/1745437/items/2MEW97J4"],"uri":["http://zotero.org/users/1745437/items/2MEW97J4"],"itemData":{"id":3192,"type":"article","title":"Guide on Methodological standards in Pharmacoepidemiology (Revision 5). EMA/95098/2010","author":[{"literal":"European Network of Centres for Pharmacoepidemiology and Pharmacovigilance (ENCePP)"}]}},{"id":3191,"uris":["http://zotero.org/users/1745437/items/ZMENBAAI"],"uri":["http://zotero.org/users/1745437/items/ZMENBAAI"],"itemData":{"id":3191,"type":"article","title":"The European Union electronic Register of Post-Authorisation Studies (EU PAS Register).","author":[{"literal":"European Network of Centres for Pharmacoepidemiology and Pharmacovigilance (ENCePP)"}]}}],"schema":"https://github.com/citation-style-language/schema/raw/master/csl-citation.json"} </w:instrText>
      </w:r>
      <w:r w:rsidRPr="00515850">
        <w:rPr>
          <w:rFonts w:ascii="Garamond" w:hAnsi="Garamond" w:cstheme="majorHAnsi"/>
          <w:sz w:val="24"/>
          <w:szCs w:val="24"/>
          <w:lang w:val="en-GB"/>
        </w:rPr>
        <w:fldChar w:fldCharType="separate"/>
      </w:r>
      <w:r w:rsidR="00014245" w:rsidRPr="00515850">
        <w:rPr>
          <w:rFonts w:ascii="Garamond" w:hAnsi="Garamond" w:cstheme="majorHAnsi"/>
          <w:sz w:val="24"/>
          <w:szCs w:val="24"/>
          <w:lang w:val="en-US"/>
        </w:rPr>
        <w:t>[1–3]</w:t>
      </w:r>
      <w:r w:rsidRPr="00515850">
        <w:rPr>
          <w:rFonts w:ascii="Garamond" w:hAnsi="Garamond" w:cstheme="majorHAnsi"/>
          <w:sz w:val="24"/>
          <w:szCs w:val="24"/>
          <w:lang w:val="en-GB"/>
        </w:rPr>
        <w:fldChar w:fldCharType="end"/>
      </w:r>
      <w:r w:rsidRPr="00515850">
        <w:rPr>
          <w:rFonts w:ascii="Garamond" w:hAnsi="Garamond" w:cstheme="majorHAnsi"/>
          <w:sz w:val="24"/>
          <w:szCs w:val="24"/>
          <w:lang w:val="en-GB"/>
        </w:rPr>
        <w:t xml:space="preserve">, strong emphasis on the transparent reporting of designs and methodological choices and the application of best pharmacoepidemiologic practices will be essential in evolving the field further </w:t>
      </w:r>
      <w:r w:rsidRPr="00515850">
        <w:rPr>
          <w:rFonts w:ascii="Garamond" w:hAnsi="Garamond" w:cstheme="majorHAnsi"/>
          <w:sz w:val="24"/>
          <w:szCs w:val="24"/>
          <w:lang w:val="en-GB"/>
        </w:rPr>
        <w:fldChar w:fldCharType="begin"/>
      </w:r>
      <w:r w:rsidR="00014245" w:rsidRPr="00515850">
        <w:rPr>
          <w:rFonts w:ascii="Garamond" w:hAnsi="Garamond" w:cstheme="majorHAnsi"/>
          <w:sz w:val="24"/>
          <w:szCs w:val="24"/>
          <w:lang w:val="en-GB"/>
        </w:rPr>
        <w:instrText xml:space="preserve"> ADDIN ZOTERO_ITEM CSL_CITATION {"citationID":"56cZogoV","properties":{"formattedCitation":"[4,5]","plainCitation":"[4,5]"},"citationItems":[{"id":3194,"uris":["http://zotero.org/users/1745437/items/AADQ97B3"],"uri":["http://zotero.org/users/1745437/items/AADQ97B3"],"itemData":{"id":3194,"type":"article-journal","title":"Good practices for real-world data studies of treatment and/or comparative effectiveness: Recommendations from the joint ISPOR-ISPE Special Task Force on real-world evidence in health care decision making","container-title":"Pharmacoepidemiology and Drug Safety","page":"1033-1039","volume":"26","issue":"9","source":"PubMed","abstract":"PURPOSE: Real-world evidence (RWE) includes data from retrospective or prospective observational studies and observational registries and provides insights beyond those addressed by randomized controlled trials. RWE studies aim to improve health care decision making.\nMETHODS: The International Society for Pharmacoeconomics and Outcomes Research (ISPOR) and the International Society for Pharmacoepidemiology (ISPE) created a task force to make recommendations regarding good procedural practices that would enhance decision makers' confidence in evidence derived from RWD studies. Peer review by ISPOR/ISPE members and task force participants provided a consensus-building iterative process for the topics and framing of recommendations.\nRESULTS: The ISPOR/ISPE Task Force recommendations cover seven topics such as study registration, replicability, and stakeholder involvement in RWE studies. These recommendations, in concert with earlier recommendations about study methodology, provide a trustworthy foundation for the expanded use of RWE in health care decision making.\nCONCLUSION: The focus of these recommendations is good procedural practices for studies that test a specific hypothesis in a specific population. We recognize that some of the recommendations in this report may not be widely adopted without appropriate incentives from decision makers, journal editors, and other key stakeholders.","DOI":"10.1002/pds.4297","ISSN":"1099-1557","note":"PMID: 28913966\nPMCID: PMC5639372","shortTitle":"Good practices for real-world data studies of treatment and/or comparative effectiveness","journalAbbreviation":"Pharmacoepidemiol Drug Saf","language":"eng","author":[{"family":"Berger","given":"Marc L."},{"family":"Sox","given":"Harold"},{"family":"Willke","given":"Richard J."},{"family":"Brixner","given":"Diana L."},{"family":"Eichler","given":"Hans-Georg"},{"family":"Goettsch","given":"Wim"},{"family":"Madigan","given":"David"},{"family":"Makady","given":"Amr"},{"family":"Schneeweiss","given":"Sebastian"},{"family":"Tarricone","given":"Rosanna"},{"family":"Wang","given":"Shirley V."},{"family":"Watkins","given":"John"},{"family":"Daniel Mullins","given":"C."}],"issued":{"date-parts":[["2017",9]]}}},{"id":3200,"uris":["http://zotero.org/users/1745437/items/US9DTRDX"],"uri":["http://zotero.org/users/1745437/items/US9DTRDX"],"itemData":{"id":3200,"type":"article-journal","title":"Reporting to Improve Reproducibility and Facilitate Validity Assessment for Healthcare Database Studies V1.0","container-title":"Pharmacoepidemiology and Drug Safety","page":"1018-1032","volume":"26","issue":"9","source":"PubMed","abstract":"PURPOSE: Defining a study population and creating an analytic dataset from longitudinal healthcare databases involves many decisions. Our objective was to catalogue scientific decisions underpinning study execution that should be reported to facilitate replication and enable assessment of validity of studies conducted in large healthcare databases.\nMETHODS: We reviewed key investigator decisions required to operate a sample of macros and software tools designed to create and analyze analytic cohorts from longitudinal streams of healthcare data. A panel of academic, regulatory, and industry experts in healthcare database analytics discussed and added to this list.\nCONCLUSION: Evidence generated from large healthcare encounter and reimbursement databases is increasingly being sought by decision-makers. Varied terminology is used around the world for the same concepts. Agreeing on terminology and which parameters from a large catalogue are the most essential to report for replicable research would improve transparency and facilitate assessment of validity. At a minimum, reporting for a database study should provide clarity regarding operational definitions for key temporal anchors and their relation to each other when creating the analytic dataset, accompanied by an attrition table and a design diagram. A substantial improvement in reproducibility, rigor and confidence in real world evidence generated from healthcare databases could be achieved with greater transparency about operational study parameters used to create analytic datasets from longitudinal healthcare databases.","DOI":"10.1002/pds.4295","ISSN":"1099-1557","note":"PMID: 28913963\nPMCID: PMC5639362","journalAbbreviation":"Pharmacoepidemiol Drug Saf","language":"eng","author":[{"family":"Wang","given":"Shirley V."},{"family":"Schneeweiss","given":"Sebastian"},{"family":"Berger","given":"Marc L."},{"family":"Brown","given":"Jeffrey"},{"family":"Vries","given":"Frank","non-dropping-particle":"de"},{"family":"Douglas","given":"Ian"},{"family":"Gagne","given":"Joshua J."},{"family":"Gini","given":"Rosa"},{"family":"Klungel","given":"Olaf"},{"family":"Mullins","given":"C. Daniel"},{"family":"Nguyen","given":"Michael D."},{"family":"Rassen","given":"Jeremy A."},{"family":"Smeeth","given":"Liam"},{"family":"Sturkenboom","given":"Miriam"},{"literal":"joint ISPE-ISPOR Special Task Force on Real World Evidence in Health Care Decision Making"}],"issued":{"date-parts":[["2017"]]}}}],"schema":"https://github.com/citation-style-language/schema/raw/master/csl-citation.json"} </w:instrText>
      </w:r>
      <w:r w:rsidRPr="00515850">
        <w:rPr>
          <w:rFonts w:ascii="Garamond" w:hAnsi="Garamond" w:cstheme="majorHAnsi"/>
          <w:sz w:val="24"/>
          <w:szCs w:val="24"/>
          <w:lang w:val="en-GB"/>
        </w:rPr>
        <w:fldChar w:fldCharType="separate"/>
      </w:r>
      <w:r w:rsidR="00014245" w:rsidRPr="00515850">
        <w:rPr>
          <w:rFonts w:ascii="Garamond" w:hAnsi="Garamond" w:cstheme="majorHAnsi"/>
          <w:sz w:val="24"/>
          <w:szCs w:val="24"/>
          <w:lang w:val="en-US"/>
        </w:rPr>
        <w:t>[4,5]</w:t>
      </w:r>
      <w:r w:rsidRPr="00515850">
        <w:rPr>
          <w:rFonts w:ascii="Garamond" w:hAnsi="Garamond" w:cstheme="majorHAnsi"/>
          <w:sz w:val="24"/>
          <w:szCs w:val="24"/>
          <w:lang w:val="en-GB"/>
        </w:rPr>
        <w:fldChar w:fldCharType="end"/>
      </w:r>
      <w:r w:rsidRPr="00515850">
        <w:rPr>
          <w:rFonts w:ascii="Garamond" w:hAnsi="Garamond" w:cstheme="majorHAnsi"/>
          <w:sz w:val="24"/>
          <w:szCs w:val="24"/>
          <w:lang w:val="en-GB"/>
        </w:rPr>
        <w:t xml:space="preserve">. Of note, this applies regardless of the specific nature of the </w:t>
      </w:r>
      <w:proofErr w:type="gramStart"/>
      <w:r w:rsidR="0049023F" w:rsidRPr="00515850">
        <w:rPr>
          <w:rFonts w:ascii="Garamond" w:hAnsi="Garamond" w:cstheme="majorHAnsi"/>
          <w:sz w:val="24"/>
          <w:szCs w:val="24"/>
          <w:lang w:val="en-GB"/>
        </w:rPr>
        <w:t>real world</w:t>
      </w:r>
      <w:proofErr w:type="gramEnd"/>
      <w:r w:rsidR="0049023F" w:rsidRPr="00515850">
        <w:rPr>
          <w:rFonts w:ascii="Garamond" w:hAnsi="Garamond" w:cstheme="majorHAnsi"/>
          <w:sz w:val="24"/>
          <w:szCs w:val="24"/>
          <w:lang w:val="en-GB"/>
        </w:rPr>
        <w:t xml:space="preserve"> data (</w:t>
      </w:r>
      <w:r w:rsidRPr="00515850">
        <w:rPr>
          <w:rFonts w:ascii="Garamond" w:hAnsi="Garamond" w:cstheme="majorHAnsi"/>
          <w:sz w:val="24"/>
          <w:szCs w:val="24"/>
          <w:lang w:val="en-GB"/>
        </w:rPr>
        <w:t>RWD</w:t>
      </w:r>
      <w:r w:rsidR="0049023F" w:rsidRPr="00515850">
        <w:rPr>
          <w:rFonts w:ascii="Garamond" w:hAnsi="Garamond" w:cstheme="majorHAnsi"/>
          <w:sz w:val="24"/>
          <w:szCs w:val="24"/>
          <w:lang w:val="en-GB"/>
        </w:rPr>
        <w:t>)</w:t>
      </w:r>
      <w:r w:rsidRPr="00515850">
        <w:rPr>
          <w:rFonts w:ascii="Garamond" w:hAnsi="Garamond" w:cstheme="majorHAnsi"/>
          <w:sz w:val="24"/>
          <w:szCs w:val="24"/>
          <w:lang w:val="en-GB"/>
        </w:rPr>
        <w:t xml:space="preserve"> used. </w:t>
      </w:r>
    </w:p>
    <w:p w14:paraId="1AA8EB09" w14:textId="19F6A36F" w:rsidR="00231817" w:rsidRPr="00515850" w:rsidRDefault="00231817" w:rsidP="00515850">
      <w:pPr>
        <w:spacing w:after="120" w:line="360" w:lineRule="auto"/>
        <w:rPr>
          <w:rFonts w:ascii="Garamond" w:hAnsi="Garamond" w:cstheme="majorHAnsi"/>
          <w:sz w:val="24"/>
          <w:szCs w:val="24"/>
          <w:lang w:val="en-GB"/>
        </w:rPr>
      </w:pPr>
      <w:r w:rsidRPr="00515850">
        <w:rPr>
          <w:rFonts w:ascii="Garamond" w:hAnsi="Garamond" w:cstheme="majorHAnsi"/>
          <w:sz w:val="24"/>
          <w:szCs w:val="24"/>
          <w:lang w:val="en-GB"/>
        </w:rPr>
        <w:t>ISPE strongly supports the Task Force’s recommendation to initiate studies compar</w:t>
      </w:r>
      <w:r w:rsidR="009B05BB" w:rsidRPr="00515850">
        <w:rPr>
          <w:rFonts w:ascii="Garamond" w:hAnsi="Garamond" w:cstheme="majorHAnsi"/>
          <w:sz w:val="24"/>
          <w:szCs w:val="24"/>
          <w:lang w:val="en-GB"/>
        </w:rPr>
        <w:t>ing</w:t>
      </w:r>
      <w:r w:rsidRPr="00515850">
        <w:rPr>
          <w:rFonts w:ascii="Garamond" w:hAnsi="Garamond" w:cstheme="majorHAnsi"/>
          <w:sz w:val="24"/>
          <w:szCs w:val="24"/>
          <w:lang w:val="en-GB"/>
        </w:rPr>
        <w:t xml:space="preserve"> evidence generated through randomized trials and </w:t>
      </w:r>
      <w:r w:rsidR="00185BF3" w:rsidRPr="00515850">
        <w:rPr>
          <w:rFonts w:ascii="Garamond" w:hAnsi="Garamond" w:cstheme="majorHAnsi"/>
          <w:sz w:val="24"/>
          <w:szCs w:val="24"/>
          <w:lang w:val="en-GB"/>
        </w:rPr>
        <w:t xml:space="preserve">non-interventional </w:t>
      </w:r>
      <w:r w:rsidRPr="00515850">
        <w:rPr>
          <w:rFonts w:ascii="Garamond" w:hAnsi="Garamond" w:cstheme="majorHAnsi"/>
          <w:sz w:val="24"/>
          <w:szCs w:val="24"/>
          <w:lang w:val="en-GB"/>
        </w:rPr>
        <w:t xml:space="preserve">data sources for the same safety or effectiveness questions. Such studies, based on the multitude of curated healthcare databases already </w:t>
      </w:r>
      <w:r w:rsidRPr="00515850">
        <w:rPr>
          <w:rFonts w:ascii="Garamond" w:hAnsi="Garamond" w:cstheme="majorHAnsi"/>
          <w:sz w:val="24"/>
          <w:szCs w:val="24"/>
          <w:lang w:val="en-GB"/>
        </w:rPr>
        <w:lastRenderedPageBreak/>
        <w:t xml:space="preserve">available throughout Europe, will be essential to expand our understanding of the value from RWD analyses in generating RWE supporting regulatory decision making. At the same time, we wish to emphasise that RCTs and </w:t>
      </w:r>
      <w:r w:rsidR="00185BF3" w:rsidRPr="00515850">
        <w:rPr>
          <w:rFonts w:ascii="Garamond" w:hAnsi="Garamond" w:cstheme="majorHAnsi"/>
          <w:sz w:val="24"/>
          <w:szCs w:val="24"/>
          <w:lang w:val="en-GB"/>
        </w:rPr>
        <w:t xml:space="preserve">non-interventional </w:t>
      </w:r>
      <w:r w:rsidRPr="00515850">
        <w:rPr>
          <w:rFonts w:ascii="Garamond" w:hAnsi="Garamond" w:cstheme="majorHAnsi"/>
          <w:sz w:val="24"/>
          <w:szCs w:val="24"/>
          <w:lang w:val="en-GB"/>
        </w:rPr>
        <w:t xml:space="preserve">studies can each </w:t>
      </w:r>
      <w:r w:rsidR="009B05BB" w:rsidRPr="00515850">
        <w:rPr>
          <w:rFonts w:ascii="Garamond" w:hAnsi="Garamond" w:cstheme="majorHAnsi"/>
          <w:sz w:val="24"/>
          <w:szCs w:val="24"/>
          <w:lang w:val="en-GB"/>
        </w:rPr>
        <w:t xml:space="preserve">be </w:t>
      </w:r>
      <w:r w:rsidRPr="00515850">
        <w:rPr>
          <w:rFonts w:ascii="Garamond" w:hAnsi="Garamond" w:cstheme="majorHAnsi"/>
          <w:sz w:val="24"/>
          <w:szCs w:val="24"/>
          <w:lang w:val="en-GB"/>
        </w:rPr>
        <w:t>used to address different questions, all equally important for public health.</w:t>
      </w:r>
    </w:p>
    <w:p w14:paraId="5D4D70C4" w14:textId="567998EC" w:rsidR="00231817" w:rsidRPr="00515850" w:rsidRDefault="00231817" w:rsidP="00515850">
      <w:pPr>
        <w:spacing w:after="120" w:line="360" w:lineRule="auto"/>
        <w:rPr>
          <w:rFonts w:ascii="Garamond" w:hAnsi="Garamond" w:cstheme="majorHAnsi"/>
          <w:sz w:val="24"/>
          <w:szCs w:val="24"/>
          <w:lang w:val="en-GB"/>
        </w:rPr>
      </w:pPr>
      <w:r w:rsidRPr="00515850">
        <w:rPr>
          <w:rFonts w:ascii="Garamond" w:hAnsi="Garamond" w:cstheme="majorHAnsi"/>
          <w:sz w:val="24"/>
          <w:szCs w:val="24"/>
          <w:lang w:val="en-GB"/>
        </w:rPr>
        <w:t xml:space="preserve">We also note that the HMA/EMA Task Force points to standardization of data sources. While increasing harmonization would indeed help to facilitate </w:t>
      </w:r>
      <w:r w:rsidR="0049023F" w:rsidRPr="00515850">
        <w:rPr>
          <w:rFonts w:ascii="Garamond" w:hAnsi="Garamond" w:cstheme="majorHAnsi"/>
          <w:sz w:val="24"/>
          <w:szCs w:val="24"/>
          <w:lang w:val="en-GB"/>
        </w:rPr>
        <w:t xml:space="preserve">their </w:t>
      </w:r>
      <w:r w:rsidRPr="00515850">
        <w:rPr>
          <w:rFonts w:ascii="Garamond" w:hAnsi="Garamond" w:cstheme="majorHAnsi"/>
          <w:sz w:val="24"/>
          <w:szCs w:val="24"/>
          <w:lang w:val="en-GB"/>
        </w:rPr>
        <w:t xml:space="preserve">use, the diverse structure and scope of RWD data is inherent to the healthcare system and healthcare </w:t>
      </w:r>
      <w:r w:rsidR="0049768C" w:rsidRPr="00515850">
        <w:rPr>
          <w:rFonts w:ascii="Garamond" w:hAnsi="Garamond" w:cstheme="majorHAnsi"/>
          <w:sz w:val="24"/>
          <w:szCs w:val="24"/>
          <w:lang w:val="en-GB"/>
        </w:rPr>
        <w:t xml:space="preserve">providers </w:t>
      </w:r>
      <w:r w:rsidRPr="00515850">
        <w:rPr>
          <w:rFonts w:ascii="Garamond" w:hAnsi="Garamond" w:cstheme="majorHAnsi"/>
          <w:sz w:val="24"/>
          <w:szCs w:val="24"/>
          <w:lang w:val="en-GB"/>
        </w:rPr>
        <w:t xml:space="preserve">generating the data. </w:t>
      </w:r>
      <w:r w:rsidR="0049768C" w:rsidRPr="00515850">
        <w:rPr>
          <w:rFonts w:ascii="Garamond" w:hAnsi="Garamond" w:cstheme="majorHAnsi"/>
          <w:sz w:val="24"/>
          <w:szCs w:val="24"/>
          <w:lang w:val="en-GB"/>
        </w:rPr>
        <w:t>W</w:t>
      </w:r>
      <w:r w:rsidRPr="00515850">
        <w:rPr>
          <w:rFonts w:ascii="Garamond" w:hAnsi="Garamond" w:cstheme="majorHAnsi"/>
          <w:sz w:val="24"/>
          <w:szCs w:val="24"/>
          <w:lang w:val="en-GB"/>
        </w:rPr>
        <w:t xml:space="preserve">ith RWD, more so than with other sources of data, local expertise and understanding of the </w:t>
      </w:r>
      <w:proofErr w:type="gramStart"/>
      <w:r w:rsidR="009B05BB" w:rsidRPr="00515850">
        <w:rPr>
          <w:rFonts w:ascii="Garamond" w:hAnsi="Garamond" w:cstheme="majorHAnsi"/>
          <w:sz w:val="24"/>
          <w:szCs w:val="24"/>
          <w:lang w:val="en-GB"/>
        </w:rPr>
        <w:t xml:space="preserve">particular </w:t>
      </w:r>
      <w:r w:rsidRPr="00515850">
        <w:rPr>
          <w:rFonts w:ascii="Garamond" w:hAnsi="Garamond" w:cstheme="majorHAnsi"/>
          <w:sz w:val="24"/>
          <w:szCs w:val="24"/>
          <w:lang w:val="en-GB"/>
        </w:rPr>
        <w:t>data</w:t>
      </w:r>
      <w:proofErr w:type="gramEnd"/>
      <w:r w:rsidRPr="00515850">
        <w:rPr>
          <w:rFonts w:ascii="Garamond" w:hAnsi="Garamond" w:cstheme="majorHAnsi"/>
          <w:sz w:val="24"/>
          <w:szCs w:val="24"/>
          <w:lang w:val="en-GB"/>
        </w:rPr>
        <w:t xml:space="preserve"> source is crucial. Such knowledge, including data breaks, changes in coding practices etc., </w:t>
      </w:r>
      <w:r w:rsidR="009B05BB" w:rsidRPr="00515850">
        <w:rPr>
          <w:rFonts w:ascii="Garamond" w:hAnsi="Garamond" w:cstheme="majorHAnsi"/>
          <w:sz w:val="24"/>
          <w:szCs w:val="24"/>
          <w:lang w:val="en-GB"/>
        </w:rPr>
        <w:t>is difficult to</w:t>
      </w:r>
      <w:r w:rsidRPr="00515850">
        <w:rPr>
          <w:rFonts w:ascii="Garamond" w:hAnsi="Garamond" w:cstheme="majorHAnsi"/>
          <w:sz w:val="24"/>
          <w:szCs w:val="24"/>
          <w:lang w:val="en-GB"/>
        </w:rPr>
        <w:t xml:space="preserve"> fully capture by meta data. For this, and other reasons, full harmonization of datasets is not always the best solution. Rather, continued work is needed on setting up distributed data networks based on various levels of data harmonization, including collaborations supporting distributed analyses. Considerable experiences have already been accrued in this developing field, as was summarized in a recent </w:t>
      </w:r>
      <w:proofErr w:type="spellStart"/>
      <w:r w:rsidRPr="00515850">
        <w:rPr>
          <w:rFonts w:ascii="Garamond" w:hAnsi="Garamond" w:cstheme="majorHAnsi"/>
          <w:sz w:val="24"/>
          <w:szCs w:val="24"/>
          <w:lang w:val="en-GB"/>
        </w:rPr>
        <w:t>ENCePP</w:t>
      </w:r>
      <w:proofErr w:type="spellEnd"/>
      <w:r w:rsidRPr="00515850">
        <w:rPr>
          <w:rFonts w:ascii="Garamond" w:hAnsi="Garamond" w:cstheme="majorHAnsi"/>
          <w:sz w:val="24"/>
          <w:szCs w:val="24"/>
          <w:lang w:val="en-GB"/>
        </w:rPr>
        <w:t xml:space="preserve"> survey of methodologies for EU publicly funded multi-database safety studies </w:t>
      </w:r>
      <w:r w:rsidRPr="00515850">
        <w:rPr>
          <w:rFonts w:ascii="Garamond" w:hAnsi="Garamond" w:cstheme="majorHAnsi"/>
          <w:sz w:val="24"/>
          <w:szCs w:val="24"/>
          <w:lang w:val="en-GB"/>
        </w:rPr>
        <w:fldChar w:fldCharType="begin"/>
      </w:r>
      <w:r w:rsidR="00014245" w:rsidRPr="00515850">
        <w:rPr>
          <w:rFonts w:ascii="Garamond" w:hAnsi="Garamond" w:cstheme="majorHAnsi"/>
          <w:sz w:val="24"/>
          <w:szCs w:val="24"/>
          <w:lang w:val="en-GB"/>
        </w:rPr>
        <w:instrText xml:space="preserve"> ADDIN ZOTERO_ITEM CSL_CITATION {"citationID":"a9k0nol3vm","properties":{"formattedCitation":"[6]","plainCitation":"[6]"},"citationItems":[{"id":3190,"uris":["http://zotero.org/users/1745437/items/T7EHMERT"],"uri":["http://zotero.org/users/1745437/items/T7EHMERT"],"itemData":{"id":3190,"type":"article","title":"Survey of methodologies for European Union publicly funded multi-database safety studies. 21 October 2014. EMA/651167/2014","author":[{"literal":"European Network of Centres for Pharmacoepidemiology and Pharmacovigilance (ENCePP)"}]}}],"schema":"https://github.com/citation-style-language/schema/raw/master/csl-citation.json"} </w:instrText>
      </w:r>
      <w:r w:rsidRPr="00515850">
        <w:rPr>
          <w:rFonts w:ascii="Garamond" w:hAnsi="Garamond" w:cstheme="majorHAnsi"/>
          <w:sz w:val="24"/>
          <w:szCs w:val="24"/>
          <w:lang w:val="en-GB"/>
        </w:rPr>
        <w:fldChar w:fldCharType="separate"/>
      </w:r>
      <w:r w:rsidR="00014245" w:rsidRPr="00515850">
        <w:rPr>
          <w:rFonts w:ascii="Garamond" w:hAnsi="Garamond" w:cstheme="majorHAnsi"/>
          <w:sz w:val="24"/>
          <w:szCs w:val="24"/>
          <w:lang w:val="en-US"/>
        </w:rPr>
        <w:t>[6]</w:t>
      </w:r>
      <w:r w:rsidRPr="00515850">
        <w:rPr>
          <w:rFonts w:ascii="Garamond" w:hAnsi="Garamond" w:cstheme="majorHAnsi"/>
          <w:sz w:val="24"/>
          <w:szCs w:val="24"/>
          <w:lang w:val="en-GB"/>
        </w:rPr>
        <w:fldChar w:fldCharType="end"/>
      </w:r>
      <w:r w:rsidRPr="00515850">
        <w:rPr>
          <w:rFonts w:ascii="Garamond" w:hAnsi="Garamond" w:cstheme="majorHAnsi"/>
          <w:sz w:val="24"/>
          <w:szCs w:val="24"/>
          <w:lang w:val="en-GB"/>
        </w:rPr>
        <w:t xml:space="preserve">. Irrespective of which RWD is used, including emerging data streams, ensuring sustained access to data, with transparent processes around data collection, curation, storage, access and analysis is essential for credible continual </w:t>
      </w:r>
      <w:r w:rsidR="0049023F" w:rsidRPr="00515850">
        <w:rPr>
          <w:rFonts w:ascii="Garamond" w:hAnsi="Garamond" w:cstheme="majorHAnsi"/>
          <w:sz w:val="24"/>
          <w:szCs w:val="24"/>
          <w:lang w:val="en-GB"/>
        </w:rPr>
        <w:t>RWE</w:t>
      </w:r>
      <w:r w:rsidRPr="00515850">
        <w:rPr>
          <w:rFonts w:ascii="Garamond" w:hAnsi="Garamond" w:cstheme="majorHAnsi"/>
          <w:sz w:val="24"/>
          <w:szCs w:val="24"/>
          <w:lang w:val="en-GB"/>
        </w:rPr>
        <w:t xml:space="preserve"> generation that is essential for public health</w:t>
      </w:r>
      <w:r w:rsidRPr="00515850">
        <w:rPr>
          <w:rFonts w:ascii="Garamond" w:hAnsi="Garamond" w:cstheme="majorHAnsi"/>
          <w:sz w:val="24"/>
          <w:szCs w:val="24"/>
          <w:lang w:val="en-US"/>
        </w:rPr>
        <w:t xml:space="preserve"> </w:t>
      </w:r>
      <w:r w:rsidR="00014245" w:rsidRPr="00515850">
        <w:rPr>
          <w:rFonts w:ascii="Garamond" w:hAnsi="Garamond" w:cstheme="majorHAnsi"/>
          <w:sz w:val="24"/>
          <w:szCs w:val="24"/>
          <w:lang w:val="en-US"/>
        </w:rPr>
        <w:fldChar w:fldCharType="begin"/>
      </w:r>
      <w:r w:rsidR="00014245" w:rsidRPr="00515850">
        <w:rPr>
          <w:rFonts w:ascii="Garamond" w:hAnsi="Garamond" w:cstheme="majorHAnsi"/>
          <w:sz w:val="24"/>
          <w:szCs w:val="24"/>
          <w:lang w:val="en-US"/>
        </w:rPr>
        <w:instrText xml:space="preserve"> ADDIN ZOTERO_ITEM CSL_CITATION {"citationID":"a25tiodg083","properties":{"formattedCitation":"[7]","plainCitation":"[7]"},"citationItems":[{"id":3197,"uris":["http://zotero.org/users/1745437/items/HNAQ3VMP"],"uri":["http://zotero.org/users/1745437/items/HNAQ3VMP"],"itemData":{"id":3197,"type":"article-journal","title":"Evidence generation from healthcare databases: recommendations for managing change","container-title":"Pharmacoepidemiology and Drug Safety","page":"749-754","volume":"25","issue":"7","source":"PubMed","abstract":"There is an increasing reliance on databases of healthcare records for pharmacoepidemiology and other medical research, and such resources are often accessed over a long period of time so it is vital to consider the impact of changes in data, access methodology and the environment. The authors discuss change in communication and management, and provide a checklist of issues to consider for both database providers and users. The scope of the paper is database research, and changes are considered in relation to the three main components of database research: the data content itself, how it is accessed, and the support and tools needed to use the database. Copyright © 2016 John Wiley &amp; Sons, Ltd.","DOI":"10.1002/pds.4004","ISSN":"1099-1557","note":"PMID: 27183900","shortTitle":"Evidence generation from healthcare databases","journalAbbreviation":"Pharmacoepidemiol Drug Saf","language":"eng","author":[{"family":"Bourke","given":"Alison"},{"family":"Bate","given":"Andrew"},{"family":"Sauer","given":"Brian C."},{"family":"Brown","given":"Jeffrey S."},{"family":"Hall","given":"Gillian C."}],"issued":{"date-parts":[["2016"]]}}}],"schema":"https://github.com/citation-style-language/schema/raw/master/csl-citation.json"} </w:instrText>
      </w:r>
      <w:r w:rsidR="00014245" w:rsidRPr="00515850">
        <w:rPr>
          <w:rFonts w:ascii="Garamond" w:hAnsi="Garamond" w:cstheme="majorHAnsi"/>
          <w:sz w:val="24"/>
          <w:szCs w:val="24"/>
          <w:lang w:val="en-US"/>
        </w:rPr>
        <w:fldChar w:fldCharType="separate"/>
      </w:r>
      <w:r w:rsidR="00014245" w:rsidRPr="00515850">
        <w:rPr>
          <w:rFonts w:ascii="Garamond" w:hAnsi="Garamond" w:cstheme="majorHAnsi"/>
          <w:sz w:val="24"/>
          <w:szCs w:val="24"/>
          <w:lang w:val="en-US"/>
        </w:rPr>
        <w:t>[7]</w:t>
      </w:r>
      <w:r w:rsidR="00014245" w:rsidRPr="00515850">
        <w:rPr>
          <w:rFonts w:ascii="Garamond" w:hAnsi="Garamond" w:cstheme="majorHAnsi"/>
          <w:sz w:val="24"/>
          <w:szCs w:val="24"/>
          <w:lang w:val="en-US"/>
        </w:rPr>
        <w:fldChar w:fldCharType="end"/>
      </w:r>
      <w:r w:rsidRPr="00515850">
        <w:rPr>
          <w:rFonts w:ascii="Garamond" w:hAnsi="Garamond" w:cstheme="majorHAnsi"/>
          <w:sz w:val="24"/>
          <w:szCs w:val="24"/>
          <w:lang w:val="en-GB"/>
        </w:rPr>
        <w:t xml:space="preserve">. </w:t>
      </w:r>
    </w:p>
    <w:p w14:paraId="7EEBE764" w14:textId="662E4D55" w:rsidR="00231817" w:rsidRDefault="00231817" w:rsidP="00515850">
      <w:pPr>
        <w:spacing w:after="120" w:line="360" w:lineRule="auto"/>
        <w:rPr>
          <w:rFonts w:ascii="Garamond" w:hAnsi="Garamond" w:cstheme="majorHAnsi"/>
          <w:sz w:val="24"/>
          <w:szCs w:val="24"/>
          <w:lang w:val="en-GB"/>
        </w:rPr>
      </w:pPr>
      <w:r w:rsidRPr="00515850">
        <w:rPr>
          <w:rFonts w:ascii="Garamond" w:hAnsi="Garamond" w:cstheme="majorHAnsi"/>
          <w:sz w:val="24"/>
          <w:szCs w:val="24"/>
          <w:lang w:val="en-GB"/>
        </w:rPr>
        <w:t xml:space="preserve">ISPE fully agrees with the HMA/EMA Task Force that the era of Big Data offers immense opportunities. </w:t>
      </w:r>
      <w:r w:rsidR="00875888" w:rsidRPr="00515850">
        <w:rPr>
          <w:rFonts w:ascii="Garamond" w:hAnsi="Garamond" w:cstheme="majorHAnsi"/>
          <w:sz w:val="24"/>
          <w:szCs w:val="24"/>
          <w:lang w:val="en-GB"/>
        </w:rPr>
        <w:t>Machine learning and all aspects of predictive modelling, natural language processing, and the many techniques to structure massive longitudinal data streams are important tools to process such data and feed them into subsequent analyses.</w:t>
      </w:r>
      <w:r w:rsidR="00875888" w:rsidRPr="00515850">
        <w:rPr>
          <w:rFonts w:ascii="Garamond" w:hAnsi="Garamond" w:cstheme="majorHAnsi"/>
          <w:sz w:val="24"/>
          <w:szCs w:val="24"/>
          <w:lang w:val="en-US"/>
        </w:rPr>
        <w:t xml:space="preserve"> </w:t>
      </w:r>
      <w:r w:rsidRPr="00515850">
        <w:rPr>
          <w:rFonts w:ascii="Garamond" w:hAnsi="Garamond" w:cstheme="majorHAnsi"/>
          <w:sz w:val="24"/>
          <w:szCs w:val="24"/>
          <w:lang w:val="en-GB"/>
        </w:rPr>
        <w:t xml:space="preserve">However, addressing this primarily as a technical data science exercise will not realize </w:t>
      </w:r>
      <w:r w:rsidR="005759FA" w:rsidRPr="00515850">
        <w:rPr>
          <w:rFonts w:ascii="Garamond" w:hAnsi="Garamond" w:cstheme="majorHAnsi"/>
          <w:sz w:val="24"/>
          <w:szCs w:val="24"/>
          <w:lang w:val="en-GB"/>
        </w:rPr>
        <w:t xml:space="preserve">its </w:t>
      </w:r>
      <w:r w:rsidR="0049768C" w:rsidRPr="00515850">
        <w:rPr>
          <w:rFonts w:ascii="Garamond" w:hAnsi="Garamond" w:cstheme="majorHAnsi"/>
          <w:sz w:val="24"/>
          <w:szCs w:val="24"/>
          <w:lang w:val="en-GB"/>
        </w:rPr>
        <w:t xml:space="preserve">full </w:t>
      </w:r>
      <w:r w:rsidRPr="00515850">
        <w:rPr>
          <w:rFonts w:ascii="Garamond" w:hAnsi="Garamond" w:cstheme="majorHAnsi"/>
          <w:sz w:val="24"/>
          <w:szCs w:val="24"/>
          <w:lang w:val="en-GB"/>
        </w:rPr>
        <w:t>value for regulatory decision</w:t>
      </w:r>
      <w:r w:rsidR="00F67219" w:rsidRPr="00515850">
        <w:rPr>
          <w:rFonts w:ascii="Garamond" w:hAnsi="Garamond" w:cstheme="majorHAnsi"/>
          <w:sz w:val="24"/>
          <w:szCs w:val="24"/>
          <w:lang w:val="en-GB"/>
        </w:rPr>
        <w:t>s</w:t>
      </w:r>
      <w:r w:rsidRPr="00515850">
        <w:rPr>
          <w:rFonts w:ascii="Garamond" w:hAnsi="Garamond" w:cstheme="majorHAnsi"/>
          <w:sz w:val="24"/>
          <w:szCs w:val="24"/>
          <w:lang w:val="en-GB"/>
        </w:rPr>
        <w:t xml:space="preserve">. A profound understanding of epidemiological concepts including </w:t>
      </w:r>
      <w:r w:rsidR="00BE56F6" w:rsidRPr="00515850">
        <w:rPr>
          <w:rFonts w:ascii="Garamond" w:hAnsi="Garamond" w:cstheme="majorHAnsi"/>
          <w:sz w:val="24"/>
          <w:szCs w:val="24"/>
          <w:lang w:val="en-GB"/>
        </w:rPr>
        <w:t xml:space="preserve">confounding, </w:t>
      </w:r>
      <w:r w:rsidRPr="00515850">
        <w:rPr>
          <w:rFonts w:ascii="Garamond" w:hAnsi="Garamond" w:cstheme="majorHAnsi"/>
          <w:sz w:val="24"/>
          <w:szCs w:val="24"/>
          <w:lang w:val="en-GB"/>
        </w:rPr>
        <w:t>design, measurement and inferential analyses will be vital to avoid being misled by the inevitable spurious, non-causal associations. The ISPE community has nearly four decades of experience in addressing such issues scientifically</w:t>
      </w:r>
      <w:r w:rsidR="00035250" w:rsidRPr="00515850">
        <w:rPr>
          <w:rFonts w:ascii="Garamond" w:hAnsi="Garamond" w:cstheme="majorHAnsi"/>
          <w:sz w:val="24"/>
          <w:szCs w:val="24"/>
          <w:lang w:val="en-GB"/>
        </w:rPr>
        <w:t xml:space="preserve"> </w:t>
      </w:r>
      <w:r w:rsidR="00667904" w:rsidRPr="00515850">
        <w:rPr>
          <w:rFonts w:ascii="Garamond" w:hAnsi="Garamond" w:cstheme="majorHAnsi"/>
          <w:sz w:val="24"/>
          <w:szCs w:val="24"/>
          <w:lang w:val="en-GB"/>
        </w:rPr>
        <w:fldChar w:fldCharType="begin"/>
      </w:r>
      <w:r w:rsidR="00667904" w:rsidRPr="00515850">
        <w:rPr>
          <w:rFonts w:ascii="Garamond" w:hAnsi="Garamond" w:cstheme="majorHAnsi"/>
          <w:sz w:val="24"/>
          <w:szCs w:val="24"/>
          <w:lang w:val="en-GB"/>
        </w:rPr>
        <w:instrText xml:space="preserve"> ADDIN ZOTERO_ITEM CSL_CITATION {"citationID":"a1u35fmqbej","properties":{"formattedCitation":"[8]","plainCitation":"[8]"},"citationItems":[{"id":3203,"uris":["http://zotero.org/users/1745437/items/J9R2VZPA"],"uri":["http://zotero.org/users/1745437/items/J9R2VZPA"],"itemData":{"id":3203,"type":"article-journal","title":"Guidelines for good pharmacoepidemiology practice (GPP)","container-title":"Pharmacoepidemiology and Drug Safety","page":"2-10","volume":"25","issue":"1","source":"PubMed","DOI":"10.1002/pds.3891","ISSN":"1099-1557","note":"PMID: 26537534","journalAbbreviation":"Pharmacoepidemiol Drug Saf","language":"eng","author":[{"literal":"Public Policy Committee, International Society of Pharmacoepidemiology"}],"issued":{"date-parts":[["2016",1]]}}}],"schema":"https://github.com/citation-style-language/schema/raw/master/csl-citation.json"} </w:instrText>
      </w:r>
      <w:r w:rsidR="00667904" w:rsidRPr="00515850">
        <w:rPr>
          <w:rFonts w:ascii="Garamond" w:hAnsi="Garamond" w:cstheme="majorHAnsi"/>
          <w:sz w:val="24"/>
          <w:szCs w:val="24"/>
          <w:lang w:val="en-GB"/>
        </w:rPr>
        <w:fldChar w:fldCharType="separate"/>
      </w:r>
      <w:r w:rsidR="00667904" w:rsidRPr="00515850">
        <w:rPr>
          <w:rFonts w:ascii="Garamond" w:hAnsi="Garamond" w:cs="Calibri Light"/>
          <w:sz w:val="24"/>
          <w:szCs w:val="24"/>
          <w:lang w:val="en-US"/>
        </w:rPr>
        <w:t>[8]</w:t>
      </w:r>
      <w:r w:rsidR="00667904" w:rsidRPr="00515850">
        <w:rPr>
          <w:rFonts w:ascii="Garamond" w:hAnsi="Garamond" w:cstheme="majorHAnsi"/>
          <w:sz w:val="24"/>
          <w:szCs w:val="24"/>
          <w:lang w:val="en-GB"/>
        </w:rPr>
        <w:fldChar w:fldCharType="end"/>
      </w:r>
      <w:r w:rsidRPr="00515850">
        <w:rPr>
          <w:rFonts w:ascii="Garamond" w:hAnsi="Garamond" w:cstheme="majorHAnsi"/>
          <w:sz w:val="24"/>
          <w:szCs w:val="24"/>
          <w:lang w:val="en-GB"/>
        </w:rPr>
        <w:t xml:space="preserve">  and would gladly offer its assistance in incorporating this perspective into the future work of the Task Force. </w:t>
      </w:r>
    </w:p>
    <w:p w14:paraId="19599B42" w14:textId="1DA6039A" w:rsidR="00515850" w:rsidRDefault="00515850" w:rsidP="00515850">
      <w:pPr>
        <w:spacing w:after="120" w:line="360" w:lineRule="auto"/>
        <w:rPr>
          <w:rFonts w:ascii="Garamond" w:hAnsi="Garamond" w:cstheme="majorHAnsi"/>
          <w:sz w:val="24"/>
          <w:szCs w:val="24"/>
          <w:lang w:val="en-GB"/>
        </w:rPr>
      </w:pPr>
    </w:p>
    <w:p w14:paraId="04E4EF82" w14:textId="4A195599" w:rsidR="00515850" w:rsidRPr="00515850" w:rsidRDefault="00515850" w:rsidP="00515850">
      <w:pPr>
        <w:spacing w:after="120" w:line="360" w:lineRule="auto"/>
        <w:rPr>
          <w:rFonts w:ascii="Garamond" w:hAnsi="Garamond" w:cstheme="majorHAnsi"/>
          <w:sz w:val="24"/>
          <w:szCs w:val="24"/>
          <w:u w:val="single"/>
          <w:lang w:val="en-GB"/>
        </w:rPr>
      </w:pPr>
      <w:r w:rsidRPr="00515850">
        <w:rPr>
          <w:rFonts w:ascii="Garamond" w:hAnsi="Garamond" w:cstheme="majorHAnsi"/>
          <w:sz w:val="24"/>
          <w:szCs w:val="24"/>
          <w:u w:val="single"/>
          <w:lang w:val="en-GB"/>
        </w:rPr>
        <w:t>Text box</w:t>
      </w:r>
    </w:p>
    <w:p w14:paraId="515CE13E" w14:textId="13682D59" w:rsidR="00515850" w:rsidRPr="00515850" w:rsidRDefault="00515850" w:rsidP="00515850">
      <w:pPr>
        <w:spacing w:after="120" w:line="360" w:lineRule="auto"/>
        <w:rPr>
          <w:rFonts w:ascii="Garamond" w:hAnsi="Garamond" w:cstheme="majorHAnsi"/>
          <w:sz w:val="24"/>
          <w:szCs w:val="24"/>
          <w:lang w:val="en-GB"/>
        </w:rPr>
      </w:pPr>
      <w:r>
        <w:rPr>
          <w:rFonts w:ascii="Garamond" w:hAnsi="Garamond" w:cstheme="majorHAnsi"/>
          <w:sz w:val="24"/>
          <w:szCs w:val="24"/>
          <w:lang w:val="en-GB"/>
        </w:rPr>
        <w:t>This comment was submitted by the authors on behalf of the International Society for Pharmacoepidemiology as a response to the</w:t>
      </w:r>
      <w:r w:rsidR="00D50244">
        <w:rPr>
          <w:rFonts w:ascii="Garamond" w:hAnsi="Garamond" w:cstheme="majorHAnsi"/>
          <w:sz w:val="24"/>
          <w:szCs w:val="24"/>
          <w:lang w:val="en-GB"/>
        </w:rPr>
        <w:t xml:space="preserve"> European Medicines Agency (EMA) and </w:t>
      </w:r>
      <w:r w:rsidRPr="00515850">
        <w:rPr>
          <w:rFonts w:ascii="Garamond" w:hAnsi="Garamond" w:cstheme="majorHAnsi"/>
          <w:sz w:val="24"/>
          <w:szCs w:val="24"/>
          <w:lang w:val="en-GB"/>
        </w:rPr>
        <w:t xml:space="preserve">Heads of Medicines Agencies (HMA) </w:t>
      </w:r>
      <w:r w:rsidR="00D50244">
        <w:rPr>
          <w:rFonts w:ascii="Garamond" w:hAnsi="Garamond" w:cstheme="majorHAnsi"/>
          <w:sz w:val="24"/>
          <w:szCs w:val="24"/>
          <w:lang w:val="en-GB"/>
        </w:rPr>
        <w:t xml:space="preserve">Joint Big Data Taskforce Summary Report </w:t>
      </w:r>
      <w:r>
        <w:rPr>
          <w:rFonts w:ascii="Garamond" w:hAnsi="Garamond" w:cstheme="majorHAnsi"/>
          <w:sz w:val="24"/>
          <w:szCs w:val="24"/>
          <w:lang w:val="en-GB"/>
        </w:rPr>
        <w:t xml:space="preserve">made public in February 2019. The report is available from </w:t>
      </w:r>
      <w:r w:rsidRPr="00515850">
        <w:rPr>
          <w:rFonts w:ascii="Garamond" w:hAnsi="Garamond" w:cstheme="majorHAnsi"/>
          <w:sz w:val="24"/>
          <w:szCs w:val="24"/>
          <w:lang w:val="en-GB"/>
        </w:rPr>
        <w:t>https://www.ema.europa.eu/en/documents/minutes/hma/ema-joint-task-force-big-data-summary-report_en.pdf</w:t>
      </w:r>
      <w:r>
        <w:rPr>
          <w:rFonts w:ascii="Garamond" w:hAnsi="Garamond" w:cstheme="majorHAnsi"/>
          <w:sz w:val="24"/>
          <w:szCs w:val="24"/>
          <w:lang w:val="en-GB"/>
        </w:rPr>
        <w:t xml:space="preserve">. </w:t>
      </w:r>
    </w:p>
    <w:p w14:paraId="14970853" w14:textId="1F5990EB" w:rsidR="00231817" w:rsidRPr="00515850" w:rsidRDefault="00515850" w:rsidP="00231817">
      <w:pPr>
        <w:rPr>
          <w:rFonts w:ascii="Garamond" w:hAnsi="Garamond" w:cstheme="majorHAnsi"/>
          <w:b/>
          <w:sz w:val="24"/>
          <w:szCs w:val="24"/>
          <w:lang w:val="en-GB"/>
        </w:rPr>
      </w:pPr>
      <w:r>
        <w:rPr>
          <w:rFonts w:ascii="Garamond" w:hAnsi="Garamond" w:cstheme="majorHAnsi"/>
          <w:b/>
          <w:sz w:val="24"/>
          <w:szCs w:val="24"/>
          <w:lang w:val="en-GB"/>
        </w:rPr>
        <w:lastRenderedPageBreak/>
        <w:t>R</w:t>
      </w:r>
      <w:r w:rsidR="00231817" w:rsidRPr="00515850">
        <w:rPr>
          <w:rFonts w:ascii="Garamond" w:hAnsi="Garamond" w:cstheme="majorHAnsi"/>
          <w:b/>
          <w:sz w:val="24"/>
          <w:szCs w:val="24"/>
          <w:lang w:val="en-GB"/>
        </w:rPr>
        <w:t>eferences</w:t>
      </w:r>
    </w:p>
    <w:p w14:paraId="02BB7C9E" w14:textId="77777777" w:rsidR="00667904" w:rsidRPr="00515850" w:rsidRDefault="00231817" w:rsidP="00667904">
      <w:pPr>
        <w:pStyle w:val="Bibliografi"/>
        <w:spacing w:after="0"/>
        <w:rPr>
          <w:rFonts w:ascii="Garamond" w:hAnsi="Garamond" w:cs="Calibri Light"/>
          <w:sz w:val="24"/>
          <w:szCs w:val="24"/>
          <w:lang w:val="en-US"/>
        </w:rPr>
      </w:pPr>
      <w:r w:rsidRPr="00515850">
        <w:rPr>
          <w:rFonts w:ascii="Garamond" w:hAnsi="Garamond" w:cstheme="majorHAnsi"/>
          <w:sz w:val="24"/>
          <w:szCs w:val="24"/>
          <w:lang w:val="en-GB"/>
        </w:rPr>
        <w:fldChar w:fldCharType="begin"/>
      </w:r>
      <w:r w:rsidR="00667904" w:rsidRPr="00515850">
        <w:rPr>
          <w:rFonts w:ascii="Garamond" w:hAnsi="Garamond" w:cstheme="majorHAnsi"/>
          <w:sz w:val="24"/>
          <w:szCs w:val="24"/>
          <w:lang w:val="en-GB"/>
        </w:rPr>
        <w:instrText xml:space="preserve"> ADDIN ZOTERO_BIBL {"custom":[]} CSL_BIBLIOGRAPHY </w:instrText>
      </w:r>
      <w:r w:rsidRPr="00515850">
        <w:rPr>
          <w:rFonts w:ascii="Garamond" w:hAnsi="Garamond" w:cstheme="majorHAnsi"/>
          <w:sz w:val="24"/>
          <w:szCs w:val="24"/>
          <w:lang w:val="en-GB"/>
        </w:rPr>
        <w:fldChar w:fldCharType="separate"/>
      </w:r>
      <w:r w:rsidR="00667904" w:rsidRPr="00515850">
        <w:rPr>
          <w:rFonts w:ascii="Garamond" w:hAnsi="Garamond" w:cs="Calibri Light"/>
          <w:sz w:val="24"/>
          <w:szCs w:val="24"/>
          <w:lang w:val="en-US"/>
        </w:rPr>
        <w:t xml:space="preserve">1 </w:t>
      </w:r>
      <w:r w:rsidR="00667904" w:rsidRPr="00515850">
        <w:rPr>
          <w:rFonts w:ascii="Garamond" w:hAnsi="Garamond" w:cs="Calibri Light"/>
          <w:sz w:val="24"/>
          <w:szCs w:val="24"/>
          <w:lang w:val="en-US"/>
        </w:rPr>
        <w:tab/>
        <w:t xml:space="preserve">European Network of Centres for Pharmacoepidemiology and Pharmacovigilance (ENCePP). The ENCePP Code of Conduct. 15 March 2018. EMA/929209/2011. </w:t>
      </w:r>
    </w:p>
    <w:p w14:paraId="6DA87770" w14:textId="77777777" w:rsidR="00667904" w:rsidRPr="00515850" w:rsidRDefault="00667904" w:rsidP="00667904">
      <w:pPr>
        <w:pStyle w:val="Bibliografi"/>
        <w:spacing w:after="0"/>
        <w:rPr>
          <w:rFonts w:ascii="Garamond" w:hAnsi="Garamond" w:cs="Calibri Light"/>
          <w:sz w:val="24"/>
          <w:szCs w:val="24"/>
          <w:lang w:val="en-US"/>
        </w:rPr>
      </w:pPr>
      <w:r w:rsidRPr="00515850">
        <w:rPr>
          <w:rFonts w:ascii="Garamond" w:hAnsi="Garamond" w:cs="Calibri Light"/>
          <w:sz w:val="24"/>
          <w:szCs w:val="24"/>
          <w:lang w:val="en-US"/>
        </w:rPr>
        <w:t xml:space="preserve">2 </w:t>
      </w:r>
      <w:r w:rsidRPr="00515850">
        <w:rPr>
          <w:rFonts w:ascii="Garamond" w:hAnsi="Garamond" w:cs="Calibri Light"/>
          <w:sz w:val="24"/>
          <w:szCs w:val="24"/>
          <w:lang w:val="en-US"/>
        </w:rPr>
        <w:tab/>
        <w:t xml:space="preserve">European Network of Centres for Pharmacoepidemiology and Pharmacovigilance (ENCePP). Guide on Methodological standards in Pharmacoepidemiology (Revision 5). EMA/95098/2010. </w:t>
      </w:r>
    </w:p>
    <w:p w14:paraId="72FAECD0" w14:textId="77777777" w:rsidR="00667904" w:rsidRPr="00515850" w:rsidRDefault="00667904" w:rsidP="00667904">
      <w:pPr>
        <w:pStyle w:val="Bibliografi"/>
        <w:spacing w:after="0"/>
        <w:rPr>
          <w:rFonts w:ascii="Garamond" w:hAnsi="Garamond" w:cs="Calibri Light"/>
          <w:sz w:val="24"/>
          <w:szCs w:val="24"/>
          <w:lang w:val="en-US"/>
        </w:rPr>
      </w:pPr>
      <w:r w:rsidRPr="00515850">
        <w:rPr>
          <w:rFonts w:ascii="Garamond" w:hAnsi="Garamond" w:cs="Calibri Light"/>
          <w:sz w:val="24"/>
          <w:szCs w:val="24"/>
          <w:lang w:val="en-US"/>
        </w:rPr>
        <w:t xml:space="preserve">3 </w:t>
      </w:r>
      <w:r w:rsidRPr="00515850">
        <w:rPr>
          <w:rFonts w:ascii="Garamond" w:hAnsi="Garamond" w:cs="Calibri Light"/>
          <w:sz w:val="24"/>
          <w:szCs w:val="24"/>
          <w:lang w:val="en-US"/>
        </w:rPr>
        <w:tab/>
        <w:t xml:space="preserve">European Network of Centres for Pharmacoepidemiology and Pharmacovigilance (ENCePP). The European Union electronic Register of Post-Authorisation Studies (EU PAS Register). </w:t>
      </w:r>
    </w:p>
    <w:p w14:paraId="1F5BD256" w14:textId="77777777" w:rsidR="00667904" w:rsidRPr="00515850" w:rsidRDefault="00667904" w:rsidP="00667904">
      <w:pPr>
        <w:pStyle w:val="Bibliografi"/>
        <w:spacing w:after="0"/>
        <w:rPr>
          <w:rFonts w:ascii="Garamond" w:hAnsi="Garamond" w:cs="Calibri Light"/>
          <w:sz w:val="24"/>
          <w:szCs w:val="24"/>
          <w:lang w:val="en-US"/>
        </w:rPr>
      </w:pPr>
      <w:r w:rsidRPr="00515850">
        <w:rPr>
          <w:rFonts w:ascii="Garamond" w:hAnsi="Garamond" w:cs="Calibri Light"/>
          <w:sz w:val="24"/>
          <w:szCs w:val="24"/>
        </w:rPr>
        <w:t xml:space="preserve">4 </w:t>
      </w:r>
      <w:r w:rsidRPr="00515850">
        <w:rPr>
          <w:rFonts w:ascii="Garamond" w:hAnsi="Garamond" w:cs="Calibri Light"/>
          <w:sz w:val="24"/>
          <w:szCs w:val="24"/>
        </w:rPr>
        <w:tab/>
        <w:t xml:space="preserve">Berger ML, Sox H, Willke RJ, </w:t>
      </w:r>
      <w:r w:rsidRPr="00515850">
        <w:rPr>
          <w:rFonts w:ascii="Garamond" w:hAnsi="Garamond" w:cs="Calibri Light"/>
          <w:i/>
          <w:iCs/>
          <w:sz w:val="24"/>
          <w:szCs w:val="24"/>
        </w:rPr>
        <w:t>et al.</w:t>
      </w:r>
      <w:r w:rsidRPr="00515850">
        <w:rPr>
          <w:rFonts w:ascii="Garamond" w:hAnsi="Garamond" w:cs="Calibri Light"/>
          <w:sz w:val="24"/>
          <w:szCs w:val="24"/>
        </w:rPr>
        <w:t xml:space="preserve"> </w:t>
      </w:r>
      <w:r w:rsidRPr="00515850">
        <w:rPr>
          <w:rFonts w:ascii="Garamond" w:hAnsi="Garamond" w:cs="Calibri Light"/>
          <w:sz w:val="24"/>
          <w:szCs w:val="24"/>
          <w:lang w:val="en-US"/>
        </w:rPr>
        <w:t xml:space="preserve">Good practices for real-world data studies of treatment and/or comparative effectiveness: Recommendations from the joint ISPOR-ISPE Special Task Force on real-world evidence in health care decision making. </w:t>
      </w:r>
      <w:r w:rsidRPr="00515850">
        <w:rPr>
          <w:rFonts w:ascii="Garamond" w:hAnsi="Garamond" w:cs="Calibri Light"/>
          <w:i/>
          <w:iCs/>
          <w:sz w:val="24"/>
          <w:szCs w:val="24"/>
          <w:lang w:val="en-US"/>
        </w:rPr>
        <w:t>Pharmacoepidemiol Drug Saf</w:t>
      </w:r>
      <w:r w:rsidRPr="00515850">
        <w:rPr>
          <w:rFonts w:ascii="Garamond" w:hAnsi="Garamond" w:cs="Calibri Light"/>
          <w:sz w:val="24"/>
          <w:szCs w:val="24"/>
          <w:lang w:val="en-US"/>
        </w:rPr>
        <w:t xml:space="preserve"> 2017;</w:t>
      </w:r>
      <w:r w:rsidRPr="00515850">
        <w:rPr>
          <w:rFonts w:ascii="Garamond" w:hAnsi="Garamond" w:cs="Calibri Light"/>
          <w:b/>
          <w:bCs/>
          <w:sz w:val="24"/>
          <w:szCs w:val="24"/>
          <w:lang w:val="en-US"/>
        </w:rPr>
        <w:t>26</w:t>
      </w:r>
      <w:r w:rsidRPr="00515850">
        <w:rPr>
          <w:rFonts w:ascii="Garamond" w:hAnsi="Garamond" w:cs="Calibri Light"/>
          <w:sz w:val="24"/>
          <w:szCs w:val="24"/>
          <w:lang w:val="en-US"/>
        </w:rPr>
        <w:t>:1033–9. doi:10.1002/pds.4297</w:t>
      </w:r>
    </w:p>
    <w:p w14:paraId="20A100F0" w14:textId="77777777" w:rsidR="00667904" w:rsidRPr="00515850" w:rsidRDefault="00667904" w:rsidP="00667904">
      <w:pPr>
        <w:pStyle w:val="Bibliografi"/>
        <w:spacing w:after="0"/>
        <w:rPr>
          <w:rFonts w:ascii="Garamond" w:hAnsi="Garamond" w:cs="Calibri Light"/>
          <w:sz w:val="24"/>
          <w:szCs w:val="24"/>
          <w:lang w:val="en-US"/>
        </w:rPr>
      </w:pPr>
      <w:r w:rsidRPr="00515850">
        <w:rPr>
          <w:rFonts w:ascii="Garamond" w:hAnsi="Garamond" w:cs="Calibri Light"/>
          <w:sz w:val="24"/>
          <w:szCs w:val="24"/>
          <w:lang w:val="en-US"/>
        </w:rPr>
        <w:t xml:space="preserve">5 </w:t>
      </w:r>
      <w:r w:rsidRPr="00515850">
        <w:rPr>
          <w:rFonts w:ascii="Garamond" w:hAnsi="Garamond" w:cs="Calibri Light"/>
          <w:sz w:val="24"/>
          <w:szCs w:val="24"/>
          <w:lang w:val="en-US"/>
        </w:rPr>
        <w:tab/>
        <w:t xml:space="preserve">Wang SV, Schneeweiss S, Berger ML, </w:t>
      </w:r>
      <w:r w:rsidRPr="00515850">
        <w:rPr>
          <w:rFonts w:ascii="Garamond" w:hAnsi="Garamond" w:cs="Calibri Light"/>
          <w:i/>
          <w:iCs/>
          <w:sz w:val="24"/>
          <w:szCs w:val="24"/>
          <w:lang w:val="en-US"/>
        </w:rPr>
        <w:t>et al.</w:t>
      </w:r>
      <w:r w:rsidRPr="00515850">
        <w:rPr>
          <w:rFonts w:ascii="Garamond" w:hAnsi="Garamond" w:cs="Calibri Light"/>
          <w:sz w:val="24"/>
          <w:szCs w:val="24"/>
          <w:lang w:val="en-US"/>
        </w:rPr>
        <w:t xml:space="preserve"> Reporting to Improve Reproducibility and Facilitate Validity Assessment for Healthcare Database Studies V1.0. </w:t>
      </w:r>
      <w:r w:rsidRPr="00515850">
        <w:rPr>
          <w:rFonts w:ascii="Garamond" w:hAnsi="Garamond" w:cs="Calibri Light"/>
          <w:i/>
          <w:iCs/>
          <w:sz w:val="24"/>
          <w:szCs w:val="24"/>
          <w:lang w:val="en-US"/>
        </w:rPr>
        <w:t>Pharmacoepidemiol Drug Saf</w:t>
      </w:r>
      <w:r w:rsidRPr="00515850">
        <w:rPr>
          <w:rFonts w:ascii="Garamond" w:hAnsi="Garamond" w:cs="Calibri Light"/>
          <w:sz w:val="24"/>
          <w:szCs w:val="24"/>
          <w:lang w:val="en-US"/>
        </w:rPr>
        <w:t xml:space="preserve"> 2017;</w:t>
      </w:r>
      <w:r w:rsidRPr="00515850">
        <w:rPr>
          <w:rFonts w:ascii="Garamond" w:hAnsi="Garamond" w:cs="Calibri Light"/>
          <w:b/>
          <w:bCs/>
          <w:sz w:val="24"/>
          <w:szCs w:val="24"/>
          <w:lang w:val="en-US"/>
        </w:rPr>
        <w:t>26</w:t>
      </w:r>
      <w:r w:rsidRPr="00515850">
        <w:rPr>
          <w:rFonts w:ascii="Garamond" w:hAnsi="Garamond" w:cs="Calibri Light"/>
          <w:sz w:val="24"/>
          <w:szCs w:val="24"/>
          <w:lang w:val="en-US"/>
        </w:rPr>
        <w:t>:1018–32. doi:10.1002/pds.4295</w:t>
      </w:r>
    </w:p>
    <w:p w14:paraId="5BADCCE7" w14:textId="77777777" w:rsidR="00667904" w:rsidRPr="00515850" w:rsidRDefault="00667904" w:rsidP="00667904">
      <w:pPr>
        <w:pStyle w:val="Bibliografi"/>
        <w:spacing w:after="0"/>
        <w:rPr>
          <w:rFonts w:ascii="Garamond" w:hAnsi="Garamond" w:cs="Calibri Light"/>
          <w:sz w:val="24"/>
          <w:szCs w:val="24"/>
          <w:lang w:val="en-US"/>
        </w:rPr>
      </w:pPr>
      <w:r w:rsidRPr="00515850">
        <w:rPr>
          <w:rFonts w:ascii="Garamond" w:hAnsi="Garamond" w:cs="Calibri Light"/>
          <w:sz w:val="24"/>
          <w:szCs w:val="24"/>
          <w:lang w:val="en-US"/>
        </w:rPr>
        <w:t xml:space="preserve">6 </w:t>
      </w:r>
      <w:r w:rsidRPr="00515850">
        <w:rPr>
          <w:rFonts w:ascii="Garamond" w:hAnsi="Garamond" w:cs="Calibri Light"/>
          <w:sz w:val="24"/>
          <w:szCs w:val="24"/>
          <w:lang w:val="en-US"/>
        </w:rPr>
        <w:tab/>
        <w:t xml:space="preserve">European Network of Centres for Pharmacoepidemiology and Pharmacovigilance (ENCePP). Survey of methodologies for European Union publicly funded multi-database safety studies. 21 October 2014. EMA/651167/2014. </w:t>
      </w:r>
    </w:p>
    <w:p w14:paraId="359AB254" w14:textId="77777777" w:rsidR="00667904" w:rsidRPr="00515850" w:rsidRDefault="00667904" w:rsidP="00667904">
      <w:pPr>
        <w:pStyle w:val="Bibliografi"/>
        <w:spacing w:after="0"/>
        <w:rPr>
          <w:rFonts w:ascii="Garamond" w:hAnsi="Garamond" w:cs="Calibri Light"/>
          <w:sz w:val="24"/>
          <w:szCs w:val="24"/>
          <w:lang w:val="en-US"/>
        </w:rPr>
      </w:pPr>
      <w:r w:rsidRPr="00515850">
        <w:rPr>
          <w:rFonts w:ascii="Garamond" w:hAnsi="Garamond" w:cs="Calibri Light"/>
          <w:sz w:val="24"/>
          <w:szCs w:val="24"/>
          <w:lang w:val="en-US"/>
        </w:rPr>
        <w:t xml:space="preserve">7 </w:t>
      </w:r>
      <w:r w:rsidRPr="00515850">
        <w:rPr>
          <w:rFonts w:ascii="Garamond" w:hAnsi="Garamond" w:cs="Calibri Light"/>
          <w:sz w:val="24"/>
          <w:szCs w:val="24"/>
          <w:lang w:val="en-US"/>
        </w:rPr>
        <w:tab/>
        <w:t xml:space="preserve">Bourke A, Bate A, Sauer BC, </w:t>
      </w:r>
      <w:r w:rsidRPr="00515850">
        <w:rPr>
          <w:rFonts w:ascii="Garamond" w:hAnsi="Garamond" w:cs="Calibri Light"/>
          <w:i/>
          <w:iCs/>
          <w:sz w:val="24"/>
          <w:szCs w:val="24"/>
          <w:lang w:val="en-US"/>
        </w:rPr>
        <w:t>et al.</w:t>
      </w:r>
      <w:r w:rsidRPr="00515850">
        <w:rPr>
          <w:rFonts w:ascii="Garamond" w:hAnsi="Garamond" w:cs="Calibri Light"/>
          <w:sz w:val="24"/>
          <w:szCs w:val="24"/>
          <w:lang w:val="en-US"/>
        </w:rPr>
        <w:t xml:space="preserve"> Evidence generation from healthcare databases: recommendations for managing change. </w:t>
      </w:r>
      <w:r w:rsidRPr="00515850">
        <w:rPr>
          <w:rFonts w:ascii="Garamond" w:hAnsi="Garamond" w:cs="Calibri Light"/>
          <w:i/>
          <w:iCs/>
          <w:sz w:val="24"/>
          <w:szCs w:val="24"/>
          <w:lang w:val="en-US"/>
        </w:rPr>
        <w:t>Pharmacoepidemiol Drug Saf</w:t>
      </w:r>
      <w:r w:rsidRPr="00515850">
        <w:rPr>
          <w:rFonts w:ascii="Garamond" w:hAnsi="Garamond" w:cs="Calibri Light"/>
          <w:sz w:val="24"/>
          <w:szCs w:val="24"/>
          <w:lang w:val="en-US"/>
        </w:rPr>
        <w:t xml:space="preserve"> 2016;</w:t>
      </w:r>
      <w:r w:rsidRPr="00515850">
        <w:rPr>
          <w:rFonts w:ascii="Garamond" w:hAnsi="Garamond" w:cs="Calibri Light"/>
          <w:b/>
          <w:bCs/>
          <w:sz w:val="24"/>
          <w:szCs w:val="24"/>
          <w:lang w:val="en-US"/>
        </w:rPr>
        <w:t>25</w:t>
      </w:r>
      <w:r w:rsidRPr="00515850">
        <w:rPr>
          <w:rFonts w:ascii="Garamond" w:hAnsi="Garamond" w:cs="Calibri Light"/>
          <w:sz w:val="24"/>
          <w:szCs w:val="24"/>
          <w:lang w:val="en-US"/>
        </w:rPr>
        <w:t>:749–54. doi:10.1002/pds.4004</w:t>
      </w:r>
    </w:p>
    <w:p w14:paraId="0AB81663" w14:textId="77777777" w:rsidR="00667904" w:rsidRPr="00515850" w:rsidRDefault="00667904" w:rsidP="00667904">
      <w:pPr>
        <w:pStyle w:val="Bibliografi"/>
        <w:spacing w:after="0"/>
        <w:rPr>
          <w:rFonts w:ascii="Garamond" w:hAnsi="Garamond" w:cs="Calibri Light"/>
          <w:sz w:val="24"/>
          <w:szCs w:val="24"/>
          <w:lang w:val="en-US"/>
        </w:rPr>
      </w:pPr>
      <w:r w:rsidRPr="00515850">
        <w:rPr>
          <w:rFonts w:ascii="Garamond" w:hAnsi="Garamond" w:cs="Calibri Light"/>
          <w:sz w:val="24"/>
          <w:szCs w:val="24"/>
          <w:lang w:val="en-US"/>
        </w:rPr>
        <w:t xml:space="preserve">8 </w:t>
      </w:r>
      <w:r w:rsidRPr="00515850">
        <w:rPr>
          <w:rFonts w:ascii="Garamond" w:hAnsi="Garamond" w:cs="Calibri Light"/>
          <w:sz w:val="24"/>
          <w:szCs w:val="24"/>
          <w:lang w:val="en-US"/>
        </w:rPr>
        <w:tab/>
        <w:t xml:space="preserve">Public Policy Committee, International Society of Pharmacoepidemiology. Guidelines for good pharmacoepidemiology practice (GPP). </w:t>
      </w:r>
      <w:r w:rsidRPr="00515850">
        <w:rPr>
          <w:rFonts w:ascii="Garamond" w:hAnsi="Garamond" w:cs="Calibri Light"/>
          <w:i/>
          <w:iCs/>
          <w:sz w:val="24"/>
          <w:szCs w:val="24"/>
          <w:lang w:val="en-US"/>
        </w:rPr>
        <w:t>Pharmacoepidemiol Drug Saf</w:t>
      </w:r>
      <w:r w:rsidRPr="00515850">
        <w:rPr>
          <w:rFonts w:ascii="Garamond" w:hAnsi="Garamond" w:cs="Calibri Light"/>
          <w:sz w:val="24"/>
          <w:szCs w:val="24"/>
          <w:lang w:val="en-US"/>
        </w:rPr>
        <w:t xml:space="preserve"> 2016;</w:t>
      </w:r>
      <w:r w:rsidRPr="00515850">
        <w:rPr>
          <w:rFonts w:ascii="Garamond" w:hAnsi="Garamond" w:cs="Calibri Light"/>
          <w:b/>
          <w:bCs/>
          <w:sz w:val="24"/>
          <w:szCs w:val="24"/>
          <w:lang w:val="en-US"/>
        </w:rPr>
        <w:t>25</w:t>
      </w:r>
      <w:r w:rsidRPr="00515850">
        <w:rPr>
          <w:rFonts w:ascii="Garamond" w:hAnsi="Garamond" w:cs="Calibri Light"/>
          <w:sz w:val="24"/>
          <w:szCs w:val="24"/>
          <w:lang w:val="en-US"/>
        </w:rPr>
        <w:t>:2–10. doi:10.1002/pds.3891</w:t>
      </w:r>
    </w:p>
    <w:p w14:paraId="5A87B40E" w14:textId="4827811E" w:rsidR="00231817" w:rsidRPr="00515850" w:rsidRDefault="00231817" w:rsidP="00667904">
      <w:pPr>
        <w:pStyle w:val="Bibliografi"/>
        <w:spacing w:after="0"/>
        <w:rPr>
          <w:rFonts w:ascii="Garamond" w:hAnsi="Garamond" w:cstheme="majorHAnsi"/>
          <w:sz w:val="24"/>
          <w:szCs w:val="24"/>
          <w:lang w:val="en-GB"/>
        </w:rPr>
      </w:pPr>
      <w:r w:rsidRPr="00515850">
        <w:rPr>
          <w:rFonts w:ascii="Garamond" w:hAnsi="Garamond" w:cstheme="majorHAnsi"/>
          <w:sz w:val="24"/>
          <w:szCs w:val="24"/>
          <w:lang w:val="en-GB"/>
        </w:rPr>
        <w:fldChar w:fldCharType="end"/>
      </w:r>
    </w:p>
    <w:sectPr w:rsidR="00231817" w:rsidRPr="00515850" w:rsidSect="00667904">
      <w:headerReference w:type="default" r:id="rId8"/>
      <w:pgSz w:w="11906" w:h="16838"/>
      <w:pgMar w:top="170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C2D0" w14:textId="77777777" w:rsidR="00AB7C8B" w:rsidRDefault="00AB7C8B" w:rsidP="005E2D04">
      <w:pPr>
        <w:spacing w:after="0" w:line="240" w:lineRule="auto"/>
      </w:pPr>
      <w:r>
        <w:separator/>
      </w:r>
    </w:p>
  </w:endnote>
  <w:endnote w:type="continuationSeparator" w:id="0">
    <w:p w14:paraId="5C94CBA9" w14:textId="77777777" w:rsidR="00AB7C8B" w:rsidRDefault="00AB7C8B" w:rsidP="005E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1DDD" w14:textId="77777777" w:rsidR="00AB7C8B" w:rsidRDefault="00AB7C8B" w:rsidP="005E2D04">
      <w:pPr>
        <w:spacing w:after="0" w:line="240" w:lineRule="auto"/>
      </w:pPr>
      <w:r>
        <w:separator/>
      </w:r>
    </w:p>
  </w:footnote>
  <w:footnote w:type="continuationSeparator" w:id="0">
    <w:p w14:paraId="42804DB2" w14:textId="77777777" w:rsidR="00AB7C8B" w:rsidRDefault="00AB7C8B" w:rsidP="005E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9526" w14:textId="3A2B2E7A" w:rsidR="005E2D04" w:rsidRDefault="005E2D04">
    <w:pPr>
      <w:pStyle w:val="Sidehoved"/>
    </w:pPr>
  </w:p>
  <w:p w14:paraId="29258C7F" w14:textId="77777777" w:rsidR="005E2D04" w:rsidRDefault="005E2D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708"/>
    <w:multiLevelType w:val="hybridMultilevel"/>
    <w:tmpl w:val="3522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D20B8"/>
    <w:multiLevelType w:val="hybridMultilevel"/>
    <w:tmpl w:val="E5A6D16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7205C0"/>
    <w:multiLevelType w:val="hybridMultilevel"/>
    <w:tmpl w:val="2F202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3F0453D"/>
    <w:multiLevelType w:val="hybridMultilevel"/>
    <w:tmpl w:val="B470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934B6"/>
    <w:multiLevelType w:val="hybridMultilevel"/>
    <w:tmpl w:val="D768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E3"/>
    <w:rsid w:val="00014245"/>
    <w:rsid w:val="0003039F"/>
    <w:rsid w:val="00035250"/>
    <w:rsid w:val="00041190"/>
    <w:rsid w:val="000570F5"/>
    <w:rsid w:val="00070AC6"/>
    <w:rsid w:val="00070CB0"/>
    <w:rsid w:val="000926A2"/>
    <w:rsid w:val="000933AE"/>
    <w:rsid w:val="000A6A53"/>
    <w:rsid w:val="000B6C39"/>
    <w:rsid w:val="000D2F96"/>
    <w:rsid w:val="00123012"/>
    <w:rsid w:val="0013631B"/>
    <w:rsid w:val="00136D78"/>
    <w:rsid w:val="0014037A"/>
    <w:rsid w:val="00154844"/>
    <w:rsid w:val="00185BF3"/>
    <w:rsid w:val="00190332"/>
    <w:rsid w:val="00191015"/>
    <w:rsid w:val="001A092C"/>
    <w:rsid w:val="001A0B5D"/>
    <w:rsid w:val="001B26DF"/>
    <w:rsid w:val="001C5731"/>
    <w:rsid w:val="001C66A6"/>
    <w:rsid w:val="001D1C2F"/>
    <w:rsid w:val="00203A87"/>
    <w:rsid w:val="00227DE4"/>
    <w:rsid w:val="00231817"/>
    <w:rsid w:val="00242AC8"/>
    <w:rsid w:val="00252D3A"/>
    <w:rsid w:val="002540C6"/>
    <w:rsid w:val="00262E25"/>
    <w:rsid w:val="00285BC3"/>
    <w:rsid w:val="00290F45"/>
    <w:rsid w:val="002F60F5"/>
    <w:rsid w:val="00391F41"/>
    <w:rsid w:val="003B391D"/>
    <w:rsid w:val="00400100"/>
    <w:rsid w:val="00402BB7"/>
    <w:rsid w:val="00430184"/>
    <w:rsid w:val="00443FEC"/>
    <w:rsid w:val="0049023F"/>
    <w:rsid w:val="0049768C"/>
    <w:rsid w:val="004C6590"/>
    <w:rsid w:val="004D7BD5"/>
    <w:rsid w:val="00507572"/>
    <w:rsid w:val="00515850"/>
    <w:rsid w:val="00556A8A"/>
    <w:rsid w:val="00556B29"/>
    <w:rsid w:val="005759FA"/>
    <w:rsid w:val="005E2D04"/>
    <w:rsid w:val="00611D3D"/>
    <w:rsid w:val="00644521"/>
    <w:rsid w:val="006571BC"/>
    <w:rsid w:val="00667904"/>
    <w:rsid w:val="00687EC6"/>
    <w:rsid w:val="006E497C"/>
    <w:rsid w:val="006E538E"/>
    <w:rsid w:val="007200F1"/>
    <w:rsid w:val="007546AD"/>
    <w:rsid w:val="007A3435"/>
    <w:rsid w:val="007B1F2B"/>
    <w:rsid w:val="00804A99"/>
    <w:rsid w:val="00810B7E"/>
    <w:rsid w:val="00821DA6"/>
    <w:rsid w:val="008623C9"/>
    <w:rsid w:val="00875888"/>
    <w:rsid w:val="0088703D"/>
    <w:rsid w:val="00890CFC"/>
    <w:rsid w:val="008A2279"/>
    <w:rsid w:val="008C039A"/>
    <w:rsid w:val="008C5125"/>
    <w:rsid w:val="00921876"/>
    <w:rsid w:val="009A64A2"/>
    <w:rsid w:val="009B05BB"/>
    <w:rsid w:val="00A31874"/>
    <w:rsid w:val="00A52983"/>
    <w:rsid w:val="00A67AE3"/>
    <w:rsid w:val="00AB7C8B"/>
    <w:rsid w:val="00AC404B"/>
    <w:rsid w:val="00AF5AB5"/>
    <w:rsid w:val="00B141C1"/>
    <w:rsid w:val="00B74FE2"/>
    <w:rsid w:val="00BE56F6"/>
    <w:rsid w:val="00C173BA"/>
    <w:rsid w:val="00C77320"/>
    <w:rsid w:val="00C8350C"/>
    <w:rsid w:val="00CC0E20"/>
    <w:rsid w:val="00CF775B"/>
    <w:rsid w:val="00D027E9"/>
    <w:rsid w:val="00D0595D"/>
    <w:rsid w:val="00D46013"/>
    <w:rsid w:val="00D50244"/>
    <w:rsid w:val="00D64766"/>
    <w:rsid w:val="00D759FB"/>
    <w:rsid w:val="00D81653"/>
    <w:rsid w:val="00DA68A0"/>
    <w:rsid w:val="00DB7149"/>
    <w:rsid w:val="00DC4D77"/>
    <w:rsid w:val="00DD4C5D"/>
    <w:rsid w:val="00DF1F33"/>
    <w:rsid w:val="00E06D0A"/>
    <w:rsid w:val="00E24B83"/>
    <w:rsid w:val="00E45F19"/>
    <w:rsid w:val="00E806D7"/>
    <w:rsid w:val="00E867E9"/>
    <w:rsid w:val="00EA4C7A"/>
    <w:rsid w:val="00EC03AA"/>
    <w:rsid w:val="00F07432"/>
    <w:rsid w:val="00F200CC"/>
    <w:rsid w:val="00F21C8D"/>
    <w:rsid w:val="00F43535"/>
    <w:rsid w:val="00F560D6"/>
    <w:rsid w:val="00F67219"/>
    <w:rsid w:val="00FA4A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438B5"/>
  <w15:docId w15:val="{1718682F-0771-40A1-8A21-404C117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041190"/>
    <w:rPr>
      <w:sz w:val="16"/>
      <w:szCs w:val="16"/>
    </w:rPr>
  </w:style>
  <w:style w:type="paragraph" w:styleId="Kommentartekst">
    <w:name w:val="annotation text"/>
    <w:basedOn w:val="Normal"/>
    <w:link w:val="KommentartekstTegn"/>
    <w:uiPriority w:val="99"/>
    <w:semiHidden/>
    <w:unhideWhenUsed/>
    <w:rsid w:val="000411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1190"/>
    <w:rPr>
      <w:sz w:val="20"/>
      <w:szCs w:val="20"/>
    </w:rPr>
  </w:style>
  <w:style w:type="paragraph" w:styleId="Kommentaremne">
    <w:name w:val="annotation subject"/>
    <w:basedOn w:val="Kommentartekst"/>
    <w:next w:val="Kommentartekst"/>
    <w:link w:val="KommentaremneTegn"/>
    <w:uiPriority w:val="99"/>
    <w:semiHidden/>
    <w:unhideWhenUsed/>
    <w:rsid w:val="00041190"/>
    <w:rPr>
      <w:b/>
      <w:bCs/>
    </w:rPr>
  </w:style>
  <w:style w:type="character" w:customStyle="1" w:styleId="KommentaremneTegn">
    <w:name w:val="Kommentaremne Tegn"/>
    <w:basedOn w:val="KommentartekstTegn"/>
    <w:link w:val="Kommentaremne"/>
    <w:uiPriority w:val="99"/>
    <w:semiHidden/>
    <w:rsid w:val="00041190"/>
    <w:rPr>
      <w:b/>
      <w:bCs/>
      <w:sz w:val="20"/>
      <w:szCs w:val="20"/>
    </w:rPr>
  </w:style>
  <w:style w:type="paragraph" w:styleId="Markeringsbobletekst">
    <w:name w:val="Balloon Text"/>
    <w:basedOn w:val="Normal"/>
    <w:link w:val="MarkeringsbobletekstTegn"/>
    <w:uiPriority w:val="99"/>
    <w:semiHidden/>
    <w:unhideWhenUsed/>
    <w:rsid w:val="000411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1190"/>
    <w:rPr>
      <w:rFonts w:ascii="Segoe UI" w:hAnsi="Segoe UI" w:cs="Segoe UI"/>
      <w:sz w:val="18"/>
      <w:szCs w:val="18"/>
    </w:rPr>
  </w:style>
  <w:style w:type="character" w:styleId="Hyperlink">
    <w:name w:val="Hyperlink"/>
    <w:basedOn w:val="Standardskrifttypeiafsnit"/>
    <w:uiPriority w:val="99"/>
    <w:unhideWhenUsed/>
    <w:rsid w:val="00804A99"/>
    <w:rPr>
      <w:color w:val="0563C1" w:themeColor="hyperlink"/>
      <w:u w:val="single"/>
    </w:rPr>
  </w:style>
  <w:style w:type="paragraph" w:customStyle="1" w:styleId="Default">
    <w:name w:val="Default"/>
    <w:rsid w:val="00804A99"/>
    <w:pPr>
      <w:autoSpaceDE w:val="0"/>
      <w:autoSpaceDN w:val="0"/>
      <w:adjustRightInd w:val="0"/>
      <w:spacing w:after="0" w:line="240" w:lineRule="auto"/>
    </w:pPr>
    <w:rPr>
      <w:rFonts w:ascii="Verdana" w:hAnsi="Verdana" w:cs="Verdana"/>
      <w:color w:val="000000"/>
      <w:sz w:val="24"/>
      <w:szCs w:val="24"/>
      <w:lang w:val="nl-NL"/>
    </w:rPr>
  </w:style>
  <w:style w:type="character" w:customStyle="1" w:styleId="UnresolvedMention1">
    <w:name w:val="Unresolved Mention1"/>
    <w:basedOn w:val="Standardskrifttypeiafsnit"/>
    <w:uiPriority w:val="99"/>
    <w:semiHidden/>
    <w:unhideWhenUsed/>
    <w:rsid w:val="0014037A"/>
    <w:rPr>
      <w:color w:val="605E5C"/>
      <w:shd w:val="clear" w:color="auto" w:fill="E1DFDD"/>
    </w:rPr>
  </w:style>
  <w:style w:type="paragraph" w:styleId="Korrektur">
    <w:name w:val="Revision"/>
    <w:hidden/>
    <w:uiPriority w:val="99"/>
    <w:semiHidden/>
    <w:rsid w:val="006571BC"/>
    <w:pPr>
      <w:spacing w:after="0" w:line="240" w:lineRule="auto"/>
    </w:pPr>
  </w:style>
  <w:style w:type="paragraph" w:styleId="Listeafsnit">
    <w:name w:val="List Paragraph"/>
    <w:basedOn w:val="Normal"/>
    <w:uiPriority w:val="34"/>
    <w:qFormat/>
    <w:rsid w:val="00203A87"/>
    <w:pPr>
      <w:ind w:left="720"/>
      <w:contextualSpacing/>
    </w:pPr>
  </w:style>
  <w:style w:type="character" w:styleId="Strk">
    <w:name w:val="Strong"/>
    <w:basedOn w:val="Standardskrifttypeiafsnit"/>
    <w:uiPriority w:val="22"/>
    <w:qFormat/>
    <w:rsid w:val="0003039F"/>
    <w:rPr>
      <w:b/>
      <w:bCs/>
    </w:rPr>
  </w:style>
  <w:style w:type="paragraph" w:styleId="Bibliografi">
    <w:name w:val="Bibliography"/>
    <w:basedOn w:val="Normal"/>
    <w:next w:val="Normal"/>
    <w:uiPriority w:val="37"/>
    <w:unhideWhenUsed/>
    <w:rsid w:val="00443FEC"/>
    <w:pPr>
      <w:tabs>
        <w:tab w:val="left" w:pos="264"/>
      </w:tabs>
      <w:spacing w:after="240" w:line="240" w:lineRule="auto"/>
      <w:ind w:left="264" w:hanging="264"/>
    </w:pPr>
  </w:style>
  <w:style w:type="character" w:styleId="BesgtLink">
    <w:name w:val="FollowedHyperlink"/>
    <w:basedOn w:val="Standardskrifttypeiafsnit"/>
    <w:uiPriority w:val="99"/>
    <w:semiHidden/>
    <w:unhideWhenUsed/>
    <w:rsid w:val="00443FEC"/>
    <w:rPr>
      <w:color w:val="954F72" w:themeColor="followedHyperlink"/>
      <w:u w:val="single"/>
    </w:rPr>
  </w:style>
  <w:style w:type="paragraph" w:styleId="Sidehoved">
    <w:name w:val="header"/>
    <w:basedOn w:val="Normal"/>
    <w:link w:val="SidehovedTegn"/>
    <w:uiPriority w:val="99"/>
    <w:unhideWhenUsed/>
    <w:rsid w:val="005E2D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D04"/>
  </w:style>
  <w:style w:type="paragraph" w:styleId="Sidefod">
    <w:name w:val="footer"/>
    <w:basedOn w:val="Normal"/>
    <w:link w:val="SidefodTegn"/>
    <w:uiPriority w:val="99"/>
    <w:unhideWhenUsed/>
    <w:rsid w:val="005E2D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83771">
      <w:bodyDiv w:val="1"/>
      <w:marLeft w:val="0"/>
      <w:marRight w:val="0"/>
      <w:marTop w:val="0"/>
      <w:marBottom w:val="0"/>
      <w:divBdr>
        <w:top w:val="none" w:sz="0" w:space="0" w:color="auto"/>
        <w:left w:val="none" w:sz="0" w:space="0" w:color="auto"/>
        <w:bottom w:val="none" w:sz="0" w:space="0" w:color="auto"/>
        <w:right w:val="none" w:sz="0" w:space="0" w:color="auto"/>
      </w:divBdr>
    </w:div>
    <w:div w:id="13347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35E6-082A-4DB0-B2D7-7A6A4D3D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2736</Words>
  <Characters>16690</Characters>
  <Application>Microsoft Office Word</Application>
  <DocSecurity>0</DocSecurity>
  <Lines>139</Lines>
  <Paragraphs>38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Pottegård</dc:creator>
  <cp:keywords/>
  <dc:description/>
  <cp:lastModifiedBy>Anton Pottegård</cp:lastModifiedBy>
  <cp:revision>3</cp:revision>
  <dcterms:created xsi:type="dcterms:W3CDTF">2019-09-16T17:59:00Z</dcterms:created>
  <dcterms:modified xsi:type="dcterms:W3CDTF">2019-09-16T18:05:00Z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id="ipwHnVh7"/&gt;&lt;style id="http://www.zotero.org/styles/bmj"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value="true"/&gt;&lt;/prefs&gt;&lt;/data&gt;</vt:lpwstr>
  </property>
</Properties>
</file>