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37DB29" w14:textId="7D2C6CEB" w:rsidR="00E50540" w:rsidRPr="00645EFC" w:rsidRDefault="0015426B" w:rsidP="008B5BE3">
      <w:pPr>
        <w:spacing w:line="480" w:lineRule="auto"/>
        <w:jc w:val="both"/>
        <w:rPr>
          <w:rStyle w:val="LineNumber"/>
        </w:rPr>
      </w:pPr>
      <w:r>
        <w:rPr>
          <w:rFonts w:ascii="Arial" w:hAnsi="Arial" w:cs="Arial"/>
          <w:b/>
        </w:rPr>
        <w:t>O</w:t>
      </w:r>
      <w:r w:rsidR="00E50540" w:rsidRPr="008B0DE6">
        <w:rPr>
          <w:rFonts w:ascii="Arial" w:hAnsi="Arial" w:cs="Arial"/>
          <w:b/>
        </w:rPr>
        <w:t xml:space="preserve">cular </w:t>
      </w:r>
      <w:r w:rsidR="00E50540" w:rsidRPr="008B0DE6">
        <w:rPr>
          <w:rFonts w:ascii="Arial" w:hAnsi="Arial" w:cs="Arial"/>
          <w:b/>
          <w:i/>
        </w:rPr>
        <w:t xml:space="preserve">Chlamydia trachomatis </w:t>
      </w:r>
      <w:r w:rsidR="00E50540" w:rsidRPr="008B0DE6">
        <w:rPr>
          <w:rFonts w:ascii="Arial" w:hAnsi="Arial" w:cs="Arial"/>
          <w:b/>
        </w:rPr>
        <w:t>infection</w:t>
      </w:r>
      <w:r w:rsidR="00FD33FC">
        <w:rPr>
          <w:rFonts w:ascii="Arial" w:hAnsi="Arial" w:cs="Arial"/>
          <w:b/>
        </w:rPr>
        <w:t>, anti-Pgp3 antibodies</w:t>
      </w:r>
      <w:r w:rsidR="00E50540" w:rsidRPr="008B0DE6">
        <w:rPr>
          <w:rFonts w:ascii="Arial" w:hAnsi="Arial" w:cs="Arial"/>
          <w:b/>
        </w:rPr>
        <w:t xml:space="preserve"> and conjunctival scarring in Vanuatu and </w:t>
      </w:r>
      <w:r w:rsidR="001F690C">
        <w:rPr>
          <w:rFonts w:ascii="Arial" w:hAnsi="Arial" w:cs="Arial"/>
          <w:b/>
        </w:rPr>
        <w:t>T</w:t>
      </w:r>
      <w:bookmarkStart w:id="0" w:name="_GoBack"/>
      <w:bookmarkEnd w:id="0"/>
      <w:r w:rsidR="001F690C">
        <w:rPr>
          <w:rFonts w:ascii="Arial" w:hAnsi="Arial" w:cs="Arial"/>
          <w:b/>
        </w:rPr>
        <w:t xml:space="preserve">arawa, </w:t>
      </w:r>
      <w:r w:rsidR="00E50540" w:rsidRPr="008B0DE6">
        <w:rPr>
          <w:rFonts w:ascii="Arial" w:hAnsi="Arial" w:cs="Arial"/>
          <w:b/>
        </w:rPr>
        <w:t>Kiribati</w:t>
      </w:r>
      <w:r w:rsidR="00FD33FC">
        <w:rPr>
          <w:rFonts w:ascii="Arial" w:hAnsi="Arial" w:cs="Arial"/>
          <w:b/>
        </w:rPr>
        <w:t xml:space="preserve"> before </w:t>
      </w:r>
      <w:r w:rsidR="001F690C">
        <w:rPr>
          <w:rFonts w:ascii="Arial" w:hAnsi="Arial" w:cs="Arial"/>
          <w:b/>
        </w:rPr>
        <w:t xml:space="preserve">antibiotic </w:t>
      </w:r>
      <w:r w:rsidR="00FD33FC">
        <w:rPr>
          <w:rFonts w:ascii="Arial" w:hAnsi="Arial" w:cs="Arial"/>
          <w:b/>
        </w:rPr>
        <w:t>treatment for trachoma</w:t>
      </w:r>
      <w:r w:rsidR="009C3A7D" w:rsidRPr="008B0DE6">
        <w:rPr>
          <w:rFonts w:ascii="Arial" w:hAnsi="Arial" w:cs="Arial"/>
          <w:b/>
        </w:rPr>
        <w:t>.</w:t>
      </w:r>
    </w:p>
    <w:p w14:paraId="62DFAEC6" w14:textId="77777777" w:rsidR="00E50540" w:rsidRPr="008B0DE6" w:rsidRDefault="00E50540" w:rsidP="008B5BE3">
      <w:pPr>
        <w:spacing w:line="480" w:lineRule="auto"/>
        <w:jc w:val="both"/>
        <w:rPr>
          <w:rFonts w:ascii="Arial" w:hAnsi="Arial" w:cs="Arial"/>
        </w:rPr>
      </w:pPr>
    </w:p>
    <w:p w14:paraId="3A40DDF0" w14:textId="4C03637F" w:rsidR="00E50540" w:rsidRPr="008B0DE6" w:rsidRDefault="00E50540" w:rsidP="008B5BE3">
      <w:pPr>
        <w:spacing w:line="480" w:lineRule="auto"/>
        <w:jc w:val="both"/>
        <w:rPr>
          <w:rFonts w:ascii="Arial" w:hAnsi="Arial" w:cs="Arial"/>
          <w:sz w:val="21"/>
          <w:szCs w:val="21"/>
        </w:rPr>
      </w:pPr>
      <w:r w:rsidRPr="008B0DE6">
        <w:rPr>
          <w:rFonts w:ascii="Arial" w:hAnsi="Arial" w:cs="Arial"/>
          <w:sz w:val="21"/>
          <w:szCs w:val="21"/>
        </w:rPr>
        <w:t>Robert Butcher</w:t>
      </w:r>
      <w:r w:rsidRPr="008B0DE6">
        <w:rPr>
          <w:rFonts w:ascii="Arial" w:hAnsi="Arial" w:cs="Arial"/>
          <w:sz w:val="21"/>
          <w:szCs w:val="21"/>
          <w:vertAlign w:val="superscript"/>
        </w:rPr>
        <w:t>1</w:t>
      </w:r>
      <w:r w:rsidRPr="008B0DE6">
        <w:rPr>
          <w:rFonts w:ascii="Arial" w:hAnsi="Arial" w:cs="Arial"/>
          <w:sz w:val="21"/>
          <w:szCs w:val="21"/>
        </w:rPr>
        <w:t xml:space="preserve">, </w:t>
      </w:r>
      <w:r w:rsidR="003729E0">
        <w:rPr>
          <w:rFonts w:ascii="Arial" w:hAnsi="Arial" w:cs="Arial"/>
          <w:sz w:val="21"/>
          <w:szCs w:val="21"/>
        </w:rPr>
        <w:t>B</w:t>
      </w:r>
      <w:r w:rsidRPr="008B0DE6">
        <w:rPr>
          <w:rFonts w:ascii="Arial" w:hAnsi="Arial" w:cs="Arial"/>
          <w:sz w:val="21"/>
          <w:szCs w:val="21"/>
        </w:rPr>
        <w:t>ecca Handley</w:t>
      </w:r>
      <w:r w:rsidRPr="008B0DE6">
        <w:rPr>
          <w:rFonts w:ascii="Arial" w:hAnsi="Arial" w:cs="Arial"/>
          <w:sz w:val="21"/>
          <w:szCs w:val="21"/>
          <w:vertAlign w:val="superscript"/>
        </w:rPr>
        <w:t>1</w:t>
      </w:r>
      <w:r w:rsidRPr="008B0DE6">
        <w:rPr>
          <w:rFonts w:ascii="Arial" w:hAnsi="Arial" w:cs="Arial"/>
          <w:sz w:val="21"/>
          <w:szCs w:val="21"/>
        </w:rPr>
        <w:t xml:space="preserve">, </w:t>
      </w:r>
      <w:proofErr w:type="spellStart"/>
      <w:r w:rsidR="003F5E9C" w:rsidRPr="008B0DE6">
        <w:rPr>
          <w:rFonts w:ascii="Arial" w:hAnsi="Arial" w:cs="Arial"/>
          <w:sz w:val="21"/>
          <w:szCs w:val="21"/>
        </w:rPr>
        <w:t>Mackline</w:t>
      </w:r>
      <w:proofErr w:type="spellEnd"/>
      <w:r w:rsidR="003F5E9C">
        <w:rPr>
          <w:rFonts w:ascii="Arial" w:hAnsi="Arial" w:cs="Arial"/>
          <w:sz w:val="21"/>
          <w:szCs w:val="21"/>
        </w:rPr>
        <w:t xml:space="preserve"> </w:t>
      </w:r>
      <w:r w:rsidR="003F5E9C" w:rsidRPr="008B0DE6">
        <w:rPr>
          <w:rFonts w:ascii="Arial" w:hAnsi="Arial" w:cs="Arial"/>
          <w:sz w:val="21"/>
          <w:szCs w:val="21"/>
        </w:rPr>
        <w:t>Garae</w:t>
      </w:r>
      <w:r w:rsidR="003F5E9C">
        <w:rPr>
          <w:rFonts w:ascii="Arial" w:hAnsi="Arial" w:cs="Arial"/>
          <w:sz w:val="21"/>
          <w:szCs w:val="21"/>
          <w:vertAlign w:val="superscript"/>
        </w:rPr>
        <w:t>2</w:t>
      </w:r>
      <w:r w:rsidR="003F5E9C" w:rsidRPr="008B0DE6">
        <w:rPr>
          <w:rFonts w:ascii="Arial" w:hAnsi="Arial" w:cs="Arial"/>
          <w:sz w:val="21"/>
          <w:szCs w:val="21"/>
        </w:rPr>
        <w:t xml:space="preserve">, </w:t>
      </w:r>
      <w:proofErr w:type="spellStart"/>
      <w:r w:rsidRPr="008B0DE6">
        <w:rPr>
          <w:rFonts w:ascii="Arial" w:hAnsi="Arial" w:cs="Arial"/>
          <w:sz w:val="21"/>
          <w:szCs w:val="21"/>
        </w:rPr>
        <w:t>Raebwebwe</w:t>
      </w:r>
      <w:proofErr w:type="spellEnd"/>
      <w:r w:rsidRPr="008B0DE6">
        <w:rPr>
          <w:rFonts w:ascii="Arial" w:hAnsi="Arial" w:cs="Arial"/>
          <w:sz w:val="21"/>
          <w:szCs w:val="21"/>
        </w:rPr>
        <w:t xml:space="preserve"> Taoaba</w:t>
      </w:r>
      <w:r w:rsidR="003F5E9C">
        <w:rPr>
          <w:rFonts w:ascii="Arial" w:hAnsi="Arial" w:cs="Arial"/>
          <w:sz w:val="21"/>
          <w:szCs w:val="21"/>
          <w:vertAlign w:val="superscript"/>
        </w:rPr>
        <w:t>3</w:t>
      </w:r>
      <w:r w:rsidRPr="008B0DE6">
        <w:rPr>
          <w:rFonts w:ascii="Arial" w:hAnsi="Arial" w:cs="Arial"/>
          <w:sz w:val="21"/>
          <w:szCs w:val="21"/>
        </w:rPr>
        <w:t xml:space="preserve">, </w:t>
      </w:r>
      <w:r w:rsidR="006275F9" w:rsidRPr="008B0DE6">
        <w:rPr>
          <w:rFonts w:ascii="Arial" w:hAnsi="Arial" w:cs="Arial"/>
          <w:sz w:val="21"/>
          <w:szCs w:val="21"/>
        </w:rPr>
        <w:t>Harry Pickering</w:t>
      </w:r>
      <w:r w:rsidR="006275F9" w:rsidRPr="008B0DE6">
        <w:rPr>
          <w:rFonts w:ascii="Arial" w:hAnsi="Arial" w:cs="Arial"/>
          <w:sz w:val="21"/>
          <w:szCs w:val="21"/>
          <w:vertAlign w:val="superscript"/>
        </w:rPr>
        <w:t>1</w:t>
      </w:r>
      <w:r w:rsidR="006275F9" w:rsidRPr="008B0DE6">
        <w:rPr>
          <w:rFonts w:ascii="Arial" w:hAnsi="Arial" w:cs="Arial"/>
          <w:sz w:val="21"/>
          <w:szCs w:val="21"/>
        </w:rPr>
        <w:t xml:space="preserve">, </w:t>
      </w:r>
      <w:r w:rsidR="00FD33FC" w:rsidRPr="008B0DE6">
        <w:rPr>
          <w:rFonts w:ascii="Arial" w:hAnsi="Arial" w:cs="Arial"/>
          <w:sz w:val="21"/>
          <w:szCs w:val="21"/>
        </w:rPr>
        <w:t>Annie Bong</w:t>
      </w:r>
      <w:r w:rsidR="00DC59B2">
        <w:rPr>
          <w:rFonts w:ascii="Arial" w:hAnsi="Arial" w:cs="Arial"/>
          <w:sz w:val="21"/>
          <w:szCs w:val="21"/>
          <w:vertAlign w:val="superscript"/>
        </w:rPr>
        <w:t>4</w:t>
      </w:r>
      <w:r w:rsidR="00FD33FC" w:rsidRPr="008B0DE6">
        <w:rPr>
          <w:rFonts w:ascii="Arial" w:hAnsi="Arial" w:cs="Arial"/>
          <w:sz w:val="21"/>
          <w:szCs w:val="21"/>
        </w:rPr>
        <w:t>,</w:t>
      </w:r>
      <w:r w:rsidR="00FD33FC">
        <w:rPr>
          <w:rFonts w:ascii="Arial" w:hAnsi="Arial" w:cs="Arial"/>
          <w:sz w:val="21"/>
          <w:szCs w:val="21"/>
        </w:rPr>
        <w:t xml:space="preserve"> </w:t>
      </w:r>
      <w:r w:rsidRPr="008B0DE6">
        <w:rPr>
          <w:rFonts w:ascii="Arial" w:hAnsi="Arial" w:cs="Arial"/>
          <w:sz w:val="21"/>
          <w:szCs w:val="21"/>
        </w:rPr>
        <w:t>Oliver Sokana</w:t>
      </w:r>
      <w:r w:rsidR="003F5E9C">
        <w:rPr>
          <w:rFonts w:ascii="Arial" w:hAnsi="Arial" w:cs="Arial"/>
          <w:sz w:val="21"/>
          <w:szCs w:val="21"/>
          <w:vertAlign w:val="superscript"/>
        </w:rPr>
        <w:t>5</w:t>
      </w:r>
      <w:r w:rsidRPr="008B0DE6">
        <w:rPr>
          <w:rFonts w:ascii="Arial" w:hAnsi="Arial" w:cs="Arial"/>
          <w:sz w:val="21"/>
          <w:szCs w:val="21"/>
        </w:rPr>
        <w:t xml:space="preserve">, </w:t>
      </w:r>
      <w:r w:rsidR="00DC59B2">
        <w:rPr>
          <w:rFonts w:ascii="Arial" w:hAnsi="Arial" w:cs="Arial"/>
          <w:sz w:val="21"/>
          <w:szCs w:val="21"/>
        </w:rPr>
        <w:t>Matthew</w:t>
      </w:r>
      <w:r w:rsidR="0010661D">
        <w:rPr>
          <w:rFonts w:ascii="Arial" w:hAnsi="Arial" w:cs="Arial"/>
          <w:sz w:val="21"/>
          <w:szCs w:val="21"/>
        </w:rPr>
        <w:t xml:space="preserve"> J</w:t>
      </w:r>
      <w:r w:rsidR="00DC59B2">
        <w:rPr>
          <w:rFonts w:ascii="Arial" w:hAnsi="Arial" w:cs="Arial"/>
          <w:sz w:val="21"/>
          <w:szCs w:val="21"/>
        </w:rPr>
        <w:t xml:space="preserve"> Burton</w:t>
      </w:r>
      <w:r w:rsidR="00DC59B2" w:rsidRPr="00DC59B2">
        <w:rPr>
          <w:rFonts w:ascii="Arial" w:hAnsi="Arial" w:cs="Arial"/>
          <w:sz w:val="21"/>
          <w:szCs w:val="21"/>
          <w:vertAlign w:val="superscript"/>
        </w:rPr>
        <w:t>1</w:t>
      </w:r>
      <w:r w:rsidR="00DC59B2">
        <w:rPr>
          <w:rFonts w:ascii="Arial" w:hAnsi="Arial" w:cs="Arial"/>
          <w:sz w:val="21"/>
          <w:szCs w:val="21"/>
        </w:rPr>
        <w:t xml:space="preserve">, </w:t>
      </w:r>
      <w:r w:rsidR="00071C04">
        <w:rPr>
          <w:rFonts w:ascii="Arial" w:hAnsi="Arial" w:cs="Arial"/>
          <w:sz w:val="21"/>
          <w:szCs w:val="21"/>
        </w:rPr>
        <w:t>Nuno Sep</w:t>
      </w:r>
      <w:r w:rsidR="00796650">
        <w:rPr>
          <w:rFonts w:ascii="Arial" w:hAnsi="Arial" w:cs="Arial"/>
          <w:sz w:val="21"/>
          <w:szCs w:val="21"/>
        </w:rPr>
        <w:t>ú</w:t>
      </w:r>
      <w:r w:rsidR="00071C04">
        <w:rPr>
          <w:rFonts w:ascii="Arial" w:hAnsi="Arial" w:cs="Arial"/>
          <w:sz w:val="21"/>
          <w:szCs w:val="21"/>
        </w:rPr>
        <w:t>lveda</w:t>
      </w:r>
      <w:r w:rsidR="003F5E9C">
        <w:rPr>
          <w:rFonts w:ascii="Arial" w:hAnsi="Arial" w:cs="Arial"/>
          <w:sz w:val="21"/>
          <w:szCs w:val="21"/>
          <w:vertAlign w:val="superscript"/>
        </w:rPr>
        <w:t>6</w:t>
      </w:r>
      <w:r w:rsidR="00071C04">
        <w:rPr>
          <w:rFonts w:ascii="Arial" w:hAnsi="Arial" w:cs="Arial"/>
          <w:sz w:val="21"/>
          <w:szCs w:val="21"/>
        </w:rPr>
        <w:t xml:space="preserve">, </w:t>
      </w:r>
      <w:r w:rsidRPr="008B0DE6">
        <w:rPr>
          <w:rFonts w:ascii="Arial" w:hAnsi="Arial" w:cs="Arial"/>
          <w:sz w:val="21"/>
          <w:szCs w:val="21"/>
        </w:rPr>
        <w:t>Ana Cama</w:t>
      </w:r>
      <w:r w:rsidR="003F5E9C">
        <w:rPr>
          <w:rFonts w:ascii="Arial" w:hAnsi="Arial" w:cs="Arial"/>
          <w:sz w:val="21"/>
          <w:szCs w:val="21"/>
          <w:vertAlign w:val="superscript"/>
        </w:rPr>
        <w:t>7</w:t>
      </w:r>
      <w:r w:rsidRPr="008B0DE6">
        <w:rPr>
          <w:rFonts w:ascii="Arial" w:hAnsi="Arial" w:cs="Arial"/>
          <w:sz w:val="21"/>
          <w:szCs w:val="21"/>
        </w:rPr>
        <w:t xml:space="preserve">, </w:t>
      </w:r>
      <w:r w:rsidR="00643BA9">
        <w:rPr>
          <w:rFonts w:ascii="Arial" w:hAnsi="Arial" w:cs="Arial"/>
          <w:sz w:val="21"/>
          <w:szCs w:val="21"/>
        </w:rPr>
        <w:t>Richard Le Mesurier</w:t>
      </w:r>
      <w:r w:rsidR="003F5E9C">
        <w:rPr>
          <w:rFonts w:ascii="Arial" w:hAnsi="Arial" w:cs="Arial"/>
          <w:sz w:val="21"/>
          <w:szCs w:val="21"/>
          <w:vertAlign w:val="superscript"/>
        </w:rPr>
        <w:t>7</w:t>
      </w:r>
      <w:r w:rsidR="00643BA9">
        <w:rPr>
          <w:rFonts w:ascii="Arial" w:hAnsi="Arial" w:cs="Arial"/>
          <w:sz w:val="21"/>
          <w:szCs w:val="21"/>
        </w:rPr>
        <w:t xml:space="preserve">, </w:t>
      </w:r>
      <w:r w:rsidRPr="008B0DE6">
        <w:rPr>
          <w:rFonts w:ascii="Arial" w:hAnsi="Arial" w:cs="Arial"/>
          <w:sz w:val="21"/>
          <w:szCs w:val="21"/>
        </w:rPr>
        <w:t xml:space="preserve">Anthony </w:t>
      </w:r>
      <w:r w:rsidR="001F690C">
        <w:rPr>
          <w:rFonts w:ascii="Arial" w:hAnsi="Arial" w:cs="Arial"/>
          <w:sz w:val="21"/>
          <w:szCs w:val="21"/>
        </w:rPr>
        <w:t xml:space="preserve">W. </w:t>
      </w:r>
      <w:r w:rsidRPr="008B0DE6">
        <w:rPr>
          <w:rFonts w:ascii="Arial" w:hAnsi="Arial" w:cs="Arial"/>
          <w:sz w:val="21"/>
          <w:szCs w:val="21"/>
        </w:rPr>
        <w:t>Solomon</w:t>
      </w:r>
      <w:r w:rsidRPr="008B0DE6">
        <w:rPr>
          <w:rFonts w:ascii="Arial" w:hAnsi="Arial" w:cs="Arial"/>
          <w:sz w:val="21"/>
          <w:szCs w:val="21"/>
          <w:vertAlign w:val="superscript"/>
        </w:rPr>
        <w:t>1</w:t>
      </w:r>
      <w:r w:rsidRPr="008B0DE6">
        <w:rPr>
          <w:rFonts w:ascii="Arial" w:hAnsi="Arial" w:cs="Arial"/>
          <w:sz w:val="21"/>
          <w:szCs w:val="21"/>
        </w:rPr>
        <w:t xml:space="preserve">, </w:t>
      </w:r>
      <w:r w:rsidR="003F5E9C" w:rsidRPr="008B0DE6">
        <w:rPr>
          <w:rFonts w:ascii="Arial" w:hAnsi="Arial" w:cs="Arial"/>
          <w:sz w:val="21"/>
          <w:szCs w:val="21"/>
        </w:rPr>
        <w:t>David Mabey</w:t>
      </w:r>
      <w:r w:rsidR="003F5E9C" w:rsidRPr="008B0DE6">
        <w:rPr>
          <w:rFonts w:ascii="Arial" w:hAnsi="Arial" w:cs="Arial"/>
          <w:sz w:val="21"/>
          <w:szCs w:val="21"/>
          <w:vertAlign w:val="superscript"/>
        </w:rPr>
        <w:t>1</w:t>
      </w:r>
      <w:r w:rsidR="003F5E9C" w:rsidRPr="008B0DE6">
        <w:rPr>
          <w:rFonts w:ascii="Arial" w:hAnsi="Arial" w:cs="Arial"/>
          <w:sz w:val="21"/>
          <w:szCs w:val="21"/>
        </w:rPr>
        <w:t xml:space="preserve">, </w:t>
      </w:r>
      <w:r w:rsidRPr="008B0DE6">
        <w:rPr>
          <w:rFonts w:ascii="Arial" w:hAnsi="Arial" w:cs="Arial"/>
          <w:sz w:val="21"/>
          <w:szCs w:val="21"/>
        </w:rPr>
        <w:t>Fasihah Taleo</w:t>
      </w:r>
      <w:r w:rsidR="00DC59B2">
        <w:rPr>
          <w:rFonts w:ascii="Arial" w:hAnsi="Arial" w:cs="Arial"/>
          <w:sz w:val="21"/>
          <w:szCs w:val="21"/>
          <w:vertAlign w:val="superscript"/>
        </w:rPr>
        <w:t>2</w:t>
      </w:r>
      <w:r w:rsidRPr="008B0DE6">
        <w:rPr>
          <w:rFonts w:ascii="Arial" w:hAnsi="Arial" w:cs="Arial"/>
          <w:sz w:val="21"/>
          <w:szCs w:val="21"/>
        </w:rPr>
        <w:t xml:space="preserve">, </w:t>
      </w:r>
      <w:r w:rsidR="00FD33FC" w:rsidRPr="008B0DE6">
        <w:rPr>
          <w:rFonts w:ascii="Arial" w:hAnsi="Arial" w:cs="Arial"/>
          <w:sz w:val="21"/>
          <w:szCs w:val="21"/>
        </w:rPr>
        <w:t>Rabebe Tekeraoi</w:t>
      </w:r>
      <w:r w:rsidR="003F5E9C">
        <w:rPr>
          <w:rFonts w:ascii="Arial" w:hAnsi="Arial" w:cs="Arial"/>
          <w:sz w:val="21"/>
          <w:szCs w:val="21"/>
          <w:vertAlign w:val="superscript"/>
        </w:rPr>
        <w:t>3</w:t>
      </w:r>
      <w:r w:rsidR="00FD33FC" w:rsidRPr="008B0DE6">
        <w:rPr>
          <w:rFonts w:ascii="Arial" w:hAnsi="Arial" w:cs="Arial"/>
          <w:sz w:val="21"/>
          <w:szCs w:val="21"/>
        </w:rPr>
        <w:t xml:space="preserve">, </w:t>
      </w:r>
      <w:r w:rsidRPr="008B0DE6">
        <w:rPr>
          <w:rFonts w:ascii="Arial" w:hAnsi="Arial" w:cs="Arial"/>
          <w:sz w:val="21"/>
          <w:szCs w:val="21"/>
        </w:rPr>
        <w:t>Chrissy h Roberts</w:t>
      </w:r>
      <w:r w:rsidRPr="008B0DE6">
        <w:rPr>
          <w:rFonts w:ascii="Arial" w:hAnsi="Arial" w:cs="Arial"/>
          <w:sz w:val="21"/>
          <w:szCs w:val="21"/>
          <w:vertAlign w:val="superscript"/>
        </w:rPr>
        <w:t>1</w:t>
      </w:r>
      <w:r w:rsidRPr="008B0DE6">
        <w:rPr>
          <w:rFonts w:ascii="Arial" w:hAnsi="Arial" w:cs="Arial"/>
          <w:sz w:val="21"/>
          <w:szCs w:val="21"/>
        </w:rPr>
        <w:t>.</w:t>
      </w:r>
    </w:p>
    <w:p w14:paraId="658F0B44" w14:textId="77777777" w:rsidR="00E50540" w:rsidRPr="008B0DE6" w:rsidRDefault="00E50540" w:rsidP="008B5BE3">
      <w:pPr>
        <w:spacing w:line="480" w:lineRule="auto"/>
        <w:jc w:val="both"/>
        <w:rPr>
          <w:rFonts w:ascii="Arial" w:hAnsi="Arial" w:cs="Arial"/>
          <w:sz w:val="21"/>
          <w:szCs w:val="21"/>
        </w:rPr>
      </w:pPr>
    </w:p>
    <w:p w14:paraId="3BB009B1" w14:textId="43F1FC75" w:rsidR="00E50540" w:rsidRPr="008B0DE6" w:rsidRDefault="00B611E8" w:rsidP="008B5BE3">
      <w:pPr>
        <w:pStyle w:val="ListParagraph"/>
        <w:numPr>
          <w:ilvl w:val="0"/>
          <w:numId w:val="1"/>
        </w:numPr>
        <w:spacing w:line="480" w:lineRule="auto"/>
        <w:jc w:val="both"/>
        <w:rPr>
          <w:rFonts w:ascii="Arial" w:hAnsi="Arial" w:cs="Arial"/>
          <w:sz w:val="21"/>
          <w:szCs w:val="21"/>
        </w:rPr>
      </w:pPr>
      <w:r>
        <w:rPr>
          <w:rFonts w:ascii="Arial" w:hAnsi="Arial" w:cs="Arial"/>
          <w:sz w:val="21"/>
          <w:szCs w:val="21"/>
        </w:rPr>
        <w:t xml:space="preserve">Clinical Research Department, </w:t>
      </w:r>
      <w:r w:rsidR="00E50540" w:rsidRPr="008B0DE6">
        <w:rPr>
          <w:rFonts w:ascii="Arial" w:hAnsi="Arial" w:cs="Arial"/>
          <w:sz w:val="21"/>
          <w:szCs w:val="21"/>
        </w:rPr>
        <w:t>London School of Hygiene &amp; Tropical Medicine</w:t>
      </w:r>
    </w:p>
    <w:p w14:paraId="2C75C68B" w14:textId="77777777" w:rsidR="00DC59B2" w:rsidRPr="008B0DE6" w:rsidRDefault="00DC59B2" w:rsidP="008B5BE3">
      <w:pPr>
        <w:pStyle w:val="ListParagraph"/>
        <w:numPr>
          <w:ilvl w:val="0"/>
          <w:numId w:val="1"/>
        </w:numPr>
        <w:spacing w:line="480" w:lineRule="auto"/>
        <w:jc w:val="both"/>
        <w:rPr>
          <w:rFonts w:ascii="Arial" w:hAnsi="Arial" w:cs="Arial"/>
          <w:sz w:val="21"/>
          <w:szCs w:val="21"/>
        </w:rPr>
      </w:pPr>
      <w:r w:rsidRPr="008B0DE6">
        <w:rPr>
          <w:rFonts w:ascii="Arial" w:hAnsi="Arial" w:cs="Arial"/>
          <w:sz w:val="21"/>
          <w:szCs w:val="21"/>
        </w:rPr>
        <w:t>Department of Neglected Tropical Diseases, Vanuatu Ministry of Health and Medical Services</w:t>
      </w:r>
    </w:p>
    <w:p w14:paraId="6B70AAE8" w14:textId="7D7B8895" w:rsidR="00E50540" w:rsidRPr="008B0DE6" w:rsidRDefault="00E50540" w:rsidP="008B5BE3">
      <w:pPr>
        <w:pStyle w:val="ListParagraph"/>
        <w:numPr>
          <w:ilvl w:val="0"/>
          <w:numId w:val="1"/>
        </w:numPr>
        <w:spacing w:line="480" w:lineRule="auto"/>
        <w:jc w:val="both"/>
        <w:rPr>
          <w:rFonts w:ascii="Arial" w:hAnsi="Arial" w:cs="Arial"/>
          <w:sz w:val="21"/>
          <w:szCs w:val="21"/>
        </w:rPr>
      </w:pPr>
      <w:r w:rsidRPr="008B0DE6">
        <w:rPr>
          <w:rFonts w:ascii="Arial" w:hAnsi="Arial" w:cs="Arial"/>
          <w:sz w:val="21"/>
          <w:szCs w:val="21"/>
        </w:rPr>
        <w:t>Eye Department, Kiribati Ministry of Health and Medical Services</w:t>
      </w:r>
    </w:p>
    <w:p w14:paraId="2B1A0F18" w14:textId="585640DD" w:rsidR="00DC59B2" w:rsidRPr="00DC59B2" w:rsidRDefault="00DC59B2" w:rsidP="008B5BE3">
      <w:pPr>
        <w:pStyle w:val="ListParagraph"/>
        <w:numPr>
          <w:ilvl w:val="0"/>
          <w:numId w:val="1"/>
        </w:numPr>
        <w:spacing w:line="480" w:lineRule="auto"/>
        <w:jc w:val="both"/>
        <w:rPr>
          <w:rFonts w:ascii="Arial" w:hAnsi="Arial" w:cs="Arial"/>
          <w:sz w:val="21"/>
          <w:szCs w:val="21"/>
        </w:rPr>
      </w:pPr>
      <w:r w:rsidRPr="008B0DE6">
        <w:rPr>
          <w:rFonts w:ascii="Arial" w:hAnsi="Arial" w:cs="Arial"/>
          <w:sz w:val="21"/>
          <w:szCs w:val="21"/>
        </w:rPr>
        <w:t>Eye Department, Vanuatu Ministry of Health and Medical Services</w:t>
      </w:r>
    </w:p>
    <w:p w14:paraId="703BA3CB" w14:textId="09E4D708" w:rsidR="00E50540" w:rsidRDefault="00E50540" w:rsidP="008B5BE3">
      <w:pPr>
        <w:pStyle w:val="ListParagraph"/>
        <w:numPr>
          <w:ilvl w:val="0"/>
          <w:numId w:val="1"/>
        </w:numPr>
        <w:spacing w:line="480" w:lineRule="auto"/>
        <w:jc w:val="both"/>
        <w:rPr>
          <w:rFonts w:ascii="Arial" w:hAnsi="Arial" w:cs="Arial"/>
          <w:sz w:val="21"/>
          <w:szCs w:val="21"/>
        </w:rPr>
      </w:pPr>
      <w:r w:rsidRPr="008B0DE6">
        <w:rPr>
          <w:rFonts w:ascii="Arial" w:hAnsi="Arial" w:cs="Arial"/>
          <w:sz w:val="21"/>
          <w:szCs w:val="21"/>
        </w:rPr>
        <w:t>Eye Department, Solomon Islands Ministry of Health and Medical Services</w:t>
      </w:r>
    </w:p>
    <w:p w14:paraId="6FB5A624" w14:textId="0118DFD3" w:rsidR="003F5E9C" w:rsidRPr="008B0DE6" w:rsidRDefault="003F5E9C" w:rsidP="008B5BE3">
      <w:pPr>
        <w:pStyle w:val="ListParagraph"/>
        <w:numPr>
          <w:ilvl w:val="0"/>
          <w:numId w:val="1"/>
        </w:numPr>
        <w:spacing w:line="480" w:lineRule="auto"/>
        <w:jc w:val="both"/>
        <w:rPr>
          <w:rFonts w:ascii="Arial" w:hAnsi="Arial" w:cs="Arial"/>
          <w:sz w:val="21"/>
          <w:szCs w:val="21"/>
        </w:rPr>
      </w:pPr>
      <w:r>
        <w:rPr>
          <w:rFonts w:ascii="Arial" w:hAnsi="Arial" w:cs="Arial"/>
          <w:sz w:val="21"/>
          <w:szCs w:val="21"/>
        </w:rPr>
        <w:t>Department of Infection Biology, London School of Hygiene &amp; Tropical Medicine</w:t>
      </w:r>
      <w:r w:rsidR="00796650" w:rsidRPr="00796650">
        <w:rPr>
          <w:rFonts w:ascii="Arial" w:hAnsi="Arial" w:cs="Arial"/>
          <w:sz w:val="21"/>
          <w:szCs w:val="21"/>
        </w:rPr>
        <w:t xml:space="preserve"> </w:t>
      </w:r>
      <w:r w:rsidR="00796650">
        <w:rPr>
          <w:rFonts w:ascii="Arial" w:hAnsi="Arial" w:cs="Arial"/>
          <w:sz w:val="21"/>
          <w:szCs w:val="21"/>
        </w:rPr>
        <w:t>&amp; Centre of Statistics and Its Applications of University of Lisbon</w:t>
      </w:r>
    </w:p>
    <w:p w14:paraId="3B0794CA" w14:textId="32350536" w:rsidR="00E50540" w:rsidRPr="008B0DE6" w:rsidRDefault="00E50540" w:rsidP="008B5BE3">
      <w:pPr>
        <w:pStyle w:val="ListParagraph"/>
        <w:numPr>
          <w:ilvl w:val="0"/>
          <w:numId w:val="1"/>
        </w:numPr>
        <w:spacing w:line="480" w:lineRule="auto"/>
        <w:jc w:val="both"/>
        <w:rPr>
          <w:rFonts w:ascii="Arial" w:hAnsi="Arial" w:cs="Arial"/>
          <w:sz w:val="21"/>
          <w:szCs w:val="21"/>
        </w:rPr>
      </w:pPr>
      <w:r w:rsidRPr="008B0DE6">
        <w:rPr>
          <w:rFonts w:ascii="Arial" w:hAnsi="Arial" w:cs="Arial"/>
          <w:sz w:val="21"/>
          <w:szCs w:val="21"/>
        </w:rPr>
        <w:t>Fred Hollows Foundation</w:t>
      </w:r>
      <w:r w:rsidR="003F5E9C">
        <w:rPr>
          <w:rFonts w:ascii="Arial" w:hAnsi="Arial" w:cs="Arial"/>
          <w:sz w:val="21"/>
          <w:szCs w:val="21"/>
        </w:rPr>
        <w:t>, Melbourne</w:t>
      </w:r>
    </w:p>
    <w:p w14:paraId="3A777713" w14:textId="77777777" w:rsidR="00E50540" w:rsidRPr="008B0DE6" w:rsidRDefault="00E50540" w:rsidP="008B5BE3">
      <w:pPr>
        <w:spacing w:line="480" w:lineRule="auto"/>
        <w:jc w:val="both"/>
        <w:rPr>
          <w:rFonts w:ascii="Arial" w:hAnsi="Arial" w:cs="Arial"/>
          <w:sz w:val="21"/>
          <w:szCs w:val="21"/>
        </w:rPr>
      </w:pPr>
    </w:p>
    <w:p w14:paraId="141FDFCF" w14:textId="77777777" w:rsidR="00E50540" w:rsidRPr="008B0DE6" w:rsidRDefault="00E50540" w:rsidP="008B5BE3">
      <w:pPr>
        <w:spacing w:line="480" w:lineRule="auto"/>
        <w:jc w:val="both"/>
        <w:rPr>
          <w:rFonts w:ascii="Arial" w:hAnsi="Arial" w:cs="Arial"/>
          <w:sz w:val="21"/>
          <w:szCs w:val="21"/>
        </w:rPr>
      </w:pPr>
      <w:r w:rsidRPr="008B0DE6">
        <w:rPr>
          <w:rFonts w:ascii="Arial" w:hAnsi="Arial" w:cs="Arial"/>
          <w:sz w:val="21"/>
          <w:szCs w:val="21"/>
        </w:rPr>
        <w:t xml:space="preserve">Corresponding author: </w:t>
      </w:r>
      <w:hyperlink r:id="rId6" w:history="1">
        <w:r w:rsidRPr="008B0DE6">
          <w:rPr>
            <w:rStyle w:val="Hyperlink"/>
            <w:rFonts w:ascii="Arial" w:hAnsi="Arial" w:cs="Arial"/>
            <w:sz w:val="21"/>
            <w:szCs w:val="21"/>
          </w:rPr>
          <w:t>robert.butcher@lshtm.ac.uk</w:t>
        </w:r>
      </w:hyperlink>
      <w:r w:rsidRPr="008B0DE6">
        <w:rPr>
          <w:rFonts w:ascii="Arial" w:hAnsi="Arial" w:cs="Arial"/>
          <w:sz w:val="21"/>
          <w:szCs w:val="21"/>
        </w:rPr>
        <w:t>; +44 207 927 2419</w:t>
      </w:r>
    </w:p>
    <w:p w14:paraId="77DA8BCC" w14:textId="77777777" w:rsidR="00E0042E" w:rsidRPr="008B0DE6" w:rsidRDefault="00E0042E" w:rsidP="008B5BE3">
      <w:pPr>
        <w:spacing w:line="480" w:lineRule="auto"/>
        <w:jc w:val="both"/>
        <w:rPr>
          <w:rFonts w:ascii="Arial" w:hAnsi="Arial" w:cs="Arial"/>
          <w:sz w:val="21"/>
          <w:szCs w:val="21"/>
        </w:rPr>
      </w:pPr>
    </w:p>
    <w:p w14:paraId="2C79E06C" w14:textId="4663C381" w:rsidR="003062E1" w:rsidRDefault="003062E1" w:rsidP="008B5BE3">
      <w:pPr>
        <w:spacing w:line="480" w:lineRule="auto"/>
        <w:jc w:val="both"/>
        <w:rPr>
          <w:rFonts w:ascii="Arial" w:hAnsi="Arial" w:cs="Arial"/>
          <w:b/>
          <w:sz w:val="21"/>
          <w:szCs w:val="21"/>
        </w:rPr>
      </w:pPr>
      <w:r>
        <w:rPr>
          <w:rFonts w:ascii="Arial" w:hAnsi="Arial" w:cs="Arial"/>
          <w:b/>
          <w:sz w:val="21"/>
          <w:szCs w:val="21"/>
        </w:rPr>
        <w:t>Running title</w:t>
      </w:r>
    </w:p>
    <w:p w14:paraId="7C5004BA" w14:textId="24D23DBF" w:rsidR="003062E1" w:rsidRDefault="003062E1" w:rsidP="008B5BE3">
      <w:pPr>
        <w:spacing w:line="480" w:lineRule="auto"/>
        <w:jc w:val="both"/>
        <w:rPr>
          <w:rFonts w:ascii="Arial" w:hAnsi="Arial" w:cs="Arial"/>
          <w:b/>
          <w:sz w:val="21"/>
          <w:szCs w:val="21"/>
        </w:rPr>
      </w:pPr>
    </w:p>
    <w:p w14:paraId="72DE7DB6" w14:textId="5DD8D986" w:rsidR="00985C4D" w:rsidRPr="00985C4D" w:rsidRDefault="003062E1" w:rsidP="008B5BE3">
      <w:pPr>
        <w:spacing w:line="480" w:lineRule="auto"/>
        <w:jc w:val="both"/>
        <w:rPr>
          <w:rFonts w:ascii="Arial" w:hAnsi="Arial" w:cs="Arial"/>
          <w:sz w:val="21"/>
          <w:szCs w:val="21"/>
        </w:rPr>
      </w:pPr>
      <w:r w:rsidRPr="003062E1">
        <w:rPr>
          <w:rFonts w:ascii="Arial" w:hAnsi="Arial" w:cs="Arial"/>
          <w:sz w:val="21"/>
          <w:szCs w:val="21"/>
        </w:rPr>
        <w:t>Trachoma in Vanuatu and Kiribati</w:t>
      </w:r>
    </w:p>
    <w:p w14:paraId="7E41A627" w14:textId="77777777" w:rsidR="00985C4D" w:rsidRDefault="00985C4D" w:rsidP="008B5BE3">
      <w:pPr>
        <w:spacing w:line="480" w:lineRule="auto"/>
        <w:jc w:val="both"/>
        <w:rPr>
          <w:rFonts w:ascii="Arial" w:hAnsi="Arial" w:cs="Arial"/>
          <w:b/>
          <w:sz w:val="21"/>
          <w:szCs w:val="21"/>
        </w:rPr>
      </w:pPr>
    </w:p>
    <w:p w14:paraId="11A79994" w14:textId="2DD27790" w:rsidR="00ED54E1" w:rsidRPr="008B0DE6" w:rsidRDefault="00ED54E1" w:rsidP="008B5BE3">
      <w:pPr>
        <w:spacing w:line="480" w:lineRule="auto"/>
        <w:jc w:val="both"/>
        <w:rPr>
          <w:rFonts w:ascii="Arial" w:hAnsi="Arial" w:cs="Arial"/>
          <w:b/>
          <w:sz w:val="21"/>
          <w:szCs w:val="21"/>
        </w:rPr>
      </w:pPr>
      <w:r w:rsidRPr="008B0DE6">
        <w:rPr>
          <w:rFonts w:ascii="Arial" w:hAnsi="Arial" w:cs="Arial"/>
          <w:b/>
          <w:sz w:val="21"/>
          <w:szCs w:val="21"/>
        </w:rPr>
        <w:t>Author contributions</w:t>
      </w:r>
    </w:p>
    <w:p w14:paraId="35F85F05" w14:textId="14F9D16C" w:rsidR="00ED54E1" w:rsidRPr="008B0DE6" w:rsidRDefault="00ED54E1" w:rsidP="008B5BE3">
      <w:pPr>
        <w:spacing w:line="480" w:lineRule="auto"/>
        <w:jc w:val="both"/>
        <w:rPr>
          <w:rFonts w:ascii="Arial" w:hAnsi="Arial" w:cs="Arial"/>
          <w:sz w:val="21"/>
          <w:szCs w:val="21"/>
        </w:rPr>
      </w:pPr>
    </w:p>
    <w:p w14:paraId="4EE3CF7C" w14:textId="28FCD53F" w:rsidR="00ED54E1" w:rsidRPr="008B0DE6" w:rsidRDefault="00ED54E1" w:rsidP="008B5BE3">
      <w:pPr>
        <w:spacing w:line="480" w:lineRule="auto"/>
        <w:jc w:val="both"/>
        <w:rPr>
          <w:rFonts w:ascii="Arial" w:hAnsi="Arial" w:cs="Arial"/>
          <w:sz w:val="21"/>
          <w:szCs w:val="21"/>
        </w:rPr>
      </w:pPr>
      <w:r w:rsidRPr="008B0DE6">
        <w:rPr>
          <w:rFonts w:ascii="Arial" w:hAnsi="Arial" w:cs="Arial"/>
          <w:sz w:val="21"/>
          <w:szCs w:val="21"/>
        </w:rPr>
        <w:t>Study conception: RB, FT, AC, A</w:t>
      </w:r>
      <w:r w:rsidR="001F690C">
        <w:rPr>
          <w:rFonts w:ascii="Arial" w:hAnsi="Arial" w:cs="Arial"/>
          <w:sz w:val="21"/>
          <w:szCs w:val="21"/>
        </w:rPr>
        <w:t>W</w:t>
      </w:r>
      <w:r w:rsidRPr="008B0DE6">
        <w:rPr>
          <w:rFonts w:ascii="Arial" w:hAnsi="Arial" w:cs="Arial"/>
          <w:sz w:val="21"/>
          <w:szCs w:val="21"/>
        </w:rPr>
        <w:t xml:space="preserve">S, </w:t>
      </w:r>
      <w:proofErr w:type="spellStart"/>
      <w:r w:rsidRPr="008B0DE6">
        <w:rPr>
          <w:rFonts w:ascii="Arial" w:hAnsi="Arial" w:cs="Arial"/>
          <w:sz w:val="21"/>
          <w:szCs w:val="21"/>
        </w:rPr>
        <w:t>ChR</w:t>
      </w:r>
      <w:proofErr w:type="spellEnd"/>
      <w:r w:rsidRPr="008B0DE6">
        <w:rPr>
          <w:rFonts w:ascii="Arial" w:hAnsi="Arial" w:cs="Arial"/>
          <w:sz w:val="21"/>
          <w:szCs w:val="21"/>
        </w:rPr>
        <w:t>, DM</w:t>
      </w:r>
      <w:r w:rsidR="00071C04">
        <w:rPr>
          <w:rFonts w:ascii="Arial" w:hAnsi="Arial" w:cs="Arial"/>
          <w:sz w:val="21"/>
          <w:szCs w:val="21"/>
        </w:rPr>
        <w:t>,</w:t>
      </w:r>
      <w:r w:rsidRPr="008B0DE6">
        <w:rPr>
          <w:rFonts w:ascii="Arial" w:hAnsi="Arial" w:cs="Arial"/>
          <w:sz w:val="21"/>
          <w:szCs w:val="21"/>
        </w:rPr>
        <w:t xml:space="preserve"> </w:t>
      </w:r>
      <w:proofErr w:type="spellStart"/>
      <w:r w:rsidRPr="008B0DE6">
        <w:rPr>
          <w:rFonts w:ascii="Arial" w:hAnsi="Arial" w:cs="Arial"/>
          <w:sz w:val="21"/>
          <w:szCs w:val="21"/>
        </w:rPr>
        <w:t>RTe</w:t>
      </w:r>
      <w:proofErr w:type="spellEnd"/>
      <w:r w:rsidRPr="008B0DE6">
        <w:rPr>
          <w:rFonts w:ascii="Arial" w:hAnsi="Arial" w:cs="Arial"/>
          <w:sz w:val="21"/>
          <w:szCs w:val="21"/>
        </w:rPr>
        <w:t xml:space="preserve"> </w:t>
      </w:r>
    </w:p>
    <w:p w14:paraId="7662B550" w14:textId="068DA297" w:rsidR="00ED54E1" w:rsidRPr="008B0DE6" w:rsidRDefault="00ED54E1" w:rsidP="008B5BE3">
      <w:pPr>
        <w:spacing w:line="480" w:lineRule="auto"/>
        <w:jc w:val="both"/>
        <w:rPr>
          <w:rFonts w:ascii="Arial" w:hAnsi="Arial" w:cs="Arial"/>
          <w:sz w:val="21"/>
          <w:szCs w:val="21"/>
        </w:rPr>
      </w:pPr>
      <w:r w:rsidRPr="008B0DE6">
        <w:rPr>
          <w:rFonts w:ascii="Arial" w:hAnsi="Arial" w:cs="Arial"/>
          <w:sz w:val="21"/>
          <w:szCs w:val="21"/>
        </w:rPr>
        <w:t xml:space="preserve">Funding acquisition: RB, </w:t>
      </w:r>
      <w:proofErr w:type="spellStart"/>
      <w:r w:rsidRPr="008B0DE6">
        <w:rPr>
          <w:rFonts w:ascii="Arial" w:hAnsi="Arial" w:cs="Arial"/>
          <w:sz w:val="21"/>
          <w:szCs w:val="21"/>
        </w:rPr>
        <w:t>ChR</w:t>
      </w:r>
      <w:proofErr w:type="spellEnd"/>
      <w:r w:rsidRPr="008B0DE6">
        <w:rPr>
          <w:rFonts w:ascii="Arial" w:hAnsi="Arial" w:cs="Arial"/>
          <w:sz w:val="21"/>
          <w:szCs w:val="21"/>
        </w:rPr>
        <w:t xml:space="preserve">, DM, FT, </w:t>
      </w:r>
      <w:proofErr w:type="spellStart"/>
      <w:r w:rsidRPr="008B0DE6">
        <w:rPr>
          <w:rFonts w:ascii="Arial" w:hAnsi="Arial" w:cs="Arial"/>
          <w:sz w:val="21"/>
          <w:szCs w:val="21"/>
        </w:rPr>
        <w:t>RTe</w:t>
      </w:r>
      <w:proofErr w:type="spellEnd"/>
      <w:r w:rsidRPr="008B0DE6">
        <w:rPr>
          <w:rFonts w:ascii="Arial" w:hAnsi="Arial" w:cs="Arial"/>
          <w:sz w:val="21"/>
          <w:szCs w:val="21"/>
        </w:rPr>
        <w:t>, A</w:t>
      </w:r>
      <w:r w:rsidR="001F690C">
        <w:rPr>
          <w:rFonts w:ascii="Arial" w:hAnsi="Arial" w:cs="Arial"/>
          <w:sz w:val="21"/>
          <w:szCs w:val="21"/>
        </w:rPr>
        <w:t>W</w:t>
      </w:r>
      <w:r w:rsidRPr="008B0DE6">
        <w:rPr>
          <w:rFonts w:ascii="Arial" w:hAnsi="Arial" w:cs="Arial"/>
          <w:sz w:val="21"/>
          <w:szCs w:val="21"/>
        </w:rPr>
        <w:t>S</w:t>
      </w:r>
    </w:p>
    <w:p w14:paraId="4349849E" w14:textId="33959984" w:rsidR="00ED54E1" w:rsidRPr="008B0DE6" w:rsidRDefault="00ED54E1" w:rsidP="008B5BE3">
      <w:pPr>
        <w:spacing w:line="480" w:lineRule="auto"/>
        <w:jc w:val="both"/>
        <w:rPr>
          <w:rFonts w:ascii="Arial" w:hAnsi="Arial" w:cs="Arial"/>
          <w:sz w:val="21"/>
          <w:szCs w:val="21"/>
        </w:rPr>
      </w:pPr>
      <w:r w:rsidRPr="008B0DE6">
        <w:rPr>
          <w:rFonts w:ascii="Arial" w:hAnsi="Arial" w:cs="Arial"/>
          <w:sz w:val="21"/>
          <w:szCs w:val="21"/>
        </w:rPr>
        <w:t xml:space="preserve">Field work: RB, </w:t>
      </w:r>
      <w:proofErr w:type="spellStart"/>
      <w:r w:rsidRPr="008B0DE6">
        <w:rPr>
          <w:rFonts w:ascii="Arial" w:hAnsi="Arial" w:cs="Arial"/>
          <w:sz w:val="21"/>
          <w:szCs w:val="21"/>
        </w:rPr>
        <w:t>RTa</w:t>
      </w:r>
      <w:proofErr w:type="spellEnd"/>
      <w:r w:rsidRPr="008B0DE6">
        <w:rPr>
          <w:rFonts w:ascii="Arial" w:hAnsi="Arial" w:cs="Arial"/>
          <w:sz w:val="21"/>
          <w:szCs w:val="21"/>
        </w:rPr>
        <w:t xml:space="preserve">, </w:t>
      </w:r>
      <w:proofErr w:type="spellStart"/>
      <w:r w:rsidRPr="008B0DE6">
        <w:rPr>
          <w:rFonts w:ascii="Arial" w:hAnsi="Arial" w:cs="Arial"/>
          <w:sz w:val="21"/>
          <w:szCs w:val="21"/>
        </w:rPr>
        <w:t>RTe</w:t>
      </w:r>
      <w:proofErr w:type="spellEnd"/>
      <w:r w:rsidRPr="008B0DE6">
        <w:rPr>
          <w:rFonts w:ascii="Arial" w:hAnsi="Arial" w:cs="Arial"/>
          <w:sz w:val="21"/>
          <w:szCs w:val="21"/>
        </w:rPr>
        <w:t>, MT, GM, OS, AC, AB, FT</w:t>
      </w:r>
    </w:p>
    <w:p w14:paraId="5CDE8CD2" w14:textId="4889830B" w:rsidR="00F42087" w:rsidRDefault="00DF2947" w:rsidP="008B5BE3">
      <w:pPr>
        <w:spacing w:line="480" w:lineRule="auto"/>
        <w:jc w:val="both"/>
        <w:rPr>
          <w:rFonts w:ascii="Arial" w:hAnsi="Arial" w:cs="Arial"/>
          <w:sz w:val="21"/>
          <w:szCs w:val="21"/>
        </w:rPr>
      </w:pPr>
      <w:r>
        <w:rPr>
          <w:rFonts w:ascii="Arial" w:hAnsi="Arial" w:cs="Arial"/>
          <w:sz w:val="21"/>
          <w:szCs w:val="21"/>
        </w:rPr>
        <w:t xml:space="preserve">Laboratory work: </w:t>
      </w:r>
      <w:r w:rsidRPr="008B0DE6">
        <w:rPr>
          <w:rFonts w:ascii="Arial" w:hAnsi="Arial" w:cs="Arial"/>
          <w:sz w:val="21"/>
          <w:szCs w:val="21"/>
        </w:rPr>
        <w:t xml:space="preserve">RB, </w:t>
      </w:r>
      <w:r w:rsidR="003729E0">
        <w:rPr>
          <w:rFonts w:ascii="Arial" w:hAnsi="Arial" w:cs="Arial"/>
          <w:sz w:val="21"/>
          <w:szCs w:val="21"/>
        </w:rPr>
        <w:t>B</w:t>
      </w:r>
      <w:r w:rsidRPr="008B0DE6">
        <w:rPr>
          <w:rFonts w:ascii="Arial" w:hAnsi="Arial" w:cs="Arial"/>
          <w:sz w:val="21"/>
          <w:szCs w:val="21"/>
        </w:rPr>
        <w:t>H,</w:t>
      </w:r>
      <w:r w:rsidRPr="003729E0">
        <w:rPr>
          <w:rFonts w:ascii="Arial" w:hAnsi="Arial" w:cs="Arial"/>
          <w:sz w:val="21"/>
          <w:szCs w:val="21"/>
        </w:rPr>
        <w:t xml:space="preserve"> HP</w:t>
      </w:r>
      <w:r w:rsidR="00DC59B2">
        <w:rPr>
          <w:rFonts w:ascii="Arial" w:hAnsi="Arial" w:cs="Arial"/>
          <w:sz w:val="21"/>
          <w:szCs w:val="21"/>
        </w:rPr>
        <w:t>, M</w:t>
      </w:r>
      <w:r w:rsidR="0010661D">
        <w:rPr>
          <w:rFonts w:ascii="Arial" w:hAnsi="Arial" w:cs="Arial"/>
          <w:sz w:val="21"/>
          <w:szCs w:val="21"/>
        </w:rPr>
        <w:t>J</w:t>
      </w:r>
      <w:r w:rsidR="00DC59B2">
        <w:rPr>
          <w:rFonts w:ascii="Arial" w:hAnsi="Arial" w:cs="Arial"/>
          <w:sz w:val="21"/>
          <w:szCs w:val="21"/>
        </w:rPr>
        <w:t>B</w:t>
      </w:r>
    </w:p>
    <w:p w14:paraId="16A0FBAF" w14:textId="21339DD9" w:rsidR="00ED54E1" w:rsidRPr="008B0DE6" w:rsidRDefault="00ED54E1" w:rsidP="008B5BE3">
      <w:pPr>
        <w:spacing w:line="480" w:lineRule="auto"/>
        <w:jc w:val="both"/>
        <w:rPr>
          <w:rFonts w:ascii="Arial" w:hAnsi="Arial" w:cs="Arial"/>
          <w:sz w:val="21"/>
          <w:szCs w:val="21"/>
        </w:rPr>
      </w:pPr>
      <w:r w:rsidRPr="008B0DE6">
        <w:rPr>
          <w:rFonts w:ascii="Arial" w:hAnsi="Arial" w:cs="Arial"/>
          <w:sz w:val="21"/>
          <w:szCs w:val="21"/>
        </w:rPr>
        <w:lastRenderedPageBreak/>
        <w:t xml:space="preserve">Analysis: </w:t>
      </w:r>
      <w:r w:rsidR="00DF2947">
        <w:rPr>
          <w:rFonts w:ascii="Arial" w:hAnsi="Arial" w:cs="Arial"/>
          <w:sz w:val="21"/>
          <w:szCs w:val="21"/>
        </w:rPr>
        <w:t>RB, BH</w:t>
      </w:r>
      <w:r w:rsidR="001D5EB8">
        <w:rPr>
          <w:rFonts w:ascii="Arial" w:hAnsi="Arial" w:cs="Arial"/>
          <w:sz w:val="21"/>
          <w:szCs w:val="21"/>
        </w:rPr>
        <w:t>,</w:t>
      </w:r>
      <w:r w:rsidR="001D5EB8" w:rsidRPr="001D5EB8">
        <w:rPr>
          <w:rFonts w:ascii="Arial" w:hAnsi="Arial" w:cs="Arial"/>
          <w:sz w:val="21"/>
          <w:szCs w:val="21"/>
        </w:rPr>
        <w:t xml:space="preserve"> </w:t>
      </w:r>
      <w:r w:rsidR="001D5EB8">
        <w:rPr>
          <w:rFonts w:ascii="Arial" w:hAnsi="Arial" w:cs="Arial"/>
          <w:sz w:val="21"/>
          <w:szCs w:val="21"/>
        </w:rPr>
        <w:t>HP</w:t>
      </w:r>
      <w:r w:rsidR="00071C04">
        <w:rPr>
          <w:rFonts w:ascii="Arial" w:hAnsi="Arial" w:cs="Arial"/>
          <w:sz w:val="21"/>
          <w:szCs w:val="21"/>
        </w:rPr>
        <w:t>,</w:t>
      </w:r>
      <w:r w:rsidR="00071C04" w:rsidRPr="00071C04">
        <w:rPr>
          <w:rFonts w:ascii="Arial" w:hAnsi="Arial" w:cs="Arial"/>
          <w:sz w:val="21"/>
          <w:szCs w:val="21"/>
        </w:rPr>
        <w:t xml:space="preserve"> </w:t>
      </w:r>
      <w:r w:rsidR="00071C04">
        <w:rPr>
          <w:rFonts w:ascii="Arial" w:hAnsi="Arial" w:cs="Arial"/>
          <w:sz w:val="21"/>
          <w:szCs w:val="21"/>
        </w:rPr>
        <w:t>NS</w:t>
      </w:r>
    </w:p>
    <w:p w14:paraId="55D406D3" w14:textId="02A32006" w:rsidR="00ED54E1" w:rsidRPr="008B0DE6" w:rsidRDefault="00ED54E1" w:rsidP="008B5BE3">
      <w:pPr>
        <w:spacing w:line="480" w:lineRule="auto"/>
        <w:jc w:val="both"/>
        <w:rPr>
          <w:rFonts w:ascii="Arial" w:hAnsi="Arial" w:cs="Arial"/>
          <w:sz w:val="21"/>
          <w:szCs w:val="21"/>
        </w:rPr>
      </w:pPr>
      <w:r w:rsidRPr="008B0DE6">
        <w:rPr>
          <w:rFonts w:ascii="Arial" w:hAnsi="Arial" w:cs="Arial"/>
          <w:sz w:val="21"/>
          <w:szCs w:val="21"/>
        </w:rPr>
        <w:t>Supervision: A</w:t>
      </w:r>
      <w:r w:rsidR="001F690C">
        <w:rPr>
          <w:rFonts w:ascii="Arial" w:hAnsi="Arial" w:cs="Arial"/>
          <w:sz w:val="21"/>
          <w:szCs w:val="21"/>
        </w:rPr>
        <w:t>W</w:t>
      </w:r>
      <w:r w:rsidRPr="008B0DE6">
        <w:rPr>
          <w:rFonts w:ascii="Arial" w:hAnsi="Arial" w:cs="Arial"/>
          <w:sz w:val="21"/>
          <w:szCs w:val="21"/>
        </w:rPr>
        <w:t>S, DM, ChR</w:t>
      </w:r>
    </w:p>
    <w:p w14:paraId="07C83529" w14:textId="7E0C6F90" w:rsidR="00ED54E1" w:rsidRPr="008B0DE6" w:rsidRDefault="00ED54E1" w:rsidP="008B5BE3">
      <w:pPr>
        <w:spacing w:line="480" w:lineRule="auto"/>
        <w:jc w:val="both"/>
        <w:rPr>
          <w:rFonts w:ascii="Arial" w:hAnsi="Arial" w:cs="Arial"/>
          <w:sz w:val="21"/>
          <w:szCs w:val="21"/>
        </w:rPr>
      </w:pPr>
      <w:r w:rsidRPr="008B0DE6">
        <w:rPr>
          <w:rFonts w:ascii="Arial" w:hAnsi="Arial" w:cs="Arial"/>
          <w:sz w:val="21"/>
          <w:szCs w:val="21"/>
        </w:rPr>
        <w:t>Report preparation: RB</w:t>
      </w:r>
    </w:p>
    <w:p w14:paraId="7CB0C994" w14:textId="21C54BD8" w:rsidR="00ED54E1" w:rsidRPr="008B0DE6" w:rsidRDefault="00ED54E1" w:rsidP="008B5BE3">
      <w:pPr>
        <w:spacing w:line="480" w:lineRule="auto"/>
        <w:jc w:val="both"/>
        <w:rPr>
          <w:rFonts w:ascii="Arial" w:hAnsi="Arial" w:cs="Arial"/>
          <w:sz w:val="21"/>
          <w:szCs w:val="21"/>
        </w:rPr>
      </w:pPr>
      <w:r w:rsidRPr="008B0DE6">
        <w:rPr>
          <w:rFonts w:ascii="Arial" w:hAnsi="Arial" w:cs="Arial"/>
          <w:sz w:val="21"/>
          <w:szCs w:val="21"/>
        </w:rPr>
        <w:t xml:space="preserve">Report review and approval: RB, </w:t>
      </w:r>
      <w:r w:rsidR="003729E0">
        <w:rPr>
          <w:rFonts w:ascii="Arial" w:hAnsi="Arial" w:cs="Arial"/>
          <w:sz w:val="21"/>
          <w:szCs w:val="21"/>
        </w:rPr>
        <w:t>B</w:t>
      </w:r>
      <w:r w:rsidRPr="008B0DE6">
        <w:rPr>
          <w:rFonts w:ascii="Arial" w:hAnsi="Arial" w:cs="Arial"/>
          <w:sz w:val="21"/>
          <w:szCs w:val="21"/>
        </w:rPr>
        <w:t xml:space="preserve">H, </w:t>
      </w:r>
      <w:proofErr w:type="spellStart"/>
      <w:r w:rsidRPr="008B0DE6">
        <w:rPr>
          <w:rFonts w:ascii="Arial" w:hAnsi="Arial" w:cs="Arial"/>
          <w:sz w:val="21"/>
          <w:szCs w:val="21"/>
        </w:rPr>
        <w:t>RTa</w:t>
      </w:r>
      <w:proofErr w:type="spellEnd"/>
      <w:r w:rsidRPr="008B0DE6">
        <w:rPr>
          <w:rFonts w:ascii="Arial" w:hAnsi="Arial" w:cs="Arial"/>
          <w:sz w:val="21"/>
          <w:szCs w:val="21"/>
        </w:rPr>
        <w:t xml:space="preserve">, MT, GM, HP, OS, AC, AB, </w:t>
      </w:r>
      <w:r w:rsidR="0010661D">
        <w:rPr>
          <w:rFonts w:ascii="Arial" w:hAnsi="Arial" w:cs="Arial"/>
          <w:sz w:val="21"/>
          <w:szCs w:val="21"/>
        </w:rPr>
        <w:t>MJB,</w:t>
      </w:r>
      <w:r w:rsidR="00796650">
        <w:rPr>
          <w:rFonts w:ascii="Arial" w:hAnsi="Arial" w:cs="Arial"/>
          <w:sz w:val="21"/>
          <w:szCs w:val="21"/>
        </w:rPr>
        <w:t xml:space="preserve"> NS,</w:t>
      </w:r>
      <w:r w:rsidR="0010661D">
        <w:rPr>
          <w:rFonts w:ascii="Arial" w:hAnsi="Arial" w:cs="Arial"/>
          <w:sz w:val="21"/>
          <w:szCs w:val="21"/>
        </w:rPr>
        <w:t xml:space="preserve"> </w:t>
      </w:r>
      <w:r w:rsidRPr="008B0DE6">
        <w:rPr>
          <w:rFonts w:ascii="Arial" w:hAnsi="Arial" w:cs="Arial"/>
          <w:sz w:val="21"/>
          <w:szCs w:val="21"/>
        </w:rPr>
        <w:t>DM, A</w:t>
      </w:r>
      <w:r w:rsidR="001F690C">
        <w:rPr>
          <w:rFonts w:ascii="Arial" w:hAnsi="Arial" w:cs="Arial"/>
          <w:sz w:val="21"/>
          <w:szCs w:val="21"/>
        </w:rPr>
        <w:t>W</w:t>
      </w:r>
      <w:r w:rsidRPr="008B0DE6">
        <w:rPr>
          <w:rFonts w:ascii="Arial" w:hAnsi="Arial" w:cs="Arial"/>
          <w:sz w:val="21"/>
          <w:szCs w:val="21"/>
        </w:rPr>
        <w:t xml:space="preserve">S, </w:t>
      </w:r>
      <w:proofErr w:type="spellStart"/>
      <w:r w:rsidRPr="008B0DE6">
        <w:rPr>
          <w:rFonts w:ascii="Arial" w:hAnsi="Arial" w:cs="Arial"/>
          <w:sz w:val="21"/>
          <w:szCs w:val="21"/>
        </w:rPr>
        <w:t>RTe</w:t>
      </w:r>
      <w:proofErr w:type="spellEnd"/>
      <w:r w:rsidRPr="008B0DE6">
        <w:rPr>
          <w:rFonts w:ascii="Arial" w:hAnsi="Arial" w:cs="Arial"/>
          <w:sz w:val="21"/>
          <w:szCs w:val="21"/>
        </w:rPr>
        <w:t xml:space="preserve">, FT, </w:t>
      </w:r>
      <w:proofErr w:type="spellStart"/>
      <w:r w:rsidRPr="008B0DE6">
        <w:rPr>
          <w:rFonts w:ascii="Arial" w:hAnsi="Arial" w:cs="Arial"/>
          <w:sz w:val="21"/>
          <w:szCs w:val="21"/>
        </w:rPr>
        <w:t>ChR</w:t>
      </w:r>
      <w:proofErr w:type="spellEnd"/>
    </w:p>
    <w:p w14:paraId="65F57797" w14:textId="39E8BA39" w:rsidR="00ED54E1" w:rsidRDefault="00ED54E1" w:rsidP="008B5BE3">
      <w:pPr>
        <w:spacing w:line="480" w:lineRule="auto"/>
        <w:jc w:val="both"/>
        <w:rPr>
          <w:rFonts w:ascii="Arial" w:hAnsi="Arial" w:cs="Arial"/>
          <w:sz w:val="21"/>
          <w:szCs w:val="21"/>
        </w:rPr>
      </w:pPr>
    </w:p>
    <w:p w14:paraId="303D00BD" w14:textId="3A87765B" w:rsidR="00EC4268" w:rsidRPr="00EC4268" w:rsidRDefault="00EC4268" w:rsidP="008B5BE3">
      <w:pPr>
        <w:spacing w:line="480" w:lineRule="auto"/>
        <w:jc w:val="both"/>
        <w:rPr>
          <w:rFonts w:ascii="Arial" w:hAnsi="Arial" w:cs="Arial"/>
          <w:b/>
          <w:bCs/>
          <w:sz w:val="21"/>
          <w:szCs w:val="21"/>
        </w:rPr>
      </w:pPr>
      <w:r w:rsidRPr="00EC4268">
        <w:rPr>
          <w:rFonts w:ascii="Arial" w:hAnsi="Arial" w:cs="Arial"/>
          <w:b/>
          <w:bCs/>
          <w:sz w:val="21"/>
          <w:szCs w:val="21"/>
        </w:rPr>
        <w:t>Conflict of interest</w:t>
      </w:r>
    </w:p>
    <w:p w14:paraId="131FD018" w14:textId="15851868" w:rsidR="00EC4268" w:rsidRDefault="00EC4268" w:rsidP="008B5BE3">
      <w:pPr>
        <w:spacing w:line="480" w:lineRule="auto"/>
        <w:jc w:val="both"/>
        <w:rPr>
          <w:rFonts w:ascii="Arial" w:hAnsi="Arial" w:cs="Arial"/>
          <w:sz w:val="21"/>
          <w:szCs w:val="21"/>
        </w:rPr>
      </w:pPr>
    </w:p>
    <w:p w14:paraId="2E05FCEA" w14:textId="01AA04E1" w:rsidR="00EC4268" w:rsidRDefault="00EC4268" w:rsidP="008B5BE3">
      <w:pPr>
        <w:spacing w:line="480" w:lineRule="auto"/>
        <w:jc w:val="both"/>
        <w:rPr>
          <w:rFonts w:ascii="Arial" w:hAnsi="Arial" w:cs="Arial"/>
          <w:sz w:val="21"/>
          <w:szCs w:val="21"/>
        </w:rPr>
      </w:pPr>
      <w:r>
        <w:rPr>
          <w:rFonts w:ascii="Arial" w:hAnsi="Arial" w:cs="Arial"/>
          <w:sz w:val="21"/>
          <w:szCs w:val="21"/>
        </w:rPr>
        <w:t>None of the authors declare any conflicts of interest.</w:t>
      </w:r>
    </w:p>
    <w:p w14:paraId="2E45F327" w14:textId="77777777" w:rsidR="00EC4268" w:rsidRPr="008B0DE6" w:rsidRDefault="00EC4268" w:rsidP="008B5BE3">
      <w:pPr>
        <w:spacing w:line="480" w:lineRule="auto"/>
        <w:jc w:val="both"/>
        <w:rPr>
          <w:rFonts w:ascii="Arial" w:hAnsi="Arial" w:cs="Arial"/>
          <w:sz w:val="21"/>
          <w:szCs w:val="21"/>
        </w:rPr>
      </w:pPr>
    </w:p>
    <w:p w14:paraId="0E380D0D" w14:textId="440BC9E0" w:rsidR="000D5081" w:rsidRPr="008B0DE6" w:rsidRDefault="000D5081" w:rsidP="008B5BE3">
      <w:pPr>
        <w:spacing w:line="480" w:lineRule="auto"/>
        <w:jc w:val="both"/>
        <w:rPr>
          <w:rFonts w:ascii="Arial" w:hAnsi="Arial" w:cs="Arial"/>
          <w:b/>
          <w:sz w:val="21"/>
          <w:szCs w:val="21"/>
        </w:rPr>
      </w:pPr>
      <w:r w:rsidRPr="008B0DE6">
        <w:rPr>
          <w:rFonts w:ascii="Arial" w:hAnsi="Arial" w:cs="Arial"/>
          <w:b/>
          <w:sz w:val="21"/>
          <w:szCs w:val="21"/>
        </w:rPr>
        <w:t>Funding</w:t>
      </w:r>
    </w:p>
    <w:p w14:paraId="134C5E4F" w14:textId="73CABE8F" w:rsidR="000D5081" w:rsidRPr="008B0DE6" w:rsidRDefault="000D5081" w:rsidP="008B5BE3">
      <w:pPr>
        <w:spacing w:line="480" w:lineRule="auto"/>
        <w:jc w:val="both"/>
        <w:rPr>
          <w:rFonts w:ascii="Arial" w:hAnsi="Arial" w:cs="Arial"/>
          <w:sz w:val="21"/>
          <w:szCs w:val="21"/>
        </w:rPr>
      </w:pPr>
    </w:p>
    <w:p w14:paraId="363A179D" w14:textId="00CCAE17" w:rsidR="000D5081" w:rsidRPr="008B0DE6" w:rsidRDefault="00ED54E1" w:rsidP="008B5BE3">
      <w:pPr>
        <w:spacing w:line="480" w:lineRule="auto"/>
        <w:jc w:val="both"/>
        <w:rPr>
          <w:rFonts w:ascii="Arial" w:hAnsi="Arial" w:cs="Arial"/>
          <w:sz w:val="21"/>
          <w:szCs w:val="21"/>
        </w:rPr>
      </w:pPr>
      <w:r w:rsidRPr="008B0DE6">
        <w:rPr>
          <w:rFonts w:ascii="Arial" w:hAnsi="Arial" w:cs="Arial"/>
          <w:sz w:val="21"/>
          <w:szCs w:val="21"/>
        </w:rPr>
        <w:t xml:space="preserve">This study infrastructure and fieldwork was funded by the International Trachoma Initiative, Fred Hollows Foundation and the Queen Elizabeth Diamond Jubilee Trust via an award managed by the Fred Hollows Foundation (1954-0). The laboratory work was funded by </w:t>
      </w:r>
      <w:r w:rsidR="00E0042E" w:rsidRPr="008B0DE6">
        <w:rPr>
          <w:rFonts w:ascii="Arial" w:hAnsi="Arial" w:cs="Arial"/>
          <w:sz w:val="21"/>
          <w:szCs w:val="21"/>
        </w:rPr>
        <w:t>USAID via the Neglected Tropical Disease Support Centre (</w:t>
      </w:r>
      <w:r w:rsidR="00751410" w:rsidRPr="00751410">
        <w:rPr>
          <w:rFonts w:ascii="Arial" w:hAnsi="Arial" w:cs="Arial"/>
          <w:color w:val="000000" w:themeColor="text1"/>
          <w:sz w:val="21"/>
          <w:szCs w:val="21"/>
        </w:rPr>
        <w:t>094U</w:t>
      </w:r>
      <w:r w:rsidR="00E0042E" w:rsidRPr="008B0DE6">
        <w:rPr>
          <w:rFonts w:ascii="Arial" w:hAnsi="Arial" w:cs="Arial"/>
          <w:sz w:val="21"/>
          <w:szCs w:val="21"/>
        </w:rPr>
        <w:t xml:space="preserve">). </w:t>
      </w:r>
      <w:r w:rsidR="00796650" w:rsidRPr="00796650">
        <w:rPr>
          <w:rFonts w:ascii="Arial" w:hAnsi="Arial" w:cs="Arial"/>
          <w:sz w:val="21"/>
          <w:szCs w:val="21"/>
        </w:rPr>
        <w:t xml:space="preserve">NS acknowledges partial funding from </w:t>
      </w:r>
      <w:proofErr w:type="spellStart"/>
      <w:r w:rsidR="00796650" w:rsidRPr="00796650">
        <w:rPr>
          <w:rFonts w:ascii="Arial" w:hAnsi="Arial" w:cs="Arial"/>
          <w:sz w:val="21"/>
          <w:szCs w:val="21"/>
        </w:rPr>
        <w:t>Fundação</w:t>
      </w:r>
      <w:proofErr w:type="spellEnd"/>
      <w:r w:rsidR="00796650" w:rsidRPr="00796650">
        <w:rPr>
          <w:rFonts w:ascii="Arial" w:hAnsi="Arial" w:cs="Arial"/>
          <w:sz w:val="21"/>
          <w:szCs w:val="21"/>
        </w:rPr>
        <w:t xml:space="preserve"> para a </w:t>
      </w:r>
      <w:proofErr w:type="spellStart"/>
      <w:r w:rsidR="00796650" w:rsidRPr="00796650">
        <w:rPr>
          <w:rFonts w:ascii="Arial" w:hAnsi="Arial" w:cs="Arial"/>
          <w:sz w:val="21"/>
          <w:szCs w:val="21"/>
        </w:rPr>
        <w:t>Ciência</w:t>
      </w:r>
      <w:proofErr w:type="spellEnd"/>
      <w:r w:rsidR="00796650" w:rsidRPr="00796650">
        <w:rPr>
          <w:rFonts w:ascii="Arial" w:hAnsi="Arial" w:cs="Arial"/>
          <w:sz w:val="21"/>
          <w:szCs w:val="21"/>
        </w:rPr>
        <w:t xml:space="preserve"> e </w:t>
      </w:r>
      <w:proofErr w:type="spellStart"/>
      <w:r w:rsidR="00796650" w:rsidRPr="00796650">
        <w:rPr>
          <w:rFonts w:ascii="Arial" w:hAnsi="Arial" w:cs="Arial"/>
          <w:sz w:val="21"/>
          <w:szCs w:val="21"/>
        </w:rPr>
        <w:t>Tecnologia</w:t>
      </w:r>
      <w:proofErr w:type="spellEnd"/>
      <w:r w:rsidR="00796650" w:rsidRPr="00796650">
        <w:rPr>
          <w:rFonts w:ascii="Arial" w:hAnsi="Arial" w:cs="Arial"/>
          <w:sz w:val="21"/>
          <w:szCs w:val="21"/>
        </w:rPr>
        <w:t>, Portugal (grant refs. UID/MAT/00006/2013 and UID/MAT/00006/2019)</w:t>
      </w:r>
      <w:r w:rsidR="00796650">
        <w:rPr>
          <w:rFonts w:ascii="Arial" w:hAnsi="Arial" w:cs="Arial"/>
          <w:sz w:val="21"/>
          <w:szCs w:val="21"/>
        </w:rPr>
        <w:t>.</w:t>
      </w:r>
      <w:r w:rsidR="00D506A7">
        <w:rPr>
          <w:rFonts w:ascii="Arial" w:hAnsi="Arial" w:cs="Arial"/>
          <w:sz w:val="21"/>
          <w:szCs w:val="21"/>
        </w:rPr>
        <w:t xml:space="preserve"> ChR acknowledged funding from the Wellcome Trust via the Institutional Strategic Support Fund (105609). MB acknowledges funding from the Wellcome Trust (</w:t>
      </w:r>
      <w:r w:rsidR="00D506A7" w:rsidRPr="00D506A7">
        <w:rPr>
          <w:rFonts w:ascii="Arial" w:hAnsi="Arial" w:cs="Arial"/>
          <w:sz w:val="21"/>
          <w:szCs w:val="21"/>
        </w:rPr>
        <w:t>098481/Z/12/Z</w:t>
      </w:r>
      <w:r w:rsidR="00D506A7">
        <w:rPr>
          <w:rFonts w:ascii="Arial" w:hAnsi="Arial" w:cs="Arial"/>
          <w:sz w:val="21"/>
          <w:szCs w:val="21"/>
        </w:rPr>
        <w:t>).</w:t>
      </w:r>
    </w:p>
    <w:p w14:paraId="7382356E" w14:textId="46FC542F" w:rsidR="000D5081" w:rsidRPr="008B0DE6" w:rsidRDefault="000D5081" w:rsidP="008B5BE3">
      <w:pPr>
        <w:spacing w:line="480" w:lineRule="auto"/>
        <w:jc w:val="both"/>
        <w:rPr>
          <w:rFonts w:ascii="Arial" w:hAnsi="Arial" w:cs="Arial"/>
          <w:sz w:val="21"/>
          <w:szCs w:val="21"/>
        </w:rPr>
      </w:pPr>
    </w:p>
    <w:p w14:paraId="59365A60" w14:textId="2BD86279" w:rsidR="00ED54E1" w:rsidRPr="008B0DE6" w:rsidRDefault="00ED54E1" w:rsidP="008B5BE3">
      <w:pPr>
        <w:spacing w:line="480" w:lineRule="auto"/>
        <w:jc w:val="both"/>
        <w:rPr>
          <w:rFonts w:ascii="Arial" w:hAnsi="Arial" w:cs="Arial"/>
          <w:b/>
          <w:sz w:val="21"/>
          <w:szCs w:val="21"/>
        </w:rPr>
      </w:pPr>
      <w:r w:rsidRPr="008B0DE6">
        <w:rPr>
          <w:rFonts w:ascii="Arial" w:hAnsi="Arial" w:cs="Arial"/>
          <w:b/>
          <w:sz w:val="21"/>
          <w:szCs w:val="21"/>
        </w:rPr>
        <w:t>Acknowledgements</w:t>
      </w:r>
    </w:p>
    <w:p w14:paraId="2B390EDF" w14:textId="6A8B803B" w:rsidR="00ED54E1" w:rsidRPr="008B0DE6" w:rsidRDefault="00ED54E1" w:rsidP="008B5BE3">
      <w:pPr>
        <w:spacing w:line="480" w:lineRule="auto"/>
        <w:jc w:val="both"/>
        <w:rPr>
          <w:rFonts w:ascii="Arial" w:hAnsi="Arial" w:cs="Arial"/>
          <w:sz w:val="21"/>
          <w:szCs w:val="21"/>
        </w:rPr>
      </w:pPr>
    </w:p>
    <w:p w14:paraId="59B4075E" w14:textId="075EA94E" w:rsidR="00ED54E1" w:rsidRPr="00955EFD" w:rsidRDefault="00030BA8" w:rsidP="008B5BE3">
      <w:pPr>
        <w:spacing w:line="480" w:lineRule="auto"/>
        <w:jc w:val="both"/>
        <w:rPr>
          <w:rFonts w:ascii="Arial" w:hAnsi="Arial" w:cs="Arial"/>
          <w:sz w:val="21"/>
          <w:szCs w:val="21"/>
        </w:rPr>
      </w:pPr>
      <w:r>
        <w:rPr>
          <w:rFonts w:ascii="Arial" w:hAnsi="Arial" w:cs="Arial"/>
          <w:sz w:val="21"/>
          <w:szCs w:val="21"/>
        </w:rPr>
        <w:t>F</w:t>
      </w:r>
      <w:r w:rsidR="00ED54E1" w:rsidRPr="008B0DE6">
        <w:rPr>
          <w:rFonts w:ascii="Arial" w:hAnsi="Arial" w:cs="Arial"/>
          <w:sz w:val="21"/>
          <w:szCs w:val="21"/>
        </w:rPr>
        <w:t>irst and foremost</w:t>
      </w:r>
      <w:r>
        <w:rPr>
          <w:rFonts w:ascii="Arial" w:hAnsi="Arial" w:cs="Arial"/>
          <w:sz w:val="21"/>
          <w:szCs w:val="21"/>
        </w:rPr>
        <w:t>, we</w:t>
      </w:r>
      <w:r w:rsidRPr="008B0DE6">
        <w:rPr>
          <w:rFonts w:ascii="Arial" w:hAnsi="Arial" w:cs="Arial"/>
          <w:sz w:val="21"/>
          <w:szCs w:val="21"/>
        </w:rPr>
        <w:t xml:space="preserve"> thank</w:t>
      </w:r>
      <w:r w:rsidR="00ED54E1" w:rsidRPr="008B0DE6">
        <w:rPr>
          <w:rFonts w:ascii="Arial" w:hAnsi="Arial" w:cs="Arial"/>
          <w:sz w:val="21"/>
          <w:szCs w:val="21"/>
        </w:rPr>
        <w:t xml:space="preserve"> the residents of Vanuatu and Kiribati who gave their time to take part in this study. We also thank</w:t>
      </w:r>
      <w:r w:rsidR="00E0042E" w:rsidRPr="008B0DE6">
        <w:rPr>
          <w:rFonts w:ascii="Arial" w:hAnsi="Arial" w:cs="Arial"/>
          <w:sz w:val="21"/>
          <w:szCs w:val="21"/>
        </w:rPr>
        <w:t xml:space="preserve"> the field staff </w:t>
      </w:r>
      <w:r w:rsidR="000F2C1D">
        <w:rPr>
          <w:rFonts w:ascii="Arial" w:hAnsi="Arial" w:cs="Arial"/>
          <w:sz w:val="21"/>
          <w:szCs w:val="21"/>
        </w:rPr>
        <w:t>for their invaluable assistance in collecting data</w:t>
      </w:r>
      <w:r w:rsidR="00A5240B">
        <w:rPr>
          <w:rFonts w:ascii="Arial" w:hAnsi="Arial" w:cs="Arial"/>
          <w:sz w:val="21"/>
          <w:szCs w:val="21"/>
        </w:rPr>
        <w:t xml:space="preserve"> for this study</w:t>
      </w:r>
      <w:r w:rsidR="000F2C1D">
        <w:rPr>
          <w:rFonts w:ascii="Arial" w:hAnsi="Arial" w:cs="Arial"/>
          <w:sz w:val="21"/>
          <w:szCs w:val="21"/>
        </w:rPr>
        <w:t>:</w:t>
      </w:r>
      <w:r w:rsidR="00E0042E" w:rsidRPr="008B0DE6">
        <w:rPr>
          <w:rFonts w:ascii="Arial" w:hAnsi="Arial" w:cs="Arial"/>
          <w:sz w:val="21"/>
          <w:szCs w:val="21"/>
        </w:rPr>
        <w:t xml:space="preserve"> </w:t>
      </w:r>
      <w:r w:rsidR="000F2C1D">
        <w:rPr>
          <w:rFonts w:ascii="Arial" w:hAnsi="Arial" w:cs="Arial"/>
          <w:sz w:val="21"/>
          <w:szCs w:val="21"/>
        </w:rPr>
        <w:t xml:space="preserve">photographers </w:t>
      </w:r>
      <w:r w:rsidR="00ED54E1" w:rsidRPr="008B0DE6">
        <w:rPr>
          <w:rFonts w:ascii="Arial" w:hAnsi="Arial" w:cs="Arial"/>
          <w:sz w:val="21"/>
          <w:szCs w:val="21"/>
        </w:rPr>
        <w:t>Bruce Obed</w:t>
      </w:r>
      <w:r w:rsidR="000F2C1D">
        <w:rPr>
          <w:rFonts w:ascii="Arial" w:hAnsi="Arial" w:cs="Arial"/>
          <w:sz w:val="21"/>
          <w:szCs w:val="21"/>
        </w:rPr>
        <w:t>,</w:t>
      </w:r>
      <w:r w:rsidR="00E0042E" w:rsidRPr="008B0DE6">
        <w:rPr>
          <w:rFonts w:ascii="Arial" w:hAnsi="Arial" w:cs="Arial"/>
          <w:sz w:val="21"/>
          <w:szCs w:val="21"/>
        </w:rPr>
        <w:t xml:space="preserve"> </w:t>
      </w:r>
      <w:r w:rsidR="000F2C1D" w:rsidRPr="008B0DE6">
        <w:rPr>
          <w:rFonts w:ascii="Arial" w:hAnsi="Arial" w:cs="Arial"/>
          <w:sz w:val="21"/>
          <w:szCs w:val="21"/>
        </w:rPr>
        <w:t xml:space="preserve">Joseph </w:t>
      </w:r>
      <w:r w:rsidR="00510A5B">
        <w:rPr>
          <w:rFonts w:ascii="Arial" w:hAnsi="Arial" w:cs="Arial"/>
          <w:sz w:val="21"/>
          <w:szCs w:val="21"/>
        </w:rPr>
        <w:t>Siri</w:t>
      </w:r>
      <w:r w:rsidR="000F2C1D" w:rsidRPr="008B0DE6">
        <w:rPr>
          <w:rFonts w:ascii="Arial" w:hAnsi="Arial" w:cs="Arial"/>
          <w:sz w:val="21"/>
          <w:szCs w:val="21"/>
        </w:rPr>
        <w:t xml:space="preserve"> </w:t>
      </w:r>
      <w:r w:rsidR="00E0042E" w:rsidRPr="008B0DE6">
        <w:rPr>
          <w:rFonts w:ascii="Arial" w:hAnsi="Arial" w:cs="Arial"/>
          <w:sz w:val="21"/>
          <w:szCs w:val="21"/>
        </w:rPr>
        <w:t>(Vanuatu)</w:t>
      </w:r>
      <w:r w:rsidR="00ED54E1" w:rsidRPr="008B0DE6">
        <w:rPr>
          <w:rFonts w:ascii="Arial" w:hAnsi="Arial" w:cs="Arial"/>
          <w:sz w:val="21"/>
          <w:szCs w:val="21"/>
        </w:rPr>
        <w:t xml:space="preserve">, </w:t>
      </w:r>
      <w:r w:rsidR="000F2C1D" w:rsidRPr="008B0DE6">
        <w:rPr>
          <w:rFonts w:ascii="Arial" w:hAnsi="Arial" w:cs="Arial"/>
          <w:sz w:val="21"/>
          <w:szCs w:val="21"/>
        </w:rPr>
        <w:t xml:space="preserve">Miriam </w:t>
      </w:r>
      <w:r w:rsidR="000F2C1D" w:rsidRPr="008B0DE6">
        <w:rPr>
          <w:rFonts w:ascii="Arial" w:hAnsi="Arial" w:cs="Arial"/>
          <w:color w:val="000000" w:themeColor="text1"/>
          <w:sz w:val="21"/>
          <w:szCs w:val="21"/>
        </w:rPr>
        <w:t xml:space="preserve">and </w:t>
      </w:r>
      <w:proofErr w:type="spellStart"/>
      <w:r w:rsidR="00FD33FC" w:rsidRPr="003F5E9C">
        <w:rPr>
          <w:rFonts w:ascii="Arial" w:hAnsi="Arial" w:cs="Arial"/>
          <w:color w:val="000000" w:themeColor="text1"/>
          <w:sz w:val="21"/>
          <w:szCs w:val="21"/>
        </w:rPr>
        <w:t>Tere</w:t>
      </w:r>
      <w:r w:rsidR="003F5E9C" w:rsidRPr="003F5E9C">
        <w:rPr>
          <w:rFonts w:ascii="Arial" w:hAnsi="Arial" w:cs="Arial"/>
          <w:color w:val="000000" w:themeColor="text1"/>
          <w:sz w:val="21"/>
          <w:szCs w:val="21"/>
        </w:rPr>
        <w:t>ti</w:t>
      </w:r>
      <w:r w:rsidR="00FD33FC" w:rsidRPr="003F5E9C">
        <w:rPr>
          <w:rFonts w:ascii="Arial" w:hAnsi="Arial" w:cs="Arial"/>
          <w:color w:val="000000" w:themeColor="text1"/>
          <w:sz w:val="21"/>
          <w:szCs w:val="21"/>
        </w:rPr>
        <w:t>a</w:t>
      </w:r>
      <w:proofErr w:type="spellEnd"/>
      <w:r w:rsidR="00025523">
        <w:rPr>
          <w:rFonts w:ascii="Arial" w:hAnsi="Arial" w:cs="Arial"/>
          <w:color w:val="000000" w:themeColor="text1"/>
          <w:sz w:val="21"/>
          <w:szCs w:val="21"/>
        </w:rPr>
        <w:t xml:space="preserve"> (Kiribati)</w:t>
      </w:r>
      <w:r w:rsidR="000F2C1D">
        <w:rPr>
          <w:rFonts w:ascii="Arial" w:hAnsi="Arial" w:cs="Arial"/>
          <w:color w:val="FF0000"/>
          <w:sz w:val="21"/>
          <w:szCs w:val="21"/>
        </w:rPr>
        <w:t xml:space="preserve">, </w:t>
      </w:r>
      <w:r w:rsidR="000F2C1D" w:rsidRPr="000F2C1D">
        <w:rPr>
          <w:rFonts w:ascii="Arial" w:hAnsi="Arial" w:cs="Arial"/>
          <w:color w:val="000000" w:themeColor="text1"/>
          <w:sz w:val="21"/>
          <w:szCs w:val="21"/>
        </w:rPr>
        <w:t xml:space="preserve">specimen managers </w:t>
      </w:r>
      <w:proofErr w:type="spellStart"/>
      <w:r w:rsidR="00ED54E1" w:rsidRPr="008B0DE6">
        <w:rPr>
          <w:rFonts w:ascii="Arial" w:hAnsi="Arial" w:cs="Arial"/>
          <w:sz w:val="21"/>
          <w:szCs w:val="21"/>
        </w:rPr>
        <w:t>K</w:t>
      </w:r>
      <w:r w:rsidR="00796650">
        <w:rPr>
          <w:rFonts w:ascii="Arial" w:hAnsi="Arial" w:cs="Arial"/>
          <w:sz w:val="21"/>
          <w:szCs w:val="21"/>
        </w:rPr>
        <w:t>e</w:t>
      </w:r>
      <w:r w:rsidR="00ED54E1" w:rsidRPr="008B0DE6">
        <w:rPr>
          <w:rFonts w:ascii="Arial" w:hAnsi="Arial" w:cs="Arial"/>
          <w:sz w:val="21"/>
          <w:szCs w:val="21"/>
        </w:rPr>
        <w:t>lo</w:t>
      </w:r>
      <w:proofErr w:type="spellEnd"/>
      <w:r w:rsidR="00FC162A">
        <w:rPr>
          <w:rFonts w:ascii="Arial" w:hAnsi="Arial" w:cs="Arial"/>
          <w:sz w:val="21"/>
          <w:szCs w:val="21"/>
        </w:rPr>
        <w:t xml:space="preserve"> </w:t>
      </w:r>
      <w:proofErr w:type="spellStart"/>
      <w:r w:rsidR="00796650">
        <w:rPr>
          <w:rFonts w:ascii="Arial" w:hAnsi="Arial" w:cs="Arial"/>
          <w:color w:val="000000" w:themeColor="text1"/>
          <w:sz w:val="21"/>
          <w:szCs w:val="21"/>
        </w:rPr>
        <w:t>Kalkoa</w:t>
      </w:r>
      <w:proofErr w:type="spellEnd"/>
      <w:r w:rsidR="00ED54E1" w:rsidRPr="008B0DE6">
        <w:rPr>
          <w:rFonts w:ascii="Arial" w:hAnsi="Arial" w:cs="Arial"/>
          <w:sz w:val="21"/>
          <w:szCs w:val="21"/>
        </w:rPr>
        <w:t>, Philip Brown</w:t>
      </w:r>
      <w:r w:rsidR="00E0042E" w:rsidRPr="008B0DE6">
        <w:rPr>
          <w:rFonts w:ascii="Arial" w:hAnsi="Arial" w:cs="Arial"/>
          <w:sz w:val="21"/>
          <w:szCs w:val="21"/>
        </w:rPr>
        <w:t xml:space="preserve"> (Vanuatu), </w:t>
      </w:r>
      <w:proofErr w:type="spellStart"/>
      <w:r w:rsidR="00A5240B" w:rsidRPr="008B0DE6">
        <w:rPr>
          <w:rFonts w:ascii="Arial" w:hAnsi="Arial" w:cs="Arial"/>
          <w:sz w:val="21"/>
          <w:szCs w:val="21"/>
        </w:rPr>
        <w:t>Aosu</w:t>
      </w:r>
      <w:proofErr w:type="spellEnd"/>
      <w:r w:rsidR="00751410">
        <w:rPr>
          <w:rFonts w:ascii="Arial" w:hAnsi="Arial" w:cs="Arial"/>
          <w:sz w:val="21"/>
          <w:szCs w:val="21"/>
        </w:rPr>
        <w:t xml:space="preserve"> Naoko</w:t>
      </w:r>
      <w:r w:rsidR="00A5240B">
        <w:rPr>
          <w:rFonts w:ascii="Arial" w:hAnsi="Arial" w:cs="Arial"/>
          <w:sz w:val="21"/>
          <w:szCs w:val="21"/>
        </w:rPr>
        <w:t xml:space="preserve">, Teresa </w:t>
      </w:r>
      <w:proofErr w:type="spellStart"/>
      <w:r w:rsidR="00A5240B">
        <w:rPr>
          <w:rFonts w:ascii="Arial" w:hAnsi="Arial" w:cs="Arial"/>
          <w:sz w:val="21"/>
          <w:szCs w:val="21"/>
        </w:rPr>
        <w:t>Baeke</w:t>
      </w:r>
      <w:proofErr w:type="spellEnd"/>
      <w:r w:rsidR="00A5240B">
        <w:rPr>
          <w:rFonts w:ascii="Arial" w:hAnsi="Arial" w:cs="Arial"/>
          <w:sz w:val="21"/>
          <w:szCs w:val="21"/>
        </w:rPr>
        <w:t>,</w:t>
      </w:r>
      <w:r w:rsidR="00A5240B" w:rsidRPr="008B0DE6">
        <w:rPr>
          <w:rFonts w:ascii="Arial" w:hAnsi="Arial" w:cs="Arial"/>
          <w:sz w:val="21"/>
          <w:szCs w:val="21"/>
        </w:rPr>
        <w:t xml:space="preserve"> </w:t>
      </w:r>
      <w:proofErr w:type="spellStart"/>
      <w:r w:rsidR="00A5240B" w:rsidRPr="008B0DE6">
        <w:rPr>
          <w:rFonts w:ascii="Arial" w:hAnsi="Arial" w:cs="Arial"/>
          <w:sz w:val="21"/>
          <w:szCs w:val="21"/>
        </w:rPr>
        <w:t>Tabwea</w:t>
      </w:r>
      <w:proofErr w:type="spellEnd"/>
      <w:r w:rsidR="00751410">
        <w:rPr>
          <w:rFonts w:ascii="Arial" w:hAnsi="Arial" w:cs="Arial"/>
          <w:sz w:val="21"/>
          <w:szCs w:val="21"/>
        </w:rPr>
        <w:t xml:space="preserve"> </w:t>
      </w:r>
      <w:proofErr w:type="spellStart"/>
      <w:r w:rsidR="00751410">
        <w:rPr>
          <w:rFonts w:ascii="Arial" w:hAnsi="Arial" w:cs="Arial"/>
          <w:sz w:val="21"/>
          <w:szCs w:val="21"/>
        </w:rPr>
        <w:t>Kaukirenren</w:t>
      </w:r>
      <w:proofErr w:type="spellEnd"/>
      <w:r w:rsidR="00A5240B" w:rsidRPr="008B0DE6">
        <w:rPr>
          <w:rFonts w:ascii="Arial" w:hAnsi="Arial" w:cs="Arial"/>
          <w:sz w:val="21"/>
          <w:szCs w:val="21"/>
        </w:rPr>
        <w:t xml:space="preserve"> (Kiribati)</w:t>
      </w:r>
      <w:r w:rsidR="00751410">
        <w:rPr>
          <w:rFonts w:ascii="Arial" w:hAnsi="Arial" w:cs="Arial"/>
          <w:sz w:val="21"/>
          <w:szCs w:val="21"/>
        </w:rPr>
        <w:t>, data recorders</w:t>
      </w:r>
      <w:r w:rsidR="00A5240B">
        <w:rPr>
          <w:rFonts w:ascii="Arial" w:hAnsi="Arial" w:cs="Arial"/>
          <w:sz w:val="21"/>
          <w:szCs w:val="21"/>
        </w:rPr>
        <w:t xml:space="preserve"> </w:t>
      </w:r>
      <w:proofErr w:type="spellStart"/>
      <w:r w:rsidR="00E0042E" w:rsidRPr="008B0DE6">
        <w:rPr>
          <w:rFonts w:ascii="Arial" w:hAnsi="Arial" w:cs="Arial"/>
          <w:sz w:val="21"/>
          <w:szCs w:val="21"/>
        </w:rPr>
        <w:t>Ratu</w:t>
      </w:r>
      <w:proofErr w:type="spellEnd"/>
      <w:r w:rsidR="00E0042E" w:rsidRPr="008B0DE6">
        <w:rPr>
          <w:rFonts w:ascii="Arial" w:hAnsi="Arial" w:cs="Arial"/>
          <w:sz w:val="21"/>
          <w:szCs w:val="21"/>
        </w:rPr>
        <w:t xml:space="preserve"> Bani</w:t>
      </w:r>
      <w:r w:rsidR="00751410" w:rsidRPr="00FD33FC">
        <w:rPr>
          <w:rFonts w:ascii="Arial" w:hAnsi="Arial" w:cs="Arial"/>
          <w:color w:val="000000" w:themeColor="text1"/>
          <w:sz w:val="21"/>
          <w:szCs w:val="21"/>
        </w:rPr>
        <w:t xml:space="preserve">, </w:t>
      </w:r>
      <w:proofErr w:type="spellStart"/>
      <w:r w:rsidR="00FD33FC" w:rsidRPr="00FD33FC">
        <w:rPr>
          <w:rFonts w:ascii="Arial" w:hAnsi="Arial" w:cs="Arial"/>
          <w:color w:val="000000" w:themeColor="text1"/>
          <w:sz w:val="21"/>
          <w:szCs w:val="21"/>
        </w:rPr>
        <w:t>Dolcie</w:t>
      </w:r>
      <w:proofErr w:type="spellEnd"/>
      <w:r w:rsidR="00FD33FC" w:rsidRPr="00FD33FC">
        <w:rPr>
          <w:rFonts w:ascii="Arial" w:hAnsi="Arial" w:cs="Arial"/>
          <w:color w:val="000000" w:themeColor="text1"/>
          <w:sz w:val="21"/>
          <w:szCs w:val="21"/>
        </w:rPr>
        <w:t xml:space="preserve"> Fred</w:t>
      </w:r>
      <w:r w:rsidR="00E0042E" w:rsidRPr="00FD33FC">
        <w:rPr>
          <w:rFonts w:ascii="Arial" w:hAnsi="Arial" w:cs="Arial"/>
          <w:color w:val="000000" w:themeColor="text1"/>
          <w:sz w:val="21"/>
          <w:szCs w:val="21"/>
        </w:rPr>
        <w:t xml:space="preserve"> </w:t>
      </w:r>
      <w:r w:rsidR="00E0042E" w:rsidRPr="008B0DE6">
        <w:rPr>
          <w:rFonts w:ascii="Arial" w:hAnsi="Arial" w:cs="Arial"/>
          <w:sz w:val="21"/>
          <w:szCs w:val="21"/>
        </w:rPr>
        <w:t xml:space="preserve">(Vanuatu), </w:t>
      </w:r>
      <w:proofErr w:type="spellStart"/>
      <w:r w:rsidR="00510A5B" w:rsidRPr="00510A5B">
        <w:rPr>
          <w:rFonts w:ascii="Arial" w:hAnsi="Arial" w:cs="Arial"/>
          <w:sz w:val="21"/>
          <w:szCs w:val="21"/>
        </w:rPr>
        <w:t>Kammari</w:t>
      </w:r>
      <w:proofErr w:type="spellEnd"/>
      <w:r w:rsidR="00510A5B" w:rsidRPr="00510A5B">
        <w:rPr>
          <w:rFonts w:ascii="Arial" w:hAnsi="Arial" w:cs="Arial"/>
          <w:sz w:val="21"/>
          <w:szCs w:val="21"/>
        </w:rPr>
        <w:t xml:space="preserve"> </w:t>
      </w:r>
      <w:proofErr w:type="spellStart"/>
      <w:r w:rsidR="00510A5B" w:rsidRPr="00510A5B">
        <w:rPr>
          <w:rFonts w:ascii="Arial" w:hAnsi="Arial" w:cs="Arial"/>
          <w:sz w:val="21"/>
          <w:szCs w:val="21"/>
        </w:rPr>
        <w:t>Tekaeko</w:t>
      </w:r>
      <w:proofErr w:type="spellEnd"/>
      <w:r w:rsidR="00510A5B" w:rsidRPr="00510A5B">
        <w:rPr>
          <w:rFonts w:ascii="Arial" w:hAnsi="Arial" w:cs="Arial"/>
          <w:sz w:val="21"/>
          <w:szCs w:val="21"/>
        </w:rPr>
        <w:t xml:space="preserve"> </w:t>
      </w:r>
      <w:proofErr w:type="spellStart"/>
      <w:r w:rsidR="00510A5B" w:rsidRPr="00510A5B">
        <w:rPr>
          <w:rFonts w:ascii="Arial" w:hAnsi="Arial" w:cs="Arial"/>
          <w:sz w:val="21"/>
          <w:szCs w:val="21"/>
        </w:rPr>
        <w:t>Matana</w:t>
      </w:r>
      <w:proofErr w:type="spellEnd"/>
      <w:r w:rsidR="00751410">
        <w:rPr>
          <w:rFonts w:ascii="Arial" w:hAnsi="Arial" w:cs="Arial"/>
          <w:sz w:val="21"/>
          <w:szCs w:val="21"/>
        </w:rPr>
        <w:t>,</w:t>
      </w:r>
      <w:r w:rsidR="00751410" w:rsidRPr="008B0DE6">
        <w:rPr>
          <w:rFonts w:ascii="Arial" w:hAnsi="Arial" w:cs="Arial"/>
          <w:sz w:val="21"/>
          <w:szCs w:val="21"/>
        </w:rPr>
        <w:t xml:space="preserve"> </w:t>
      </w:r>
      <w:proofErr w:type="spellStart"/>
      <w:r w:rsidR="00751410" w:rsidRPr="008B0DE6">
        <w:rPr>
          <w:rFonts w:ascii="Arial" w:hAnsi="Arial" w:cs="Arial"/>
          <w:sz w:val="21"/>
          <w:szCs w:val="21"/>
        </w:rPr>
        <w:t>Tewiia</w:t>
      </w:r>
      <w:proofErr w:type="spellEnd"/>
      <w:r w:rsidR="00751410" w:rsidRPr="008B0DE6">
        <w:rPr>
          <w:rFonts w:ascii="Arial" w:hAnsi="Arial" w:cs="Arial"/>
          <w:sz w:val="21"/>
          <w:szCs w:val="21"/>
        </w:rPr>
        <w:t xml:space="preserve"> </w:t>
      </w:r>
      <w:r w:rsidR="00751410">
        <w:rPr>
          <w:rFonts w:ascii="Arial" w:hAnsi="Arial" w:cs="Arial"/>
          <w:sz w:val="21"/>
          <w:szCs w:val="21"/>
        </w:rPr>
        <w:t>K</w:t>
      </w:r>
      <w:r w:rsidR="00510A5B">
        <w:rPr>
          <w:rFonts w:ascii="Arial" w:hAnsi="Arial" w:cs="Arial"/>
          <w:sz w:val="21"/>
          <w:szCs w:val="21"/>
        </w:rPr>
        <w:t xml:space="preserve"> N</w:t>
      </w:r>
      <w:r w:rsidR="00751410">
        <w:rPr>
          <w:rFonts w:ascii="Arial" w:hAnsi="Arial" w:cs="Arial"/>
          <w:sz w:val="21"/>
          <w:szCs w:val="21"/>
        </w:rPr>
        <w:t>eeta (</w:t>
      </w:r>
      <w:r w:rsidR="00751410" w:rsidRPr="008B0DE6">
        <w:rPr>
          <w:rFonts w:ascii="Arial" w:hAnsi="Arial" w:cs="Arial"/>
          <w:sz w:val="21"/>
          <w:szCs w:val="21"/>
        </w:rPr>
        <w:t>Kiribati)</w:t>
      </w:r>
      <w:r w:rsidR="00751410">
        <w:rPr>
          <w:rFonts w:ascii="Arial" w:hAnsi="Arial" w:cs="Arial"/>
          <w:sz w:val="21"/>
          <w:szCs w:val="21"/>
        </w:rPr>
        <w:t xml:space="preserve"> </w:t>
      </w:r>
      <w:r>
        <w:rPr>
          <w:rFonts w:ascii="Arial" w:hAnsi="Arial" w:cs="Arial"/>
          <w:sz w:val="21"/>
          <w:szCs w:val="21"/>
        </w:rPr>
        <w:t xml:space="preserve">and </w:t>
      </w:r>
      <w:r w:rsidR="00751410">
        <w:rPr>
          <w:rFonts w:ascii="Arial" w:hAnsi="Arial" w:cs="Arial"/>
          <w:sz w:val="21"/>
          <w:szCs w:val="21"/>
        </w:rPr>
        <w:t>graders</w:t>
      </w:r>
      <w:r w:rsidR="00DC59B2">
        <w:rPr>
          <w:rFonts w:ascii="Arial" w:hAnsi="Arial" w:cs="Arial"/>
          <w:sz w:val="21"/>
          <w:szCs w:val="21"/>
        </w:rPr>
        <w:t xml:space="preserve"> Mary </w:t>
      </w:r>
      <w:proofErr w:type="spellStart"/>
      <w:r w:rsidR="00DC59B2">
        <w:rPr>
          <w:rFonts w:ascii="Arial" w:hAnsi="Arial" w:cs="Arial"/>
          <w:sz w:val="21"/>
          <w:szCs w:val="21"/>
        </w:rPr>
        <w:t>Tabi</w:t>
      </w:r>
      <w:proofErr w:type="spellEnd"/>
      <w:r w:rsidR="00DC59B2">
        <w:rPr>
          <w:rFonts w:ascii="Arial" w:hAnsi="Arial" w:cs="Arial"/>
          <w:sz w:val="21"/>
          <w:szCs w:val="21"/>
        </w:rPr>
        <w:t xml:space="preserve"> (Vanuatu),</w:t>
      </w:r>
      <w:r w:rsidR="00751410">
        <w:rPr>
          <w:rFonts w:ascii="Arial" w:hAnsi="Arial" w:cs="Arial"/>
          <w:sz w:val="21"/>
          <w:szCs w:val="21"/>
        </w:rPr>
        <w:t xml:space="preserve"> </w:t>
      </w:r>
      <w:proofErr w:type="spellStart"/>
      <w:r w:rsidR="00E0042E" w:rsidRPr="008B0DE6">
        <w:rPr>
          <w:rFonts w:ascii="Arial" w:hAnsi="Arial" w:cs="Arial"/>
          <w:sz w:val="21"/>
          <w:szCs w:val="21"/>
        </w:rPr>
        <w:t>Atata</w:t>
      </w:r>
      <w:proofErr w:type="spellEnd"/>
      <w:r w:rsidR="00E0042E" w:rsidRPr="008B0DE6">
        <w:rPr>
          <w:rFonts w:ascii="Arial" w:hAnsi="Arial" w:cs="Arial"/>
          <w:sz w:val="21"/>
          <w:szCs w:val="21"/>
        </w:rPr>
        <w:t xml:space="preserve"> </w:t>
      </w:r>
      <w:proofErr w:type="spellStart"/>
      <w:r w:rsidR="00510A5B" w:rsidRPr="00510A5B">
        <w:rPr>
          <w:rFonts w:ascii="Arial" w:hAnsi="Arial" w:cs="Arial"/>
          <w:sz w:val="21"/>
          <w:szCs w:val="21"/>
        </w:rPr>
        <w:t>Takenimwakin</w:t>
      </w:r>
      <w:proofErr w:type="spellEnd"/>
      <w:r w:rsidR="00E0042E" w:rsidRPr="008B0DE6">
        <w:rPr>
          <w:rFonts w:ascii="Arial" w:hAnsi="Arial" w:cs="Arial"/>
          <w:sz w:val="21"/>
          <w:szCs w:val="21"/>
        </w:rPr>
        <w:t xml:space="preserve">, </w:t>
      </w:r>
      <w:proofErr w:type="spellStart"/>
      <w:r w:rsidR="00E0042E" w:rsidRPr="008B0DE6">
        <w:rPr>
          <w:rFonts w:ascii="Arial" w:hAnsi="Arial" w:cs="Arial"/>
          <w:sz w:val="21"/>
          <w:szCs w:val="21"/>
        </w:rPr>
        <w:t>Mi</w:t>
      </w:r>
      <w:r w:rsidR="00510A5B">
        <w:rPr>
          <w:rFonts w:ascii="Arial" w:hAnsi="Arial" w:cs="Arial"/>
          <w:sz w:val="21"/>
          <w:szCs w:val="21"/>
        </w:rPr>
        <w:t>i</w:t>
      </w:r>
      <w:r w:rsidR="00E0042E" w:rsidRPr="008B0DE6">
        <w:rPr>
          <w:rFonts w:ascii="Arial" w:hAnsi="Arial" w:cs="Arial"/>
          <w:sz w:val="21"/>
          <w:szCs w:val="21"/>
        </w:rPr>
        <w:t>ri</w:t>
      </w:r>
      <w:proofErr w:type="spellEnd"/>
      <w:r w:rsidR="00E0042E" w:rsidRPr="008B0DE6">
        <w:rPr>
          <w:rFonts w:ascii="Arial" w:hAnsi="Arial" w:cs="Arial"/>
          <w:sz w:val="21"/>
          <w:szCs w:val="21"/>
        </w:rPr>
        <w:t xml:space="preserve"> </w:t>
      </w:r>
      <w:r w:rsidR="00510A5B">
        <w:rPr>
          <w:rFonts w:ascii="Arial" w:hAnsi="Arial" w:cs="Arial"/>
          <w:sz w:val="21"/>
          <w:szCs w:val="21"/>
        </w:rPr>
        <w:t>Tong</w:t>
      </w:r>
      <w:r w:rsidR="00751410">
        <w:rPr>
          <w:rFonts w:ascii="Arial" w:hAnsi="Arial" w:cs="Arial"/>
          <w:sz w:val="21"/>
          <w:szCs w:val="21"/>
        </w:rPr>
        <w:t xml:space="preserve"> and</w:t>
      </w:r>
      <w:r w:rsidR="00E0042E" w:rsidRPr="008B0DE6">
        <w:rPr>
          <w:rFonts w:ascii="Arial" w:hAnsi="Arial" w:cs="Arial"/>
          <w:sz w:val="21"/>
          <w:szCs w:val="21"/>
        </w:rPr>
        <w:t xml:space="preserve"> </w:t>
      </w:r>
      <w:proofErr w:type="spellStart"/>
      <w:r w:rsidR="00E0042E" w:rsidRPr="008B0DE6">
        <w:rPr>
          <w:rFonts w:ascii="Arial" w:hAnsi="Arial" w:cs="Arial"/>
          <w:sz w:val="21"/>
          <w:szCs w:val="21"/>
        </w:rPr>
        <w:t>Iakoba</w:t>
      </w:r>
      <w:proofErr w:type="spellEnd"/>
      <w:r w:rsidR="00E0042E" w:rsidRPr="008B0DE6">
        <w:rPr>
          <w:rFonts w:ascii="Arial" w:hAnsi="Arial" w:cs="Arial"/>
          <w:sz w:val="21"/>
          <w:szCs w:val="21"/>
        </w:rPr>
        <w:t xml:space="preserve"> </w:t>
      </w:r>
      <w:proofErr w:type="spellStart"/>
      <w:r w:rsidR="00FC162A">
        <w:rPr>
          <w:rFonts w:ascii="Arial" w:hAnsi="Arial" w:cs="Arial"/>
          <w:sz w:val="21"/>
          <w:szCs w:val="21"/>
        </w:rPr>
        <w:t>Itibita</w:t>
      </w:r>
      <w:proofErr w:type="spellEnd"/>
      <w:r w:rsidR="00E0042E" w:rsidRPr="008B0DE6">
        <w:rPr>
          <w:rFonts w:ascii="Arial" w:hAnsi="Arial" w:cs="Arial"/>
          <w:sz w:val="21"/>
          <w:szCs w:val="21"/>
        </w:rPr>
        <w:t xml:space="preserve"> (Kiribati)</w:t>
      </w:r>
      <w:r w:rsidR="00E0042E" w:rsidRPr="008B0DE6">
        <w:rPr>
          <w:rFonts w:ascii="Arial" w:hAnsi="Arial" w:cs="Arial"/>
          <w:color w:val="000000" w:themeColor="text1"/>
          <w:sz w:val="21"/>
          <w:szCs w:val="21"/>
        </w:rPr>
        <w:t>.</w:t>
      </w:r>
      <w:r w:rsidR="008C3919">
        <w:rPr>
          <w:rFonts w:ascii="Arial" w:hAnsi="Arial" w:cs="Arial"/>
          <w:color w:val="000000" w:themeColor="text1"/>
          <w:sz w:val="21"/>
          <w:szCs w:val="21"/>
        </w:rPr>
        <w:t xml:space="preserve"> We thank </w:t>
      </w:r>
      <w:r w:rsidR="00FC162A" w:rsidRPr="00FC162A">
        <w:rPr>
          <w:rFonts w:ascii="Arial" w:hAnsi="Arial" w:cs="Arial"/>
          <w:color w:val="000000" w:themeColor="text1"/>
          <w:sz w:val="21"/>
          <w:szCs w:val="21"/>
        </w:rPr>
        <w:t xml:space="preserve">Rosemary </w:t>
      </w:r>
      <w:proofErr w:type="spellStart"/>
      <w:r w:rsidR="00FC162A" w:rsidRPr="00FC162A">
        <w:rPr>
          <w:rFonts w:ascii="Arial" w:hAnsi="Arial" w:cs="Arial"/>
          <w:color w:val="000000" w:themeColor="text1"/>
          <w:sz w:val="21"/>
          <w:szCs w:val="21"/>
        </w:rPr>
        <w:t>Tekoaua</w:t>
      </w:r>
      <w:proofErr w:type="spellEnd"/>
      <w:r w:rsidR="000F2C1D">
        <w:rPr>
          <w:rFonts w:ascii="Arial" w:hAnsi="Arial" w:cs="Arial"/>
          <w:color w:val="000000" w:themeColor="text1"/>
          <w:sz w:val="21"/>
          <w:szCs w:val="21"/>
        </w:rPr>
        <w:t xml:space="preserve"> (Laboratory Services, Ministry of Health and medical Services, Kiribati) for her assistance with </w:t>
      </w:r>
      <w:r w:rsidR="00751410">
        <w:rPr>
          <w:rFonts w:ascii="Arial" w:hAnsi="Arial" w:cs="Arial"/>
          <w:color w:val="000000" w:themeColor="text1"/>
          <w:sz w:val="21"/>
          <w:szCs w:val="21"/>
        </w:rPr>
        <w:t xml:space="preserve">shipping specimens to the UK. We thank Diana Martin and Sarah Gwyn for their advice </w:t>
      </w:r>
      <w:r w:rsidR="00751410">
        <w:rPr>
          <w:rFonts w:ascii="Arial" w:hAnsi="Arial" w:cs="Arial"/>
          <w:color w:val="000000" w:themeColor="text1"/>
          <w:sz w:val="21"/>
          <w:szCs w:val="21"/>
        </w:rPr>
        <w:lastRenderedPageBreak/>
        <w:t>and assistance with the optimisation of the Pgp3 detection assay</w:t>
      </w:r>
      <w:r w:rsidR="008C3919">
        <w:rPr>
          <w:rFonts w:ascii="Arial" w:hAnsi="Arial" w:cs="Arial"/>
          <w:color w:val="000000" w:themeColor="text1"/>
          <w:sz w:val="21"/>
          <w:szCs w:val="21"/>
        </w:rPr>
        <w:t>.</w:t>
      </w:r>
      <w:r w:rsidR="004F01C6">
        <w:rPr>
          <w:rFonts w:ascii="Arial" w:hAnsi="Arial" w:cs="Arial"/>
          <w:color w:val="000000" w:themeColor="text1"/>
          <w:sz w:val="21"/>
          <w:szCs w:val="21"/>
        </w:rPr>
        <w:t xml:space="preserve"> We thank </w:t>
      </w:r>
      <w:r w:rsidR="00071C04">
        <w:rPr>
          <w:rFonts w:ascii="Arial" w:hAnsi="Arial" w:cs="Arial"/>
          <w:color w:val="000000" w:themeColor="text1"/>
          <w:sz w:val="21"/>
          <w:szCs w:val="21"/>
        </w:rPr>
        <w:t>Amy Pinsent</w:t>
      </w:r>
      <w:r w:rsidR="004F01C6">
        <w:rPr>
          <w:rFonts w:ascii="Arial" w:hAnsi="Arial" w:cs="Arial"/>
          <w:color w:val="000000" w:themeColor="text1"/>
          <w:sz w:val="21"/>
          <w:szCs w:val="21"/>
        </w:rPr>
        <w:t xml:space="preserve"> (Department of I</w:t>
      </w:r>
      <w:r w:rsidR="00071C04">
        <w:rPr>
          <w:rFonts w:ascii="Arial" w:hAnsi="Arial" w:cs="Arial"/>
          <w:color w:val="000000" w:themeColor="text1"/>
          <w:sz w:val="21"/>
          <w:szCs w:val="21"/>
        </w:rPr>
        <w:t>nfectious Disease Epidemiology</w:t>
      </w:r>
      <w:r w:rsidR="004F01C6">
        <w:rPr>
          <w:rFonts w:ascii="Arial" w:hAnsi="Arial" w:cs="Arial"/>
          <w:color w:val="000000" w:themeColor="text1"/>
          <w:sz w:val="21"/>
          <w:szCs w:val="21"/>
        </w:rPr>
        <w:t>, London School of Hygiene &amp; Tropical Medicine) for assistance with the seroconversion rate modelling.</w:t>
      </w:r>
    </w:p>
    <w:p w14:paraId="0C71DC44" w14:textId="77777777" w:rsidR="00985C4D" w:rsidRDefault="00985C4D" w:rsidP="008B5BE3">
      <w:pPr>
        <w:spacing w:line="480" w:lineRule="auto"/>
        <w:rPr>
          <w:rFonts w:ascii="Arial" w:hAnsi="Arial" w:cs="Arial"/>
          <w:b/>
          <w:sz w:val="21"/>
          <w:szCs w:val="21"/>
        </w:rPr>
      </w:pPr>
    </w:p>
    <w:p w14:paraId="588F0278" w14:textId="2FF25803" w:rsidR="00985C4D" w:rsidRDefault="00985C4D" w:rsidP="008B5BE3">
      <w:pPr>
        <w:spacing w:line="480" w:lineRule="auto"/>
        <w:rPr>
          <w:rFonts w:ascii="Arial" w:hAnsi="Arial" w:cs="Arial"/>
          <w:b/>
          <w:sz w:val="21"/>
          <w:szCs w:val="21"/>
        </w:rPr>
      </w:pPr>
      <w:r>
        <w:rPr>
          <w:rFonts w:ascii="Arial" w:hAnsi="Arial" w:cs="Arial"/>
          <w:b/>
          <w:sz w:val="21"/>
          <w:szCs w:val="21"/>
        </w:rPr>
        <w:t>Word count</w:t>
      </w:r>
    </w:p>
    <w:p w14:paraId="60D8BBAD" w14:textId="77777777" w:rsidR="00985C4D" w:rsidRDefault="00985C4D" w:rsidP="008B5BE3">
      <w:pPr>
        <w:spacing w:line="480" w:lineRule="auto"/>
        <w:rPr>
          <w:rFonts w:ascii="Arial" w:hAnsi="Arial" w:cs="Arial"/>
          <w:b/>
          <w:sz w:val="21"/>
          <w:szCs w:val="21"/>
        </w:rPr>
      </w:pPr>
    </w:p>
    <w:p w14:paraId="06995B19" w14:textId="6E30A6EF" w:rsidR="00985C4D" w:rsidRPr="00985C4D" w:rsidRDefault="00985C4D" w:rsidP="008B5BE3">
      <w:pPr>
        <w:spacing w:line="480" w:lineRule="auto"/>
        <w:rPr>
          <w:rFonts w:ascii="Arial" w:hAnsi="Arial" w:cs="Arial"/>
          <w:bCs/>
          <w:sz w:val="21"/>
          <w:szCs w:val="21"/>
        </w:rPr>
      </w:pPr>
      <w:r w:rsidRPr="00985C4D">
        <w:rPr>
          <w:rFonts w:ascii="Arial" w:hAnsi="Arial" w:cs="Arial"/>
          <w:bCs/>
          <w:sz w:val="21"/>
          <w:szCs w:val="21"/>
        </w:rPr>
        <w:t xml:space="preserve">Abstract: </w:t>
      </w:r>
      <w:r w:rsidR="00BE24AF">
        <w:rPr>
          <w:rFonts w:ascii="Arial" w:hAnsi="Arial" w:cs="Arial"/>
          <w:bCs/>
          <w:sz w:val="21"/>
          <w:szCs w:val="21"/>
        </w:rPr>
        <w:t>197</w:t>
      </w:r>
    </w:p>
    <w:p w14:paraId="50709DCC" w14:textId="680A2EB6" w:rsidR="00985C4D" w:rsidRPr="00985C4D" w:rsidRDefault="00985C4D" w:rsidP="008B5BE3">
      <w:pPr>
        <w:spacing w:line="480" w:lineRule="auto"/>
        <w:rPr>
          <w:rFonts w:ascii="Arial" w:hAnsi="Arial" w:cs="Arial"/>
          <w:bCs/>
          <w:sz w:val="21"/>
          <w:szCs w:val="21"/>
        </w:rPr>
      </w:pPr>
      <w:r w:rsidRPr="00985C4D">
        <w:rPr>
          <w:rFonts w:ascii="Arial" w:hAnsi="Arial" w:cs="Arial"/>
          <w:bCs/>
          <w:sz w:val="21"/>
          <w:szCs w:val="21"/>
        </w:rPr>
        <w:t>Text</w:t>
      </w:r>
      <w:r w:rsidR="006C1A8F">
        <w:rPr>
          <w:rFonts w:ascii="Arial" w:hAnsi="Arial" w:cs="Arial"/>
          <w:bCs/>
          <w:sz w:val="21"/>
          <w:szCs w:val="21"/>
        </w:rPr>
        <w:t xml:space="preserve">: </w:t>
      </w:r>
      <w:r w:rsidRPr="00985C4D">
        <w:rPr>
          <w:rFonts w:ascii="Arial" w:hAnsi="Arial" w:cs="Arial"/>
          <w:bCs/>
          <w:sz w:val="21"/>
          <w:szCs w:val="21"/>
        </w:rPr>
        <w:t>3</w:t>
      </w:r>
      <w:r w:rsidR="00E02330">
        <w:rPr>
          <w:rFonts w:ascii="Arial" w:hAnsi="Arial" w:cs="Arial"/>
          <w:bCs/>
          <w:sz w:val="21"/>
          <w:szCs w:val="21"/>
        </w:rPr>
        <w:t>477</w:t>
      </w:r>
    </w:p>
    <w:p w14:paraId="575071B0" w14:textId="77777777" w:rsidR="00985C4D" w:rsidRPr="00985C4D" w:rsidRDefault="00985C4D" w:rsidP="008B5BE3">
      <w:pPr>
        <w:spacing w:line="480" w:lineRule="auto"/>
        <w:rPr>
          <w:rFonts w:ascii="Arial" w:hAnsi="Arial" w:cs="Arial"/>
          <w:bCs/>
          <w:sz w:val="21"/>
          <w:szCs w:val="21"/>
        </w:rPr>
      </w:pPr>
      <w:r w:rsidRPr="00985C4D">
        <w:rPr>
          <w:rFonts w:ascii="Arial" w:hAnsi="Arial" w:cs="Arial"/>
          <w:bCs/>
          <w:sz w:val="21"/>
          <w:szCs w:val="21"/>
        </w:rPr>
        <w:t>Figures: 3</w:t>
      </w:r>
    </w:p>
    <w:p w14:paraId="6E8BCC8B" w14:textId="7A6A98D4" w:rsidR="009501AC" w:rsidRDefault="00985C4D" w:rsidP="008B5BE3">
      <w:pPr>
        <w:spacing w:line="480" w:lineRule="auto"/>
        <w:rPr>
          <w:rFonts w:ascii="Arial" w:hAnsi="Arial" w:cs="Arial"/>
          <w:b/>
          <w:sz w:val="21"/>
          <w:szCs w:val="21"/>
        </w:rPr>
      </w:pPr>
      <w:r w:rsidRPr="00985C4D">
        <w:rPr>
          <w:rFonts w:ascii="Arial" w:hAnsi="Arial" w:cs="Arial"/>
          <w:bCs/>
          <w:sz w:val="21"/>
          <w:szCs w:val="21"/>
        </w:rPr>
        <w:t>Tables: 2</w:t>
      </w:r>
      <w:r w:rsidR="009501AC">
        <w:rPr>
          <w:rFonts w:ascii="Arial" w:hAnsi="Arial" w:cs="Arial"/>
          <w:b/>
          <w:sz w:val="21"/>
          <w:szCs w:val="21"/>
        </w:rPr>
        <w:br w:type="page"/>
      </w:r>
    </w:p>
    <w:p w14:paraId="2D048D64" w14:textId="02FFD395" w:rsidR="00E50540" w:rsidRPr="00955EFD" w:rsidRDefault="002405CC" w:rsidP="008B5BE3">
      <w:pPr>
        <w:spacing w:line="480" w:lineRule="auto"/>
        <w:jc w:val="both"/>
        <w:rPr>
          <w:rFonts w:ascii="Arial" w:hAnsi="Arial" w:cs="Arial"/>
          <w:b/>
          <w:sz w:val="21"/>
          <w:szCs w:val="21"/>
        </w:rPr>
      </w:pPr>
      <w:r w:rsidRPr="00955EFD">
        <w:rPr>
          <w:rFonts w:ascii="Arial" w:hAnsi="Arial" w:cs="Arial"/>
          <w:b/>
          <w:sz w:val="21"/>
          <w:szCs w:val="21"/>
        </w:rPr>
        <w:lastRenderedPageBreak/>
        <w:t>Abstract</w:t>
      </w:r>
      <w:r w:rsidR="00645EFC">
        <w:rPr>
          <w:rFonts w:ascii="Arial" w:hAnsi="Arial" w:cs="Arial"/>
          <w:b/>
          <w:sz w:val="21"/>
          <w:szCs w:val="21"/>
        </w:rPr>
        <w:t xml:space="preserve"> </w:t>
      </w:r>
    </w:p>
    <w:p w14:paraId="22B10A99" w14:textId="77777777" w:rsidR="002405CC" w:rsidRPr="00955EFD" w:rsidRDefault="002405CC" w:rsidP="008B5BE3">
      <w:pPr>
        <w:spacing w:line="480" w:lineRule="auto"/>
        <w:jc w:val="both"/>
        <w:rPr>
          <w:rFonts w:ascii="Arial" w:hAnsi="Arial" w:cs="Arial"/>
          <w:sz w:val="21"/>
          <w:szCs w:val="21"/>
          <w:u w:val="single"/>
        </w:rPr>
      </w:pPr>
    </w:p>
    <w:p w14:paraId="7CF05E2E" w14:textId="032E334E" w:rsidR="002405CC" w:rsidRPr="00955EFD" w:rsidRDefault="00955A93" w:rsidP="008B5BE3">
      <w:pPr>
        <w:spacing w:line="480" w:lineRule="auto"/>
        <w:jc w:val="both"/>
        <w:rPr>
          <w:rFonts w:ascii="Arial" w:hAnsi="Arial" w:cs="Arial"/>
          <w:sz w:val="21"/>
          <w:szCs w:val="21"/>
          <w:u w:val="single"/>
        </w:rPr>
      </w:pPr>
      <w:r>
        <w:rPr>
          <w:rFonts w:ascii="Arial" w:hAnsi="Arial" w:cs="Arial"/>
          <w:sz w:val="21"/>
          <w:szCs w:val="21"/>
          <w:u w:val="single"/>
        </w:rPr>
        <w:t>Introduction</w:t>
      </w:r>
    </w:p>
    <w:p w14:paraId="2C59F94E" w14:textId="456B659E" w:rsidR="002405CC" w:rsidRPr="00955EFD" w:rsidRDefault="002405CC" w:rsidP="008B5BE3">
      <w:pPr>
        <w:spacing w:line="480" w:lineRule="auto"/>
        <w:jc w:val="both"/>
        <w:rPr>
          <w:rFonts w:ascii="Arial" w:hAnsi="Arial" w:cs="Arial"/>
          <w:sz w:val="21"/>
          <w:szCs w:val="21"/>
          <w:u w:val="single"/>
        </w:rPr>
      </w:pPr>
    </w:p>
    <w:p w14:paraId="44262E7F" w14:textId="236BD21A" w:rsidR="004A5E78" w:rsidRPr="00955EFD" w:rsidRDefault="00753600" w:rsidP="008B5BE3">
      <w:pPr>
        <w:spacing w:line="480" w:lineRule="auto"/>
        <w:jc w:val="both"/>
        <w:rPr>
          <w:rFonts w:ascii="Arial" w:hAnsi="Arial" w:cs="Arial"/>
          <w:sz w:val="21"/>
          <w:szCs w:val="21"/>
        </w:rPr>
      </w:pPr>
      <w:r>
        <w:rPr>
          <w:rFonts w:ascii="Arial" w:hAnsi="Arial" w:cs="Arial"/>
          <w:sz w:val="21"/>
          <w:szCs w:val="21"/>
        </w:rPr>
        <w:t>In the peri-elimination setting</w:t>
      </w:r>
      <w:r w:rsidR="00427FDB" w:rsidRPr="00D6192F">
        <w:rPr>
          <w:rFonts w:ascii="Arial" w:hAnsi="Arial" w:cs="Arial"/>
          <w:sz w:val="21"/>
          <w:szCs w:val="21"/>
        </w:rPr>
        <w:t xml:space="preserve">, </w:t>
      </w:r>
      <w:r>
        <w:rPr>
          <w:rFonts w:ascii="Arial" w:hAnsi="Arial" w:cs="Arial"/>
          <w:sz w:val="21"/>
          <w:szCs w:val="21"/>
        </w:rPr>
        <w:t>the positive predictive value of trachomatous inflammation–follicular (TF), the primary marker used to determine need for intervention, is suboptimal</w:t>
      </w:r>
      <w:r w:rsidR="003F5E9C" w:rsidRPr="00D6192F">
        <w:rPr>
          <w:rFonts w:ascii="Arial" w:hAnsi="Arial" w:cs="Arial"/>
          <w:sz w:val="21"/>
          <w:szCs w:val="21"/>
        </w:rPr>
        <w:t xml:space="preserve">. </w:t>
      </w:r>
      <w:r w:rsidR="009A0DD8" w:rsidRPr="00D6192F">
        <w:rPr>
          <w:rFonts w:ascii="Arial" w:hAnsi="Arial" w:cs="Arial"/>
          <w:sz w:val="21"/>
          <w:szCs w:val="21"/>
        </w:rPr>
        <w:t xml:space="preserve">Here, </w:t>
      </w:r>
      <w:r w:rsidR="00B75144" w:rsidRPr="00D6192F">
        <w:rPr>
          <w:rFonts w:ascii="Arial" w:hAnsi="Arial" w:cs="Arial"/>
          <w:sz w:val="21"/>
          <w:szCs w:val="21"/>
        </w:rPr>
        <w:t>three</w:t>
      </w:r>
      <w:r w:rsidR="009A0DD8" w:rsidRPr="00D6192F">
        <w:rPr>
          <w:rFonts w:ascii="Arial" w:hAnsi="Arial" w:cs="Arial"/>
          <w:sz w:val="21"/>
          <w:szCs w:val="21"/>
        </w:rPr>
        <w:t xml:space="preserve"> non-TF measures are contrasted to compare two regions where TF prevalence exceeds the threshold for intervention, but where the </w:t>
      </w:r>
      <w:r w:rsidR="00510A5B" w:rsidRPr="009C6336">
        <w:rPr>
          <w:rFonts w:ascii="Arial" w:hAnsi="Arial" w:cs="Arial"/>
          <w:i/>
          <w:sz w:val="21"/>
          <w:szCs w:val="21"/>
        </w:rPr>
        <w:t>Chlamydia trachomatis</w:t>
      </w:r>
      <w:r w:rsidR="00510A5B">
        <w:rPr>
          <w:rFonts w:ascii="Arial" w:hAnsi="Arial" w:cs="Arial"/>
          <w:i/>
          <w:sz w:val="21"/>
          <w:szCs w:val="21"/>
        </w:rPr>
        <w:t xml:space="preserve"> </w:t>
      </w:r>
      <w:r w:rsidR="00510A5B" w:rsidRPr="00510A5B">
        <w:rPr>
          <w:rFonts w:ascii="Arial" w:hAnsi="Arial" w:cs="Arial"/>
          <w:iCs/>
          <w:sz w:val="21"/>
          <w:szCs w:val="21"/>
        </w:rPr>
        <w:t>(</w:t>
      </w:r>
      <w:r w:rsidR="009A0DD8" w:rsidRPr="00D6192F">
        <w:rPr>
          <w:rFonts w:ascii="Arial" w:hAnsi="Arial" w:cs="Arial"/>
          <w:i/>
          <w:sz w:val="21"/>
          <w:szCs w:val="21"/>
        </w:rPr>
        <w:t>C</w:t>
      </w:r>
      <w:r w:rsidR="00B75144" w:rsidRPr="00D6192F">
        <w:rPr>
          <w:rFonts w:ascii="Arial" w:hAnsi="Arial" w:cs="Arial"/>
          <w:i/>
          <w:sz w:val="21"/>
          <w:szCs w:val="21"/>
        </w:rPr>
        <w:t>t</w:t>
      </w:r>
      <w:r w:rsidR="00510A5B" w:rsidRPr="00510A5B">
        <w:rPr>
          <w:rFonts w:ascii="Arial" w:hAnsi="Arial" w:cs="Arial"/>
          <w:iCs/>
          <w:sz w:val="21"/>
          <w:szCs w:val="21"/>
        </w:rPr>
        <w:t>)</w:t>
      </w:r>
      <w:r w:rsidR="009A0DD8" w:rsidRPr="00D6192F">
        <w:rPr>
          <w:rFonts w:ascii="Arial" w:hAnsi="Arial" w:cs="Arial"/>
          <w:i/>
          <w:sz w:val="21"/>
          <w:szCs w:val="21"/>
        </w:rPr>
        <w:t xml:space="preserve"> </w:t>
      </w:r>
      <w:r w:rsidR="009A0DD8" w:rsidRPr="00D6192F">
        <w:rPr>
          <w:rFonts w:ascii="Arial" w:hAnsi="Arial" w:cs="Arial"/>
          <w:sz w:val="21"/>
          <w:szCs w:val="21"/>
        </w:rPr>
        <w:t>prevalence is different.</w:t>
      </w:r>
      <w:r w:rsidR="009A0DD8" w:rsidRPr="00955EFD">
        <w:rPr>
          <w:rFonts w:ascii="Arial" w:hAnsi="Arial" w:cs="Arial"/>
          <w:sz w:val="21"/>
          <w:szCs w:val="21"/>
        </w:rPr>
        <w:t xml:space="preserve"> </w:t>
      </w:r>
    </w:p>
    <w:p w14:paraId="607C672E" w14:textId="77777777" w:rsidR="004A5E78" w:rsidRPr="00955EFD" w:rsidRDefault="004A5E78" w:rsidP="008B5BE3">
      <w:pPr>
        <w:spacing w:line="480" w:lineRule="auto"/>
        <w:jc w:val="both"/>
        <w:rPr>
          <w:rFonts w:ascii="Arial" w:hAnsi="Arial" w:cs="Arial"/>
          <w:sz w:val="21"/>
          <w:szCs w:val="21"/>
          <w:u w:val="single"/>
        </w:rPr>
      </w:pPr>
    </w:p>
    <w:p w14:paraId="12BE0313" w14:textId="77777777" w:rsidR="002405CC" w:rsidRPr="00955EFD" w:rsidRDefault="002405CC" w:rsidP="008B5BE3">
      <w:pPr>
        <w:spacing w:line="480" w:lineRule="auto"/>
        <w:jc w:val="both"/>
        <w:rPr>
          <w:rFonts w:ascii="Arial" w:hAnsi="Arial" w:cs="Arial"/>
          <w:sz w:val="21"/>
          <w:szCs w:val="21"/>
          <w:u w:val="single"/>
        </w:rPr>
      </w:pPr>
      <w:r w:rsidRPr="00955EFD">
        <w:rPr>
          <w:rFonts w:ascii="Arial" w:hAnsi="Arial" w:cs="Arial"/>
          <w:sz w:val="21"/>
          <w:szCs w:val="21"/>
          <w:u w:val="single"/>
        </w:rPr>
        <w:t>Methods</w:t>
      </w:r>
    </w:p>
    <w:p w14:paraId="1E88AC4C" w14:textId="21D47C7F" w:rsidR="002405CC" w:rsidRPr="00955EFD" w:rsidRDefault="002405CC" w:rsidP="008B5BE3">
      <w:pPr>
        <w:spacing w:line="480" w:lineRule="auto"/>
        <w:jc w:val="both"/>
        <w:rPr>
          <w:rFonts w:ascii="Arial" w:hAnsi="Arial" w:cs="Arial"/>
          <w:sz w:val="21"/>
          <w:szCs w:val="21"/>
          <w:u w:val="single"/>
        </w:rPr>
      </w:pPr>
    </w:p>
    <w:p w14:paraId="6FB8CA75" w14:textId="3350B6A3" w:rsidR="009A0DD8" w:rsidRPr="00955EFD" w:rsidRDefault="004E6F11" w:rsidP="008B5BE3">
      <w:pPr>
        <w:spacing w:line="480" w:lineRule="auto"/>
        <w:jc w:val="both"/>
        <w:rPr>
          <w:rFonts w:ascii="Arial" w:hAnsi="Arial" w:cs="Arial"/>
          <w:sz w:val="21"/>
          <w:szCs w:val="21"/>
        </w:rPr>
      </w:pPr>
      <w:r w:rsidRPr="00955EFD">
        <w:rPr>
          <w:rFonts w:ascii="Arial" w:hAnsi="Arial" w:cs="Arial"/>
          <w:sz w:val="21"/>
          <w:szCs w:val="21"/>
        </w:rPr>
        <w:t xml:space="preserve">Population prevalence </w:t>
      </w:r>
      <w:r w:rsidR="00BA1625">
        <w:rPr>
          <w:rFonts w:ascii="Arial" w:hAnsi="Arial" w:cs="Arial"/>
          <w:sz w:val="21"/>
          <w:szCs w:val="21"/>
        </w:rPr>
        <w:t xml:space="preserve">of trachoma </w:t>
      </w:r>
      <w:r w:rsidR="001F690C">
        <w:rPr>
          <w:rFonts w:ascii="Arial" w:hAnsi="Arial" w:cs="Arial"/>
          <w:sz w:val="21"/>
          <w:szCs w:val="21"/>
        </w:rPr>
        <w:t xml:space="preserve">was </w:t>
      </w:r>
      <w:r w:rsidR="00AA3207">
        <w:rPr>
          <w:rFonts w:ascii="Arial" w:hAnsi="Arial" w:cs="Arial"/>
          <w:sz w:val="21"/>
          <w:szCs w:val="21"/>
        </w:rPr>
        <w:t>measured</w:t>
      </w:r>
      <w:r w:rsidR="00BA1625">
        <w:rPr>
          <w:rFonts w:ascii="Arial" w:hAnsi="Arial" w:cs="Arial"/>
          <w:sz w:val="21"/>
          <w:szCs w:val="21"/>
        </w:rPr>
        <w:t xml:space="preserve"> in</w:t>
      </w:r>
      <w:r w:rsidRPr="00955EFD">
        <w:rPr>
          <w:rFonts w:ascii="Arial" w:hAnsi="Arial" w:cs="Arial"/>
          <w:sz w:val="21"/>
          <w:szCs w:val="21"/>
        </w:rPr>
        <w:t xml:space="preserve"> Vanuatu</w:t>
      </w:r>
      <w:r w:rsidR="00796650">
        <w:rPr>
          <w:rFonts w:ascii="Arial" w:hAnsi="Arial" w:cs="Arial"/>
          <w:sz w:val="21"/>
          <w:szCs w:val="21"/>
        </w:rPr>
        <w:t xml:space="preserve"> (n=3470)</w:t>
      </w:r>
      <w:r w:rsidRPr="00955EFD">
        <w:rPr>
          <w:rFonts w:ascii="Arial" w:hAnsi="Arial" w:cs="Arial"/>
          <w:sz w:val="21"/>
          <w:szCs w:val="21"/>
        </w:rPr>
        <w:t xml:space="preserve"> and Kiribati</w:t>
      </w:r>
      <w:r w:rsidR="00796650">
        <w:rPr>
          <w:rFonts w:ascii="Arial" w:hAnsi="Arial" w:cs="Arial"/>
          <w:sz w:val="21"/>
          <w:szCs w:val="21"/>
        </w:rPr>
        <w:t xml:space="preserve"> (n=2922)</w:t>
      </w:r>
      <w:r w:rsidRPr="00955EFD">
        <w:rPr>
          <w:rFonts w:ascii="Arial" w:hAnsi="Arial" w:cs="Arial"/>
          <w:sz w:val="21"/>
          <w:szCs w:val="21"/>
        </w:rPr>
        <w:t>. Dried blood spots</w:t>
      </w:r>
      <w:r w:rsidR="00AA3207">
        <w:rPr>
          <w:rFonts w:ascii="Arial" w:hAnsi="Arial" w:cs="Arial"/>
          <w:sz w:val="21"/>
          <w:szCs w:val="21"/>
        </w:rPr>
        <w:t xml:space="preserve"> (DBS)</w:t>
      </w:r>
      <w:r w:rsidRPr="00955EFD">
        <w:rPr>
          <w:rFonts w:ascii="Arial" w:hAnsi="Arial" w:cs="Arial"/>
          <w:sz w:val="21"/>
          <w:szCs w:val="21"/>
        </w:rPr>
        <w:t xml:space="preserve"> and conjunctival photographs were collected from every survey participant, and conjunctival swabs were collected from those aged 1–9 years. </w:t>
      </w:r>
      <w:r w:rsidR="00AA3207">
        <w:rPr>
          <w:rFonts w:ascii="Arial" w:hAnsi="Arial" w:cs="Arial"/>
          <w:sz w:val="21"/>
          <w:szCs w:val="21"/>
        </w:rPr>
        <w:t>Individuals</w:t>
      </w:r>
      <w:r w:rsidRPr="00955EFD">
        <w:rPr>
          <w:rFonts w:ascii="Arial" w:hAnsi="Arial" w:cs="Arial"/>
          <w:sz w:val="21"/>
          <w:szCs w:val="21"/>
        </w:rPr>
        <w:t xml:space="preserve"> were tested for </w:t>
      </w:r>
      <w:r w:rsidR="00AA3207">
        <w:rPr>
          <w:rFonts w:ascii="Arial" w:hAnsi="Arial" w:cs="Arial"/>
          <w:sz w:val="21"/>
          <w:szCs w:val="21"/>
        </w:rPr>
        <w:t xml:space="preserve">blood </w:t>
      </w:r>
      <w:r w:rsidRPr="00955EFD">
        <w:rPr>
          <w:rFonts w:ascii="Arial" w:hAnsi="Arial" w:cs="Arial"/>
          <w:sz w:val="21"/>
          <w:szCs w:val="21"/>
        </w:rPr>
        <w:t>anti-Pgp3 antibodi</w:t>
      </w:r>
      <w:r w:rsidR="00AA3207">
        <w:rPr>
          <w:rFonts w:ascii="Arial" w:hAnsi="Arial" w:cs="Arial"/>
          <w:sz w:val="21"/>
          <w:szCs w:val="21"/>
        </w:rPr>
        <w:t>es</w:t>
      </w:r>
      <w:r w:rsidRPr="00955EFD">
        <w:rPr>
          <w:rFonts w:ascii="Arial" w:hAnsi="Arial" w:cs="Arial"/>
          <w:sz w:val="21"/>
          <w:szCs w:val="21"/>
        </w:rPr>
        <w:t xml:space="preserve">, </w:t>
      </w:r>
      <w:r w:rsidR="00D6192F">
        <w:rPr>
          <w:rFonts w:ascii="Arial" w:hAnsi="Arial" w:cs="Arial"/>
          <w:i/>
          <w:sz w:val="21"/>
          <w:szCs w:val="21"/>
        </w:rPr>
        <w:t>Ct</w:t>
      </w:r>
      <w:r w:rsidRPr="00955EFD">
        <w:rPr>
          <w:rFonts w:ascii="Arial" w:hAnsi="Arial" w:cs="Arial"/>
          <w:i/>
          <w:sz w:val="21"/>
          <w:szCs w:val="21"/>
        </w:rPr>
        <w:t xml:space="preserve"> </w:t>
      </w:r>
      <w:r w:rsidRPr="00955EFD">
        <w:rPr>
          <w:rFonts w:ascii="Arial" w:hAnsi="Arial" w:cs="Arial"/>
          <w:sz w:val="21"/>
          <w:szCs w:val="21"/>
        </w:rPr>
        <w:t xml:space="preserve">DNA </w:t>
      </w:r>
      <w:r w:rsidR="00AA3207">
        <w:rPr>
          <w:rFonts w:ascii="Arial" w:hAnsi="Arial" w:cs="Arial"/>
          <w:sz w:val="21"/>
          <w:szCs w:val="21"/>
        </w:rPr>
        <w:t xml:space="preserve">at the conjunctiva </w:t>
      </w:r>
      <w:r w:rsidRPr="00955EFD">
        <w:rPr>
          <w:rFonts w:ascii="Arial" w:hAnsi="Arial" w:cs="Arial"/>
          <w:sz w:val="21"/>
          <w:szCs w:val="21"/>
        </w:rPr>
        <w:t xml:space="preserve">and severity of conjunctival scarring. </w:t>
      </w:r>
    </w:p>
    <w:p w14:paraId="1F552E0D" w14:textId="77777777" w:rsidR="009A0DD8" w:rsidRPr="00955EFD" w:rsidRDefault="009A0DD8" w:rsidP="008B5BE3">
      <w:pPr>
        <w:spacing w:line="480" w:lineRule="auto"/>
        <w:jc w:val="both"/>
        <w:rPr>
          <w:rFonts w:ascii="Arial" w:hAnsi="Arial" w:cs="Arial"/>
          <w:sz w:val="21"/>
          <w:szCs w:val="21"/>
          <w:u w:val="single"/>
        </w:rPr>
      </w:pPr>
    </w:p>
    <w:p w14:paraId="7C46A284" w14:textId="77777777" w:rsidR="002405CC" w:rsidRPr="00955EFD" w:rsidRDefault="002405CC" w:rsidP="008B5BE3">
      <w:pPr>
        <w:spacing w:line="480" w:lineRule="auto"/>
        <w:jc w:val="both"/>
        <w:rPr>
          <w:rFonts w:ascii="Arial" w:hAnsi="Arial" w:cs="Arial"/>
          <w:sz w:val="21"/>
          <w:szCs w:val="21"/>
          <w:u w:val="single"/>
        </w:rPr>
      </w:pPr>
      <w:r w:rsidRPr="00955EFD">
        <w:rPr>
          <w:rFonts w:ascii="Arial" w:hAnsi="Arial" w:cs="Arial"/>
          <w:sz w:val="21"/>
          <w:szCs w:val="21"/>
          <w:u w:val="single"/>
        </w:rPr>
        <w:t>Results</w:t>
      </w:r>
    </w:p>
    <w:p w14:paraId="3CD5AA06" w14:textId="5F075AB4" w:rsidR="002405CC" w:rsidRPr="00955EFD" w:rsidRDefault="002405CC" w:rsidP="008B5BE3">
      <w:pPr>
        <w:spacing w:line="480" w:lineRule="auto"/>
        <w:jc w:val="both"/>
        <w:rPr>
          <w:rFonts w:ascii="Arial" w:hAnsi="Arial" w:cs="Arial"/>
          <w:sz w:val="21"/>
          <w:szCs w:val="21"/>
          <w:u w:val="single"/>
        </w:rPr>
      </w:pPr>
    </w:p>
    <w:p w14:paraId="382F92A5" w14:textId="7D348B7A" w:rsidR="004E6F11" w:rsidRPr="00955EFD" w:rsidRDefault="00812937" w:rsidP="008B5BE3">
      <w:pPr>
        <w:spacing w:line="480" w:lineRule="auto"/>
        <w:jc w:val="both"/>
        <w:rPr>
          <w:rFonts w:ascii="Arial" w:hAnsi="Arial" w:cs="Arial"/>
          <w:sz w:val="21"/>
          <w:szCs w:val="21"/>
        </w:rPr>
      </w:pPr>
      <w:r>
        <w:rPr>
          <w:rFonts w:ascii="Arial" w:hAnsi="Arial" w:cs="Arial"/>
          <w:sz w:val="21"/>
          <w:szCs w:val="21"/>
        </w:rPr>
        <w:t>The prevalence of TF in 1–9-year-olds was 16.5% in Vanuatu and 38.2% in Tarawa.</w:t>
      </w:r>
      <w:r w:rsidR="003729E0" w:rsidRPr="003729E0">
        <w:rPr>
          <w:rFonts w:ascii="Arial" w:hAnsi="Arial" w:cs="Arial"/>
          <w:sz w:val="21"/>
          <w:szCs w:val="21"/>
        </w:rPr>
        <w:t xml:space="preserve"> </w:t>
      </w:r>
      <w:r w:rsidR="00B60655">
        <w:rPr>
          <w:rFonts w:ascii="Arial" w:hAnsi="Arial" w:cs="Arial"/>
          <w:sz w:val="21"/>
          <w:szCs w:val="21"/>
        </w:rPr>
        <w:t>7</w:t>
      </w:r>
      <w:r w:rsidR="00B75144" w:rsidRPr="00955EFD">
        <w:rPr>
          <w:rFonts w:ascii="Arial" w:hAnsi="Arial" w:cs="Arial"/>
          <w:sz w:val="21"/>
          <w:szCs w:val="21"/>
        </w:rPr>
        <w:t xml:space="preserve">% </w:t>
      </w:r>
      <w:r w:rsidR="00B75144">
        <w:rPr>
          <w:rFonts w:ascii="Arial" w:hAnsi="Arial" w:cs="Arial"/>
          <w:sz w:val="21"/>
          <w:szCs w:val="21"/>
        </w:rPr>
        <w:t xml:space="preserve">of people aged ≥1 year </w:t>
      </w:r>
      <w:r w:rsidR="00B75144" w:rsidRPr="00955EFD">
        <w:rPr>
          <w:rFonts w:ascii="Arial" w:hAnsi="Arial" w:cs="Arial"/>
          <w:sz w:val="21"/>
          <w:szCs w:val="21"/>
        </w:rPr>
        <w:t>in Vanuatu</w:t>
      </w:r>
      <w:r w:rsidR="00B75144">
        <w:rPr>
          <w:rFonts w:ascii="Arial" w:hAnsi="Arial" w:cs="Arial"/>
          <w:sz w:val="21"/>
          <w:szCs w:val="21"/>
        </w:rPr>
        <w:t xml:space="preserve"> </w:t>
      </w:r>
      <w:r w:rsidR="00B75144" w:rsidRPr="00955EFD">
        <w:rPr>
          <w:rFonts w:ascii="Arial" w:hAnsi="Arial" w:cs="Arial"/>
          <w:sz w:val="21"/>
          <w:szCs w:val="21"/>
        </w:rPr>
        <w:t>had conjunctival scarring</w:t>
      </w:r>
      <w:r w:rsidR="00B75144">
        <w:rPr>
          <w:rFonts w:ascii="Arial" w:hAnsi="Arial" w:cs="Arial"/>
          <w:sz w:val="21"/>
          <w:szCs w:val="21"/>
        </w:rPr>
        <w:t xml:space="preserve"> compared to 2</w:t>
      </w:r>
      <w:r w:rsidR="00B60655">
        <w:rPr>
          <w:rFonts w:ascii="Arial" w:hAnsi="Arial" w:cs="Arial"/>
          <w:sz w:val="21"/>
          <w:szCs w:val="21"/>
        </w:rPr>
        <w:t>7</w:t>
      </w:r>
      <w:r w:rsidR="00B75144">
        <w:rPr>
          <w:rFonts w:ascii="Arial" w:hAnsi="Arial" w:cs="Arial"/>
          <w:sz w:val="21"/>
          <w:szCs w:val="21"/>
        </w:rPr>
        <w:t>%</w:t>
      </w:r>
      <w:r w:rsidR="003729E0" w:rsidRPr="00955EFD">
        <w:rPr>
          <w:rFonts w:ascii="Arial" w:hAnsi="Arial" w:cs="Arial"/>
          <w:sz w:val="21"/>
          <w:szCs w:val="21"/>
        </w:rPr>
        <w:t xml:space="preserve"> in Tarawa.</w:t>
      </w:r>
      <w:r w:rsidR="004E6F11" w:rsidRPr="00955EFD">
        <w:rPr>
          <w:rFonts w:ascii="Arial" w:hAnsi="Arial" w:cs="Arial"/>
          <w:sz w:val="21"/>
          <w:szCs w:val="21"/>
        </w:rPr>
        <w:t xml:space="preserve"> </w:t>
      </w:r>
      <w:r>
        <w:rPr>
          <w:rFonts w:ascii="Arial" w:hAnsi="Arial" w:cs="Arial"/>
          <w:sz w:val="21"/>
          <w:szCs w:val="21"/>
        </w:rPr>
        <w:t xml:space="preserve">The prevalence of ocular </w:t>
      </w:r>
      <w:r>
        <w:rPr>
          <w:rFonts w:ascii="Arial" w:hAnsi="Arial" w:cs="Arial"/>
          <w:i/>
          <w:iCs/>
          <w:sz w:val="21"/>
          <w:szCs w:val="21"/>
        </w:rPr>
        <w:t xml:space="preserve">Ct </w:t>
      </w:r>
      <w:r>
        <w:rPr>
          <w:rFonts w:ascii="Arial" w:hAnsi="Arial" w:cs="Arial"/>
          <w:sz w:val="21"/>
          <w:szCs w:val="21"/>
        </w:rPr>
        <w:t xml:space="preserve">infection in 1–9-year-olds was </w:t>
      </w:r>
      <w:r w:rsidR="003729E0">
        <w:rPr>
          <w:rFonts w:ascii="Arial" w:hAnsi="Arial" w:cs="Arial"/>
          <w:sz w:val="21"/>
          <w:szCs w:val="21"/>
        </w:rPr>
        <w:t>1.</w:t>
      </w:r>
      <w:r>
        <w:rPr>
          <w:rFonts w:ascii="Arial" w:hAnsi="Arial" w:cs="Arial"/>
          <w:sz w:val="21"/>
          <w:szCs w:val="21"/>
        </w:rPr>
        <w:t>5</w:t>
      </w:r>
      <w:r w:rsidR="004E6F11" w:rsidRPr="00955EFD">
        <w:rPr>
          <w:rFonts w:ascii="Arial" w:hAnsi="Arial" w:cs="Arial"/>
          <w:sz w:val="21"/>
          <w:szCs w:val="21"/>
        </w:rPr>
        <w:t xml:space="preserve">% </w:t>
      </w:r>
      <w:r w:rsidR="00FB1B03">
        <w:rPr>
          <w:rFonts w:ascii="Arial" w:hAnsi="Arial" w:cs="Arial"/>
          <w:sz w:val="21"/>
          <w:szCs w:val="21"/>
        </w:rPr>
        <w:t>in Vanu</w:t>
      </w:r>
      <w:r w:rsidR="00EC1A48">
        <w:rPr>
          <w:rFonts w:ascii="Arial" w:hAnsi="Arial" w:cs="Arial"/>
          <w:sz w:val="21"/>
          <w:szCs w:val="21"/>
        </w:rPr>
        <w:t>a</w:t>
      </w:r>
      <w:r w:rsidR="00FB1B03">
        <w:rPr>
          <w:rFonts w:ascii="Arial" w:hAnsi="Arial" w:cs="Arial"/>
          <w:sz w:val="21"/>
          <w:szCs w:val="21"/>
        </w:rPr>
        <w:t xml:space="preserve">tu </w:t>
      </w:r>
      <w:r w:rsidR="00FB1B03" w:rsidRPr="00955EFD">
        <w:rPr>
          <w:rFonts w:ascii="Arial" w:hAnsi="Arial" w:cs="Arial"/>
          <w:sz w:val="21"/>
          <w:szCs w:val="21"/>
        </w:rPr>
        <w:t xml:space="preserve">and </w:t>
      </w:r>
      <w:r w:rsidR="00FB1B03">
        <w:rPr>
          <w:rFonts w:ascii="Arial" w:hAnsi="Arial" w:cs="Arial"/>
          <w:sz w:val="21"/>
          <w:szCs w:val="21"/>
        </w:rPr>
        <w:t>2</w:t>
      </w:r>
      <w:r>
        <w:rPr>
          <w:rFonts w:ascii="Arial" w:hAnsi="Arial" w:cs="Arial"/>
          <w:sz w:val="21"/>
          <w:szCs w:val="21"/>
        </w:rPr>
        <w:t>7.4</w:t>
      </w:r>
      <w:r w:rsidR="00FB1B03" w:rsidRPr="00955EFD">
        <w:rPr>
          <w:rFonts w:ascii="Arial" w:hAnsi="Arial" w:cs="Arial"/>
          <w:sz w:val="21"/>
          <w:szCs w:val="21"/>
        </w:rPr>
        <w:t>% in Tarawa</w:t>
      </w:r>
      <w:r w:rsidR="004E6F11" w:rsidRPr="00955EFD">
        <w:rPr>
          <w:rFonts w:ascii="Arial" w:hAnsi="Arial" w:cs="Arial"/>
          <w:sz w:val="21"/>
          <w:szCs w:val="21"/>
        </w:rPr>
        <w:t>.</w:t>
      </w:r>
      <w:r w:rsidR="00B75144">
        <w:rPr>
          <w:rFonts w:ascii="Arial" w:hAnsi="Arial" w:cs="Arial"/>
          <w:sz w:val="21"/>
          <w:szCs w:val="21"/>
        </w:rPr>
        <w:t xml:space="preserve"> </w:t>
      </w:r>
      <w:r w:rsidR="004E6F11" w:rsidRPr="00955EFD">
        <w:rPr>
          <w:rFonts w:ascii="Arial" w:hAnsi="Arial" w:cs="Arial"/>
          <w:sz w:val="21"/>
          <w:szCs w:val="21"/>
        </w:rPr>
        <w:t>The seroconversion rate among 1–9-year-old children in</w:t>
      </w:r>
      <w:r w:rsidR="00EC1A48">
        <w:rPr>
          <w:rFonts w:ascii="Arial" w:hAnsi="Arial" w:cs="Arial"/>
          <w:sz w:val="21"/>
          <w:szCs w:val="21"/>
        </w:rPr>
        <w:t xml:space="preserve"> </w:t>
      </w:r>
      <w:r w:rsidR="004E6F11" w:rsidRPr="00955EFD">
        <w:rPr>
          <w:rFonts w:ascii="Arial" w:hAnsi="Arial" w:cs="Arial"/>
          <w:sz w:val="21"/>
          <w:szCs w:val="21"/>
        </w:rPr>
        <w:t>Vanuatu</w:t>
      </w:r>
      <w:r w:rsidR="00EC1A48">
        <w:rPr>
          <w:rFonts w:ascii="Arial" w:hAnsi="Arial" w:cs="Arial"/>
          <w:sz w:val="21"/>
          <w:szCs w:val="21"/>
        </w:rPr>
        <w:t xml:space="preserve"> and Tarawa</w:t>
      </w:r>
      <w:r w:rsidR="004E6F11" w:rsidRPr="00955EFD">
        <w:rPr>
          <w:rFonts w:ascii="Arial" w:hAnsi="Arial" w:cs="Arial"/>
          <w:sz w:val="21"/>
          <w:szCs w:val="21"/>
        </w:rPr>
        <w:t xml:space="preserve"> was </w:t>
      </w:r>
      <w:r w:rsidR="00B60655">
        <w:rPr>
          <w:rFonts w:ascii="Arial" w:hAnsi="Arial" w:cs="Arial"/>
          <w:sz w:val="21"/>
          <w:szCs w:val="21"/>
        </w:rPr>
        <w:t>0.018</w:t>
      </w:r>
      <w:r w:rsidR="00EC1A48">
        <w:rPr>
          <w:rFonts w:ascii="Arial" w:hAnsi="Arial" w:cs="Arial"/>
          <w:sz w:val="21"/>
          <w:szCs w:val="21"/>
        </w:rPr>
        <w:t xml:space="preserve"> </w:t>
      </w:r>
      <w:r w:rsidR="004E6F11" w:rsidRPr="00955EFD">
        <w:rPr>
          <w:rFonts w:ascii="Arial" w:hAnsi="Arial" w:cs="Arial"/>
          <w:sz w:val="21"/>
          <w:szCs w:val="21"/>
        </w:rPr>
        <w:t xml:space="preserve">and </w:t>
      </w:r>
      <w:r w:rsidR="00B60655">
        <w:rPr>
          <w:rFonts w:ascii="Arial" w:hAnsi="Arial" w:cs="Arial"/>
          <w:sz w:val="21"/>
          <w:szCs w:val="21"/>
        </w:rPr>
        <w:t>0.197 events per</w:t>
      </w:r>
      <w:r w:rsidR="00EC1A48">
        <w:rPr>
          <w:rFonts w:ascii="Arial" w:hAnsi="Arial" w:cs="Arial"/>
          <w:sz w:val="21"/>
          <w:szCs w:val="21"/>
        </w:rPr>
        <w:t xml:space="preserve"> child per year</w:t>
      </w:r>
      <w:r w:rsidR="004E6F11" w:rsidRPr="00955EFD">
        <w:rPr>
          <w:rFonts w:ascii="Arial" w:hAnsi="Arial" w:cs="Arial"/>
          <w:sz w:val="21"/>
          <w:szCs w:val="21"/>
        </w:rPr>
        <w:t xml:space="preserve">, respectively. </w:t>
      </w:r>
    </w:p>
    <w:p w14:paraId="4868295B" w14:textId="77777777" w:rsidR="004E6F11" w:rsidRPr="00955EFD" w:rsidRDefault="004E6F11" w:rsidP="008B5BE3">
      <w:pPr>
        <w:spacing w:line="480" w:lineRule="auto"/>
        <w:jc w:val="both"/>
        <w:rPr>
          <w:rFonts w:ascii="Arial" w:hAnsi="Arial" w:cs="Arial"/>
          <w:sz w:val="21"/>
          <w:szCs w:val="21"/>
          <w:u w:val="single"/>
        </w:rPr>
      </w:pPr>
    </w:p>
    <w:p w14:paraId="4E4D8BD2" w14:textId="3BFD0711" w:rsidR="002405CC" w:rsidRPr="00955EFD" w:rsidRDefault="00AA3207" w:rsidP="008B5BE3">
      <w:pPr>
        <w:spacing w:line="480" w:lineRule="auto"/>
        <w:jc w:val="both"/>
        <w:rPr>
          <w:rFonts w:ascii="Arial" w:hAnsi="Arial" w:cs="Arial"/>
          <w:sz w:val="21"/>
          <w:szCs w:val="21"/>
          <w:u w:val="single"/>
        </w:rPr>
      </w:pPr>
      <w:r>
        <w:rPr>
          <w:rFonts w:ascii="Arial" w:hAnsi="Arial" w:cs="Arial"/>
          <w:sz w:val="21"/>
          <w:szCs w:val="21"/>
          <w:u w:val="single"/>
        </w:rPr>
        <w:t>Conclusions</w:t>
      </w:r>
    </w:p>
    <w:p w14:paraId="0141B070" w14:textId="083AC015" w:rsidR="007934E2" w:rsidRPr="00955EFD" w:rsidRDefault="007934E2" w:rsidP="008B5BE3">
      <w:pPr>
        <w:spacing w:line="480" w:lineRule="auto"/>
        <w:jc w:val="both"/>
        <w:rPr>
          <w:rFonts w:ascii="Arial" w:hAnsi="Arial" w:cs="Arial"/>
          <w:sz w:val="21"/>
          <w:szCs w:val="21"/>
          <w:u w:val="single"/>
        </w:rPr>
      </w:pPr>
    </w:p>
    <w:p w14:paraId="23047E4B" w14:textId="352F4DEA" w:rsidR="007934E2" w:rsidRPr="0015426B" w:rsidRDefault="007934E2" w:rsidP="008B5BE3">
      <w:pPr>
        <w:spacing w:line="480" w:lineRule="auto"/>
        <w:jc w:val="both"/>
        <w:rPr>
          <w:rFonts w:ascii="Arial" w:hAnsi="Arial" w:cs="Arial"/>
          <w:sz w:val="21"/>
          <w:szCs w:val="21"/>
        </w:rPr>
      </w:pPr>
      <w:r w:rsidRPr="00955EFD">
        <w:rPr>
          <w:rFonts w:ascii="Arial" w:hAnsi="Arial" w:cs="Arial"/>
          <w:sz w:val="21"/>
          <w:szCs w:val="21"/>
        </w:rPr>
        <w:t xml:space="preserve">Comparing </w:t>
      </w:r>
      <w:r w:rsidR="003729E0">
        <w:rPr>
          <w:rFonts w:ascii="Arial" w:hAnsi="Arial" w:cs="Arial"/>
          <w:sz w:val="21"/>
          <w:szCs w:val="21"/>
        </w:rPr>
        <w:t>Vanuatu</w:t>
      </w:r>
      <w:r w:rsidRPr="00955EFD">
        <w:rPr>
          <w:rFonts w:ascii="Arial" w:hAnsi="Arial" w:cs="Arial"/>
          <w:sz w:val="21"/>
          <w:szCs w:val="21"/>
        </w:rPr>
        <w:t xml:space="preserve"> to </w:t>
      </w:r>
      <w:r w:rsidR="003729E0">
        <w:rPr>
          <w:rFonts w:ascii="Arial" w:hAnsi="Arial" w:cs="Arial"/>
          <w:sz w:val="21"/>
          <w:szCs w:val="21"/>
        </w:rPr>
        <w:t>Tarawa</w:t>
      </w:r>
      <w:r w:rsidRPr="00955EFD">
        <w:rPr>
          <w:rFonts w:ascii="Arial" w:hAnsi="Arial" w:cs="Arial"/>
          <w:sz w:val="21"/>
          <w:szCs w:val="21"/>
        </w:rPr>
        <w:t xml:space="preserve"> demonstrates </w:t>
      </w:r>
      <w:r w:rsidR="00537CB8">
        <w:rPr>
          <w:rFonts w:ascii="Arial" w:hAnsi="Arial" w:cs="Arial"/>
          <w:sz w:val="21"/>
          <w:szCs w:val="21"/>
        </w:rPr>
        <w:t>several markers that could be used to differentiate the trachoma status of</w:t>
      </w:r>
      <w:r w:rsidR="001F690C">
        <w:rPr>
          <w:rFonts w:ascii="Arial" w:hAnsi="Arial" w:cs="Arial"/>
          <w:sz w:val="21"/>
          <w:szCs w:val="21"/>
        </w:rPr>
        <w:t xml:space="preserve"> the populations in</w:t>
      </w:r>
      <w:r w:rsidR="00537CB8">
        <w:rPr>
          <w:rFonts w:ascii="Arial" w:hAnsi="Arial" w:cs="Arial"/>
          <w:sz w:val="21"/>
          <w:szCs w:val="21"/>
        </w:rPr>
        <w:t xml:space="preserve"> these </w:t>
      </w:r>
      <w:r w:rsidR="00CC4D89">
        <w:rPr>
          <w:rFonts w:ascii="Arial" w:hAnsi="Arial" w:cs="Arial"/>
          <w:sz w:val="21"/>
          <w:szCs w:val="21"/>
        </w:rPr>
        <w:t xml:space="preserve">(and other) </w:t>
      </w:r>
      <w:r w:rsidR="001F690C">
        <w:rPr>
          <w:rFonts w:ascii="Arial" w:hAnsi="Arial" w:cs="Arial"/>
          <w:sz w:val="21"/>
          <w:szCs w:val="21"/>
        </w:rPr>
        <w:t>locations</w:t>
      </w:r>
      <w:r w:rsidR="00537CB8">
        <w:rPr>
          <w:rFonts w:ascii="Arial" w:hAnsi="Arial" w:cs="Arial"/>
          <w:sz w:val="21"/>
          <w:szCs w:val="21"/>
        </w:rPr>
        <w:t xml:space="preserve">.  </w:t>
      </w:r>
    </w:p>
    <w:p w14:paraId="392F54A9" w14:textId="77777777" w:rsidR="008B5BE3" w:rsidRDefault="008B5BE3" w:rsidP="008B5BE3">
      <w:pPr>
        <w:spacing w:line="480" w:lineRule="auto"/>
        <w:rPr>
          <w:rFonts w:ascii="Arial" w:hAnsi="Arial" w:cs="Arial"/>
          <w:b/>
          <w:sz w:val="21"/>
          <w:szCs w:val="21"/>
        </w:rPr>
      </w:pPr>
    </w:p>
    <w:p w14:paraId="22CD206C" w14:textId="77777777" w:rsidR="008B5BE3" w:rsidRDefault="008B5BE3" w:rsidP="008B5BE3">
      <w:pPr>
        <w:spacing w:line="480" w:lineRule="auto"/>
        <w:rPr>
          <w:rFonts w:ascii="Arial" w:hAnsi="Arial" w:cs="Arial"/>
          <w:b/>
          <w:sz w:val="21"/>
          <w:szCs w:val="21"/>
        </w:rPr>
      </w:pPr>
      <w:r>
        <w:rPr>
          <w:rFonts w:ascii="Arial" w:hAnsi="Arial" w:cs="Arial"/>
          <w:b/>
          <w:sz w:val="21"/>
          <w:szCs w:val="21"/>
        </w:rPr>
        <w:t>Keywords</w:t>
      </w:r>
    </w:p>
    <w:p w14:paraId="3C1E1764" w14:textId="57D835E1" w:rsidR="00F0036B" w:rsidRPr="008B5BE3" w:rsidRDefault="008B5BE3" w:rsidP="008B5BE3">
      <w:pPr>
        <w:spacing w:line="480" w:lineRule="auto"/>
        <w:rPr>
          <w:rFonts w:ascii="Arial" w:hAnsi="Arial" w:cs="Arial"/>
          <w:bCs/>
          <w:sz w:val="21"/>
          <w:szCs w:val="21"/>
        </w:rPr>
      </w:pPr>
      <w:r>
        <w:rPr>
          <w:rFonts w:ascii="Arial" w:hAnsi="Arial" w:cs="Arial"/>
          <w:bCs/>
          <w:sz w:val="21"/>
          <w:szCs w:val="21"/>
        </w:rPr>
        <w:lastRenderedPageBreak/>
        <w:t>Trachoma; Chlamydia trachomatis; anti-Pgp3 antibodies; Vanuatu; Kiribati; neglected tropical diseases</w:t>
      </w:r>
      <w:r w:rsidR="00F0036B" w:rsidRPr="00955EFD">
        <w:rPr>
          <w:rFonts w:ascii="Arial" w:hAnsi="Arial" w:cs="Arial"/>
          <w:b/>
          <w:sz w:val="21"/>
          <w:szCs w:val="21"/>
        </w:rPr>
        <w:br w:type="page"/>
      </w:r>
    </w:p>
    <w:p w14:paraId="541AD951" w14:textId="0E037D58" w:rsidR="00F0036B" w:rsidRPr="00955EFD" w:rsidRDefault="00955A93" w:rsidP="008B5BE3">
      <w:pPr>
        <w:spacing w:line="480" w:lineRule="auto"/>
        <w:jc w:val="both"/>
        <w:rPr>
          <w:rFonts w:ascii="Arial" w:hAnsi="Arial" w:cs="Arial"/>
          <w:b/>
          <w:sz w:val="21"/>
          <w:szCs w:val="21"/>
        </w:rPr>
      </w:pPr>
      <w:r>
        <w:rPr>
          <w:rFonts w:ascii="Arial" w:hAnsi="Arial" w:cs="Arial"/>
          <w:b/>
          <w:sz w:val="21"/>
          <w:szCs w:val="21"/>
        </w:rPr>
        <w:lastRenderedPageBreak/>
        <w:t>Introduction</w:t>
      </w:r>
    </w:p>
    <w:p w14:paraId="25E8DA53" w14:textId="2F3E138B" w:rsidR="00F0036B" w:rsidRPr="00955EFD" w:rsidRDefault="00F0036B" w:rsidP="008B5BE3">
      <w:pPr>
        <w:spacing w:line="480" w:lineRule="auto"/>
        <w:jc w:val="both"/>
        <w:rPr>
          <w:rFonts w:ascii="Arial" w:hAnsi="Arial" w:cs="Arial"/>
          <w:i/>
          <w:sz w:val="21"/>
          <w:szCs w:val="21"/>
          <w:u w:val="single"/>
        </w:rPr>
      </w:pPr>
    </w:p>
    <w:p w14:paraId="2504454E" w14:textId="5676D6D4" w:rsidR="00603717" w:rsidRDefault="00F0036B" w:rsidP="008B5BE3">
      <w:pPr>
        <w:spacing w:line="480" w:lineRule="auto"/>
        <w:jc w:val="both"/>
        <w:rPr>
          <w:rFonts w:ascii="Arial" w:hAnsi="Arial" w:cs="Arial"/>
          <w:sz w:val="21"/>
          <w:szCs w:val="21"/>
        </w:rPr>
      </w:pPr>
      <w:r w:rsidRPr="00955EFD">
        <w:rPr>
          <w:rFonts w:ascii="Arial" w:hAnsi="Arial" w:cs="Arial"/>
          <w:sz w:val="21"/>
          <w:szCs w:val="21"/>
        </w:rPr>
        <w:t>Trachoma</w:t>
      </w:r>
      <w:r w:rsidR="0050484F">
        <w:rPr>
          <w:rFonts w:ascii="Arial" w:hAnsi="Arial" w:cs="Arial"/>
          <w:sz w:val="21"/>
          <w:szCs w:val="21"/>
        </w:rPr>
        <w:t xml:space="preserve"> </w:t>
      </w:r>
      <w:r w:rsidRPr="00955EFD">
        <w:rPr>
          <w:rFonts w:ascii="Arial" w:hAnsi="Arial" w:cs="Arial"/>
          <w:sz w:val="21"/>
          <w:szCs w:val="21"/>
        </w:rPr>
        <w:t>is</w:t>
      </w:r>
      <w:r w:rsidR="00574173">
        <w:rPr>
          <w:rFonts w:ascii="Arial" w:hAnsi="Arial" w:cs="Arial"/>
          <w:sz w:val="21"/>
          <w:szCs w:val="21"/>
        </w:rPr>
        <w:t xml:space="preserve"> a conjunctivitis caused by </w:t>
      </w:r>
      <w:r w:rsidR="00574173">
        <w:rPr>
          <w:rFonts w:ascii="Arial" w:hAnsi="Arial" w:cs="Arial"/>
          <w:i/>
          <w:iCs/>
          <w:sz w:val="21"/>
          <w:szCs w:val="21"/>
        </w:rPr>
        <w:t xml:space="preserve">Chlamydia trachomatis </w:t>
      </w:r>
      <w:r w:rsidR="00574173">
        <w:rPr>
          <w:rFonts w:ascii="Arial" w:hAnsi="Arial" w:cs="Arial"/>
          <w:sz w:val="21"/>
          <w:szCs w:val="21"/>
        </w:rPr>
        <w:t>(</w:t>
      </w:r>
      <w:r w:rsidR="00574173">
        <w:rPr>
          <w:rFonts w:ascii="Arial" w:hAnsi="Arial" w:cs="Arial"/>
          <w:i/>
          <w:iCs/>
          <w:sz w:val="21"/>
          <w:szCs w:val="21"/>
        </w:rPr>
        <w:t>Ct</w:t>
      </w:r>
      <w:r w:rsidR="00574173">
        <w:rPr>
          <w:rFonts w:ascii="Arial" w:hAnsi="Arial" w:cs="Arial"/>
          <w:sz w:val="21"/>
          <w:szCs w:val="21"/>
        </w:rPr>
        <w:t>)</w:t>
      </w:r>
      <w:r w:rsidRPr="00955EFD">
        <w:rPr>
          <w:rFonts w:ascii="Arial" w:hAnsi="Arial" w:cs="Arial"/>
          <w:sz w:val="21"/>
          <w:szCs w:val="21"/>
        </w:rPr>
        <w:t xml:space="preserve"> </w:t>
      </w:r>
      <w:r w:rsidR="00574173">
        <w:rPr>
          <w:rFonts w:ascii="Arial" w:hAnsi="Arial" w:cs="Arial"/>
          <w:sz w:val="21"/>
          <w:szCs w:val="21"/>
        </w:rPr>
        <w:t xml:space="preserve">and is </w:t>
      </w:r>
      <w:r w:rsidRPr="00955EFD">
        <w:rPr>
          <w:rFonts w:ascii="Arial" w:hAnsi="Arial" w:cs="Arial"/>
          <w:sz w:val="21"/>
          <w:szCs w:val="21"/>
        </w:rPr>
        <w:t>the leading infectious cause of blindness worldwide and the target of global elimination</w:t>
      </w:r>
      <w:r w:rsidR="00720781" w:rsidRPr="00955EFD">
        <w:rPr>
          <w:rFonts w:ascii="Arial" w:hAnsi="Arial" w:cs="Arial"/>
          <w:sz w:val="21"/>
          <w:szCs w:val="21"/>
        </w:rPr>
        <w:t xml:space="preserve"> </w:t>
      </w:r>
      <w:r w:rsidR="00620D6B">
        <w:rPr>
          <w:rFonts w:ascii="Arial" w:hAnsi="Arial" w:cs="Arial"/>
          <w:sz w:val="21"/>
          <w:szCs w:val="21"/>
        </w:rPr>
        <w:t xml:space="preserve">efforts </w:t>
      </w:r>
      <w:r w:rsidR="00603717">
        <w:rPr>
          <w:rFonts w:ascii="Arial" w:hAnsi="Arial" w:cs="Arial"/>
          <w:sz w:val="21"/>
          <w:szCs w:val="21"/>
        </w:rPr>
        <w:fldChar w:fldCharType="begin" w:fldLock="1"/>
      </w:r>
      <w:r w:rsidR="005C6653">
        <w:rPr>
          <w:rFonts w:ascii="Arial" w:hAnsi="Arial" w:cs="Arial"/>
          <w:sz w:val="21"/>
          <w:szCs w:val="21"/>
        </w:rPr>
        <w:instrText>ADDIN CSL_CITATION {"citationItems":[{"id":"ITEM-1","itemData":{"ISBN":"9780975769591","author":[{"dropping-particle":"","family":"Taylor","given":"Hugh R","non-dropping-particle":"","parse-names":false,"suffix":""}],"edition":"1st","id":"ITEM-1","issued":{"date-parts":[["2008"]]},"publisher":"Centre for Eye Research, Australia","publisher-place":"East Melbourne","title":"Trachoma: a blinding scourge from the Bronze Age to the twenty-first century","type":"book"},"uris":["http://www.mendeley.com/documents/?uuid=9d9e6004-ae63-4a39-b25c-87169ded7bca"]},{"id":"ITEM-2","itemData":{"abstract":"BACKGROUND: Data on causes of vision impairment and blindness are important for development of public health policies, but comprehensive analysis of change in prevalence over time is lacking. METHODS: We did a systematic analysis of published and unpublished data on the causes of blindness (visual acuity in the better eye less than 3/60) and moderate and severe vision impairment ([MSVI] visual acuity in the better eye less than 6/18 but at least 3/60) from 1980 to 2012. We estimated the proportions of overall vision impairment attributable to cataract, glaucoma, macular degeneration, diabetic retinopathy, trachoma, and uncorrected refractive error in 1990-2010 by age, geographical region, and year. FINDINGS: In 2010, 65% (95% uncertainty interval [UI] 61-68) of 32·4 million blind people and 76% (73-79) of 191 million people with MSVI worldwide had a preventable or treatable cause, compared with 68% (95% UI 65-70) of 31·8 million and 80% (78-83) of 172 million in 1990. Leading causes worldwide in 1990 and 2010 for blindness were cataract (39% and 33%, respectively), uncorrected refractive error (20% and 21%), and macular degeneration (5% and 7%), and for MSVI were uncorrected refractive error (51% and 53%), cataract (26% and 18%), and macular degeneration (2% and 3%). Causes of blindness varied substantially by region. Worldwide and in all regions more women than men were blind or had MSVI due to cataract and macular degeneration. INTERPRETATION: The differences and temporal changes we found in causes of blindness and MSVI have implications for planning and resource allocation in eye care. FUNDING: Bill &amp; Melinda Gates Foundation, Fight for Sight, Fred Hollows Foundation, and Brien Holden Vision Institute.","author":[{"dropping-particle":"","family":"Bourne","given":"Rupert A","non-dropping-particle":"","parse-names":false,"suffix":""},{"dropping-particle":"","family":"Stevens","given":"Gretchen A","non-dropping-particle":"","parse-names":false,"suffix":""},{"dropping-particle":"","family":"White","given":"Richard A","non-dropping-particle":"","parse-names":false,"suffix":""},{"dropping-particle":"","family":"Smith","given":"Jennifer L","non-dropping-particle":"","parse-names":false,"suffix":""},{"dropping-particle":"","family":"Flaxman","given":"Seth R","non-dropping-particle":"","parse-names":false,"suffix":""},{"dropping-particle":"","family":"Price","given":"Holly","non-dropping-particle":"","parse-names":false,"suffix":""},{"dropping-particle":"","family":"Jonas","given":"Jost B","non-dropping-particle":"","parse-names":false,"suffix":""},{"dropping-particle":"","family":"Keeffe","given":"Jill","non-dropping-particle":"","parse-names":false,"suffix":""},{"dropping-particle":"","family":"Leasher","given":"Janet","non-dropping-particle":"","parse-names":false,"suffix":""},{"dropping-particle":"","family":"Naidoo","given":"Kovin","non-dropping-particle":"","parse-names":false,"suffix":""},{"dropping-particle":"","family":"Pesudovs","given":"Konrad","non-dropping-particle":"","parse-names":false,"suffix":""},{"dropping-particle":"","family":"Resnikoff","given":"Serge","non-dropping-particle":"","parse-names":false,"suffix":""},{"dropping-particle":"","family":"Taylor","given":"Hugh R","non-dropping-particle":"","parse-names":false,"suffix":""},{"dropping-particle":"","family":"Vision Loss Expert","given":"Grp","non-dropping-particle":"","parse-names":false,"suffix":""}],"container-title":"Lancet Global health","id":"ITEM-2","issue":"6","issued":{"date-parts":[["2013"]]},"note":"From Duplicate 2 (Causes of vision loss worldwide, 1990-2010: a systematic analysis - Bourne, Rupert A; Stevens, Gretchen A; White, Richard A; Smith, Jennifer L; Flaxman, Seth R; Price, Holly; Jonas, Jost B; Keeffe, Jill; Leasher, Janet; Naidoo, Kovin; Pesudovs, Konrad; Resnikoff, Serge; Taylor, Hugh R; Vision Loss Expert, Grp)\n\nTimes Cited: 60\nPadovani, Carlos Roberto/A-3656-2013; Tielsch, James/; Leasher, Janet/B-8889-2016\nTielsch, James/0000-0002-1151-060X; Leasher, Janet/0000-0002-8779-5162\n2\n61","page":"e339-49","title":"Causes of vision loss worldwide, 1990-2010: a systematic analysis.","type":"article-journal","volume":"1"},"uris":["http://www.mendeley.com/documents/?uuid=4dee4103-2f38-42db-b1f3-c3d8df4e65c9"]}],"mendeley":{"formattedCitation":"[1,2]","plainTextFormattedCitation":"[1,2]","previouslyFormattedCitation":"[1,2]"},"properties":{"noteIndex":0},"schema":"https://github.com/citation-style-language/schema/raw/master/csl-citation.json"}</w:instrText>
      </w:r>
      <w:r w:rsidR="00603717">
        <w:rPr>
          <w:rFonts w:ascii="Arial" w:hAnsi="Arial" w:cs="Arial"/>
          <w:sz w:val="21"/>
          <w:szCs w:val="21"/>
        </w:rPr>
        <w:fldChar w:fldCharType="separate"/>
      </w:r>
      <w:r w:rsidR="005C6653" w:rsidRPr="005C6653">
        <w:rPr>
          <w:rFonts w:ascii="Arial" w:hAnsi="Arial" w:cs="Arial"/>
          <w:noProof/>
          <w:sz w:val="21"/>
          <w:szCs w:val="21"/>
        </w:rPr>
        <w:t>[1,2]</w:t>
      </w:r>
      <w:r w:rsidR="00603717">
        <w:rPr>
          <w:rFonts w:ascii="Arial" w:hAnsi="Arial" w:cs="Arial"/>
          <w:sz w:val="21"/>
          <w:szCs w:val="21"/>
        </w:rPr>
        <w:fldChar w:fldCharType="end"/>
      </w:r>
      <w:r w:rsidRPr="00955EFD">
        <w:rPr>
          <w:rFonts w:ascii="Arial" w:hAnsi="Arial" w:cs="Arial"/>
          <w:sz w:val="21"/>
          <w:szCs w:val="21"/>
        </w:rPr>
        <w:t>.</w:t>
      </w:r>
      <w:r w:rsidR="00720781" w:rsidRPr="00955EFD">
        <w:rPr>
          <w:rFonts w:ascii="Arial" w:hAnsi="Arial" w:cs="Arial"/>
          <w:sz w:val="21"/>
          <w:szCs w:val="21"/>
        </w:rPr>
        <w:t xml:space="preserve"> </w:t>
      </w:r>
      <w:r w:rsidR="00603717" w:rsidRPr="00955EFD">
        <w:rPr>
          <w:rFonts w:ascii="Arial" w:hAnsi="Arial" w:cs="Arial"/>
          <w:sz w:val="21"/>
          <w:szCs w:val="21"/>
        </w:rPr>
        <w:t xml:space="preserve">Trachoma is treated with </w:t>
      </w:r>
      <w:r w:rsidR="00603717" w:rsidRPr="00955EFD">
        <w:rPr>
          <w:rFonts w:ascii="Arial" w:hAnsi="Arial" w:cs="Arial"/>
          <w:b/>
          <w:sz w:val="21"/>
          <w:szCs w:val="21"/>
        </w:rPr>
        <w:t>s</w:t>
      </w:r>
      <w:r w:rsidR="00603717" w:rsidRPr="00955EFD">
        <w:rPr>
          <w:rFonts w:ascii="Arial" w:hAnsi="Arial" w:cs="Arial"/>
          <w:sz w:val="21"/>
          <w:szCs w:val="21"/>
        </w:rPr>
        <w:t xml:space="preserve">urgery for those with </w:t>
      </w:r>
      <w:r w:rsidR="00F443F0">
        <w:rPr>
          <w:rFonts w:ascii="Arial" w:hAnsi="Arial" w:cs="Arial"/>
          <w:sz w:val="21"/>
          <w:szCs w:val="21"/>
        </w:rPr>
        <w:t>t</w:t>
      </w:r>
      <w:r w:rsidR="00603717" w:rsidRPr="00955EFD">
        <w:rPr>
          <w:rFonts w:ascii="Arial" w:hAnsi="Arial" w:cs="Arial"/>
          <w:sz w:val="21"/>
          <w:szCs w:val="21"/>
        </w:rPr>
        <w:t xml:space="preserve">rachomatous </w:t>
      </w:r>
      <w:r w:rsidR="00F443F0">
        <w:rPr>
          <w:rFonts w:ascii="Arial" w:hAnsi="Arial" w:cs="Arial"/>
          <w:sz w:val="21"/>
          <w:szCs w:val="21"/>
        </w:rPr>
        <w:t>t</w:t>
      </w:r>
      <w:r w:rsidR="00603717" w:rsidRPr="00955EFD">
        <w:rPr>
          <w:rFonts w:ascii="Arial" w:hAnsi="Arial" w:cs="Arial"/>
          <w:sz w:val="21"/>
          <w:szCs w:val="21"/>
        </w:rPr>
        <w:t xml:space="preserve">richiasis (TT), mass drug administration (MDA) of </w:t>
      </w:r>
      <w:r w:rsidR="00812AC3" w:rsidRPr="00955EFD">
        <w:rPr>
          <w:rFonts w:ascii="Arial" w:hAnsi="Arial" w:cs="Arial"/>
          <w:b/>
          <w:sz w:val="21"/>
          <w:szCs w:val="21"/>
        </w:rPr>
        <w:t>a</w:t>
      </w:r>
      <w:r w:rsidR="00812AC3">
        <w:rPr>
          <w:rFonts w:ascii="Arial" w:hAnsi="Arial" w:cs="Arial"/>
          <w:sz w:val="21"/>
          <w:szCs w:val="21"/>
        </w:rPr>
        <w:t>ntibiotics</w:t>
      </w:r>
      <w:r w:rsidR="00603717" w:rsidRPr="00955EFD">
        <w:rPr>
          <w:rFonts w:ascii="Arial" w:hAnsi="Arial" w:cs="Arial"/>
          <w:sz w:val="21"/>
          <w:szCs w:val="21"/>
        </w:rPr>
        <w:t xml:space="preserve">, promotion of </w:t>
      </w:r>
      <w:r w:rsidR="00603717" w:rsidRPr="00955EFD">
        <w:rPr>
          <w:rFonts w:ascii="Arial" w:hAnsi="Arial" w:cs="Arial"/>
          <w:b/>
          <w:sz w:val="21"/>
          <w:szCs w:val="21"/>
        </w:rPr>
        <w:t>f</w:t>
      </w:r>
      <w:r w:rsidR="00603717" w:rsidRPr="00955EFD">
        <w:rPr>
          <w:rFonts w:ascii="Arial" w:hAnsi="Arial" w:cs="Arial"/>
          <w:sz w:val="21"/>
          <w:szCs w:val="21"/>
        </w:rPr>
        <w:t xml:space="preserve">acial cleanliness and </w:t>
      </w:r>
      <w:r w:rsidR="00603717" w:rsidRPr="00955EFD">
        <w:rPr>
          <w:rFonts w:ascii="Arial" w:hAnsi="Arial" w:cs="Arial"/>
          <w:b/>
          <w:sz w:val="21"/>
          <w:szCs w:val="21"/>
        </w:rPr>
        <w:t>e</w:t>
      </w:r>
      <w:r w:rsidR="00603717" w:rsidRPr="00955EFD">
        <w:rPr>
          <w:rFonts w:ascii="Arial" w:hAnsi="Arial" w:cs="Arial"/>
          <w:sz w:val="21"/>
          <w:szCs w:val="21"/>
        </w:rPr>
        <w:t xml:space="preserve">nvironmental improvement, collectively termed the SAFE strategy. The aim of the A, F and E components of the SAFE strategy is to reduce prevalence and transmission of ocular </w:t>
      </w:r>
      <w:r w:rsidR="00603717" w:rsidRPr="00955EFD">
        <w:rPr>
          <w:rFonts w:ascii="Arial" w:hAnsi="Arial" w:cs="Arial"/>
          <w:i/>
          <w:sz w:val="21"/>
          <w:szCs w:val="21"/>
        </w:rPr>
        <w:t xml:space="preserve">Ct </w:t>
      </w:r>
      <w:r w:rsidR="00603717" w:rsidRPr="00955EFD">
        <w:rPr>
          <w:rFonts w:ascii="Arial" w:hAnsi="Arial" w:cs="Arial"/>
          <w:sz w:val="21"/>
          <w:szCs w:val="21"/>
        </w:rPr>
        <w:t xml:space="preserve">infection, decisions to </w:t>
      </w:r>
      <w:r w:rsidR="00537CB8">
        <w:rPr>
          <w:rFonts w:ascii="Arial" w:hAnsi="Arial" w:cs="Arial"/>
          <w:sz w:val="21"/>
          <w:szCs w:val="21"/>
        </w:rPr>
        <w:t>start</w:t>
      </w:r>
      <w:r w:rsidR="00603717" w:rsidRPr="00955EFD">
        <w:rPr>
          <w:rFonts w:ascii="Arial" w:hAnsi="Arial" w:cs="Arial"/>
          <w:sz w:val="21"/>
          <w:szCs w:val="21"/>
        </w:rPr>
        <w:t xml:space="preserve"> and stop these interventions are based on </w:t>
      </w:r>
      <w:r w:rsidR="00537CB8">
        <w:rPr>
          <w:rFonts w:ascii="Arial" w:hAnsi="Arial" w:cs="Arial"/>
          <w:sz w:val="21"/>
          <w:szCs w:val="21"/>
        </w:rPr>
        <w:t xml:space="preserve">whether the </w:t>
      </w:r>
      <w:r w:rsidR="00603717" w:rsidRPr="00955EFD">
        <w:rPr>
          <w:rFonts w:ascii="Arial" w:hAnsi="Arial" w:cs="Arial"/>
          <w:sz w:val="21"/>
          <w:szCs w:val="21"/>
        </w:rPr>
        <w:t xml:space="preserve">prevalence of </w:t>
      </w:r>
      <w:r w:rsidR="00537CB8">
        <w:rPr>
          <w:rFonts w:ascii="Arial" w:hAnsi="Arial" w:cs="Arial"/>
          <w:sz w:val="21"/>
          <w:szCs w:val="21"/>
        </w:rPr>
        <w:t>trachomatous inflammation</w:t>
      </w:r>
      <w:r w:rsidR="001F63F0">
        <w:rPr>
          <w:rFonts w:ascii="Arial" w:hAnsi="Arial" w:cs="Arial"/>
          <w:sz w:val="21"/>
          <w:szCs w:val="21"/>
        </w:rPr>
        <w:t>—</w:t>
      </w:r>
      <w:r w:rsidR="00537CB8">
        <w:rPr>
          <w:rFonts w:ascii="Arial" w:hAnsi="Arial" w:cs="Arial"/>
          <w:sz w:val="21"/>
          <w:szCs w:val="21"/>
        </w:rPr>
        <w:t xml:space="preserve">follicular (TF) is ≥5% </w:t>
      </w:r>
      <w:r w:rsidR="00603717">
        <w:rPr>
          <w:rFonts w:ascii="Arial" w:hAnsi="Arial" w:cs="Arial"/>
          <w:sz w:val="21"/>
          <w:szCs w:val="21"/>
        </w:rPr>
        <w:fldChar w:fldCharType="begin" w:fldLock="1"/>
      </w:r>
      <w:r w:rsidR="005C6653">
        <w:rPr>
          <w:rFonts w:ascii="Arial" w:hAnsi="Arial" w:cs="Arial"/>
          <w:sz w:val="21"/>
          <w:szCs w:val="21"/>
        </w:rPr>
        <w:instrText>ADDIN CSL_CITATION {"citationItems":[{"id":"ITEM-1","itemData":{"author":[{"dropping-particle":"","family":"Solomon","given":"AW","non-dropping-particle":"","parse-names":false,"suffix":""},{"dropping-particle":"","family":"Zondervan","given":"M","non-dropping-particle":"","parse-names":false,"suffix":""},{"dropping-particle":"","family":"Kuper","given":"H","non-dropping-particle":"","parse-names":false,"suffix":""},{"dropping-particle":"","family":"Buchan","given":"J","non-dropping-particle":"","parse-names":false,"suffix":""},{"dropping-particle":"","family":"Mabey","given":"DCW","non-dropping-particle":"","parse-names":false,"suffix":""},{"dropping-particle":"","family":"Foster","given":"A","non-dropping-particle":"","parse-names":false,"suffix":""}],"id":"ITEM-1","issued":{"date-parts":[["2006"]]},"publisher-place":"Geneva, Switzerland: World Health Organization","title":"Trachoma control: a guide for program managers.","type":"report"},"uris":["http://www.mendeley.com/documents/?uuid=41e2a9fa-6680-43fc-ad21-8d07dae22156"]},{"id":"ITEM-2","itemData":{"author":[{"dropping-particle":"","family":"World Health Organization","given":"","non-dropping-particle":"","parse-names":false,"suffix":""}],"id":"ITEM-2","issued":{"date-parts":[["2016"]]},"publisher-place":"Geneva, Switzerland","title":"Validation of elimination of trachoma as a public health problem (WHO/HTM/NTD/2016.8).","type":"report"},"uris":["http://www.mendeley.com/documents/?uuid=287e64ed-fb9d-4caf-8dbf-5355b2de26c2"]}],"mendeley":{"formattedCitation":"[3,4]","plainTextFormattedCitation":"[3,4]","previouslyFormattedCitation":"[3,4]"},"properties":{"noteIndex":0},"schema":"https://github.com/citation-style-language/schema/raw/master/csl-citation.json"}</w:instrText>
      </w:r>
      <w:r w:rsidR="00603717">
        <w:rPr>
          <w:rFonts w:ascii="Arial" w:hAnsi="Arial" w:cs="Arial"/>
          <w:sz w:val="21"/>
          <w:szCs w:val="21"/>
        </w:rPr>
        <w:fldChar w:fldCharType="separate"/>
      </w:r>
      <w:r w:rsidR="005C6653" w:rsidRPr="005C6653">
        <w:rPr>
          <w:rFonts w:ascii="Arial" w:hAnsi="Arial" w:cs="Arial"/>
          <w:noProof/>
          <w:sz w:val="21"/>
          <w:szCs w:val="21"/>
        </w:rPr>
        <w:t>[3,4]</w:t>
      </w:r>
      <w:r w:rsidR="00603717">
        <w:rPr>
          <w:rFonts w:ascii="Arial" w:hAnsi="Arial" w:cs="Arial"/>
          <w:sz w:val="21"/>
          <w:szCs w:val="21"/>
        </w:rPr>
        <w:fldChar w:fldCharType="end"/>
      </w:r>
      <w:r w:rsidR="00603717" w:rsidRPr="00955EFD">
        <w:rPr>
          <w:rFonts w:ascii="Arial" w:hAnsi="Arial" w:cs="Arial"/>
          <w:sz w:val="21"/>
          <w:szCs w:val="21"/>
        </w:rPr>
        <w:t xml:space="preserve">. </w:t>
      </w:r>
    </w:p>
    <w:p w14:paraId="4433362B" w14:textId="77777777" w:rsidR="00603717" w:rsidRDefault="00603717" w:rsidP="008B5BE3">
      <w:pPr>
        <w:spacing w:line="480" w:lineRule="auto"/>
        <w:jc w:val="both"/>
        <w:rPr>
          <w:rFonts w:ascii="Arial" w:hAnsi="Arial" w:cs="Arial"/>
          <w:sz w:val="21"/>
          <w:szCs w:val="21"/>
        </w:rPr>
      </w:pPr>
    </w:p>
    <w:p w14:paraId="70524726" w14:textId="3FB4E9E5" w:rsidR="00720781" w:rsidRPr="00955EFD" w:rsidRDefault="00720781" w:rsidP="008B5BE3">
      <w:pPr>
        <w:spacing w:line="480" w:lineRule="auto"/>
        <w:jc w:val="both"/>
        <w:rPr>
          <w:rFonts w:ascii="Arial" w:hAnsi="Arial" w:cs="Arial"/>
          <w:sz w:val="21"/>
          <w:szCs w:val="21"/>
        </w:rPr>
      </w:pPr>
      <w:r w:rsidRPr="00955EFD">
        <w:rPr>
          <w:rFonts w:ascii="Arial" w:hAnsi="Arial" w:cs="Arial"/>
          <w:sz w:val="21"/>
          <w:szCs w:val="21"/>
        </w:rPr>
        <w:t xml:space="preserve">TF was </w:t>
      </w:r>
      <w:r w:rsidR="00EC1A48">
        <w:rPr>
          <w:rFonts w:ascii="Arial" w:hAnsi="Arial" w:cs="Arial"/>
          <w:sz w:val="21"/>
          <w:szCs w:val="21"/>
        </w:rPr>
        <w:t>introduced</w:t>
      </w:r>
      <w:r w:rsidRPr="00955EFD">
        <w:rPr>
          <w:rFonts w:ascii="Arial" w:hAnsi="Arial" w:cs="Arial"/>
          <w:sz w:val="21"/>
          <w:szCs w:val="21"/>
        </w:rPr>
        <w:t xml:space="preserve"> in the World Health Organization (WHO) simplified trachoma grading scheme to </w:t>
      </w:r>
      <w:r w:rsidR="00E45142">
        <w:rPr>
          <w:rFonts w:ascii="Arial" w:hAnsi="Arial" w:cs="Arial"/>
          <w:sz w:val="21"/>
          <w:szCs w:val="21"/>
        </w:rPr>
        <w:t>enable</w:t>
      </w:r>
      <w:r w:rsidRPr="00955EFD">
        <w:rPr>
          <w:rFonts w:ascii="Arial" w:hAnsi="Arial" w:cs="Arial"/>
          <w:sz w:val="21"/>
          <w:szCs w:val="21"/>
        </w:rPr>
        <w:t xml:space="preserve"> </w:t>
      </w:r>
      <w:r w:rsidR="00620D6B">
        <w:rPr>
          <w:rFonts w:ascii="Arial" w:hAnsi="Arial" w:cs="Arial"/>
          <w:sz w:val="21"/>
          <w:szCs w:val="21"/>
        </w:rPr>
        <w:t>assessment</w:t>
      </w:r>
      <w:r w:rsidR="002023AA">
        <w:rPr>
          <w:rFonts w:ascii="Arial" w:hAnsi="Arial" w:cs="Arial"/>
          <w:sz w:val="21"/>
          <w:szCs w:val="21"/>
        </w:rPr>
        <w:t xml:space="preserve"> of trachoma</w:t>
      </w:r>
      <w:r w:rsidRPr="00955EFD">
        <w:rPr>
          <w:rFonts w:ascii="Arial" w:hAnsi="Arial" w:cs="Arial"/>
          <w:sz w:val="21"/>
          <w:szCs w:val="21"/>
        </w:rPr>
        <w:t xml:space="preserve"> by non-specialist personnel </w:t>
      </w:r>
      <w:r w:rsidR="00EC1A48">
        <w:rPr>
          <w:rFonts w:ascii="Arial" w:hAnsi="Arial" w:cs="Arial"/>
          <w:sz w:val="21"/>
          <w:szCs w:val="21"/>
        </w:rPr>
        <w:t xml:space="preserve">on a large </w:t>
      </w:r>
      <w:r w:rsidRPr="00955EFD">
        <w:rPr>
          <w:rFonts w:ascii="Arial" w:hAnsi="Arial" w:cs="Arial"/>
          <w:sz w:val="21"/>
          <w:szCs w:val="21"/>
        </w:rPr>
        <w:t>scale</w:t>
      </w:r>
      <w:r w:rsidR="002023AA">
        <w:rPr>
          <w:rFonts w:ascii="Arial" w:hAnsi="Arial" w:cs="Arial"/>
          <w:sz w:val="21"/>
          <w:szCs w:val="21"/>
        </w:rPr>
        <w:t xml:space="preserve"> </w:t>
      </w:r>
      <w:r w:rsidR="00603717">
        <w:rPr>
          <w:rFonts w:ascii="Arial" w:hAnsi="Arial" w:cs="Arial"/>
          <w:sz w:val="21"/>
          <w:szCs w:val="21"/>
        </w:rPr>
        <w:fldChar w:fldCharType="begin" w:fldLock="1"/>
      </w:r>
      <w:r w:rsidR="005C6653">
        <w:rPr>
          <w:rFonts w:ascii="Arial" w:hAnsi="Arial" w:cs="Arial"/>
          <w:sz w:val="21"/>
          <w:szCs w:val="21"/>
        </w:rPr>
        <w:instrText>ADDIN CSL_CITATION {"citationItems":[{"id":"ITEM-1","itemData":{"ISBN":"0042-9686","ISSN":"0042-9686","PMID":"3500800","abstract":"A simple grading system for trachoma, based on the presence or absence of five selected \"key\" signs, has been developed. The method was tested in the field and showed good observer agreement, the most critical point being the identification of severe cases of the disease. It is expected that the system will facilitate the assessment of trachoma and its complications by non-specialist health personnel working at the community level.","author":[{"dropping-particle":"","family":"Thylefors","given":"B","non-dropping-particle":"","parse-names":false,"suffix":""},{"dropping-particle":"","family":"Dawson","given":"C R","non-dropping-particle":"","parse-names":false,"suffix":""},{"dropping-particle":"","family":"Jones","given":"B R","non-dropping-particle":"","parse-names":false,"suffix":""},{"dropping-particle":"","family":"West","given":"S K","non-dropping-particle":"","parse-names":false,"suffix":""},{"dropping-particle":"","family":"Taylor","given":"H R","non-dropping-particle":"","parse-names":false,"suffix":""}],"container-title":"Bulletin of the World Health Organization","id":"ITEM-1","issue":"4","issued":{"date-parts":[["1987"]]},"note":"From Duplicate 1 (A SIMPLE SYSTEM FOR THE ASSESSMENT OF TRACHOMA AND ITS COMPLICATIONS - Thylefors, B; Dawson, C R; Jones, B R; West, S K; Taylor, H R)\n\nTimes Cited: 395\n16\n404","page":"477-83","title":"A simple system for the assessment of trachoma and its complications.","type":"article-journal","volume":"65"},"uris":["http://www.mendeley.com/documents/?uuid=9989cae4-f79e-4095-ad58-aff37cb99862"]}],"mendeley":{"formattedCitation":"[5]","plainTextFormattedCitation":"[5]","previouslyFormattedCitation":"[5]"},"properties":{"noteIndex":0},"schema":"https://github.com/citation-style-language/schema/raw/master/csl-citation.json"}</w:instrText>
      </w:r>
      <w:r w:rsidR="00603717">
        <w:rPr>
          <w:rFonts w:ascii="Arial" w:hAnsi="Arial" w:cs="Arial"/>
          <w:sz w:val="21"/>
          <w:szCs w:val="21"/>
        </w:rPr>
        <w:fldChar w:fldCharType="separate"/>
      </w:r>
      <w:r w:rsidR="005C6653" w:rsidRPr="005C6653">
        <w:rPr>
          <w:rFonts w:ascii="Arial" w:hAnsi="Arial" w:cs="Arial"/>
          <w:noProof/>
          <w:sz w:val="21"/>
          <w:szCs w:val="21"/>
        </w:rPr>
        <w:t>[5]</w:t>
      </w:r>
      <w:r w:rsidR="00603717">
        <w:rPr>
          <w:rFonts w:ascii="Arial" w:hAnsi="Arial" w:cs="Arial"/>
          <w:sz w:val="21"/>
          <w:szCs w:val="21"/>
        </w:rPr>
        <w:fldChar w:fldCharType="end"/>
      </w:r>
      <w:r w:rsidRPr="00955EFD">
        <w:rPr>
          <w:rFonts w:ascii="Arial" w:hAnsi="Arial" w:cs="Arial"/>
          <w:sz w:val="21"/>
          <w:szCs w:val="21"/>
        </w:rPr>
        <w:t xml:space="preserve">. </w:t>
      </w:r>
      <w:r w:rsidR="00DF2947" w:rsidRPr="00955EFD">
        <w:rPr>
          <w:rFonts w:ascii="Arial" w:hAnsi="Arial" w:cs="Arial"/>
          <w:sz w:val="21"/>
          <w:szCs w:val="21"/>
        </w:rPr>
        <w:t>TF is often asymptomatic and self-resolving</w:t>
      </w:r>
      <w:r w:rsidR="001F63F0">
        <w:rPr>
          <w:rFonts w:ascii="Arial" w:hAnsi="Arial" w:cs="Arial"/>
          <w:sz w:val="21"/>
          <w:szCs w:val="21"/>
        </w:rPr>
        <w:t>;</w:t>
      </w:r>
      <w:r w:rsidR="00DF2947" w:rsidRPr="00955EFD">
        <w:rPr>
          <w:rFonts w:ascii="Arial" w:hAnsi="Arial" w:cs="Arial"/>
          <w:sz w:val="21"/>
          <w:szCs w:val="21"/>
        </w:rPr>
        <w:t xml:space="preserve"> it is used as a proxy to estimate the </w:t>
      </w:r>
      <w:r w:rsidR="00603717">
        <w:rPr>
          <w:rFonts w:ascii="Arial" w:hAnsi="Arial" w:cs="Arial"/>
          <w:sz w:val="21"/>
          <w:szCs w:val="21"/>
        </w:rPr>
        <w:t xml:space="preserve">population </w:t>
      </w:r>
      <w:r w:rsidR="00DF2947" w:rsidRPr="00955EFD">
        <w:rPr>
          <w:rFonts w:ascii="Arial" w:hAnsi="Arial" w:cs="Arial"/>
          <w:sz w:val="21"/>
          <w:szCs w:val="21"/>
        </w:rPr>
        <w:t xml:space="preserve">burden of ocular </w:t>
      </w:r>
      <w:r w:rsidR="00DF2947" w:rsidRPr="00955EFD">
        <w:rPr>
          <w:rFonts w:ascii="Arial" w:hAnsi="Arial" w:cs="Arial"/>
          <w:i/>
          <w:sz w:val="21"/>
          <w:szCs w:val="21"/>
        </w:rPr>
        <w:t xml:space="preserve">Ct </w:t>
      </w:r>
      <w:r w:rsidR="00DF2947" w:rsidRPr="00955EFD">
        <w:rPr>
          <w:rFonts w:ascii="Arial" w:hAnsi="Arial" w:cs="Arial"/>
          <w:sz w:val="21"/>
          <w:szCs w:val="21"/>
        </w:rPr>
        <w:t>infection</w:t>
      </w:r>
      <w:r w:rsidR="00E45142">
        <w:rPr>
          <w:rFonts w:ascii="Arial" w:hAnsi="Arial" w:cs="Arial"/>
          <w:sz w:val="21"/>
          <w:szCs w:val="21"/>
        </w:rPr>
        <w:t>.</w:t>
      </w:r>
      <w:r w:rsidR="00510A5B">
        <w:rPr>
          <w:rFonts w:ascii="Arial" w:hAnsi="Arial" w:cs="Arial"/>
          <w:sz w:val="21"/>
          <w:szCs w:val="21"/>
        </w:rPr>
        <w:t xml:space="preserve"> </w:t>
      </w:r>
      <w:r w:rsidR="00812AC3">
        <w:rPr>
          <w:rFonts w:ascii="Arial" w:hAnsi="Arial" w:cs="Arial"/>
          <w:sz w:val="21"/>
          <w:szCs w:val="21"/>
        </w:rPr>
        <w:t>I</w:t>
      </w:r>
      <w:r w:rsidR="00EE4083">
        <w:rPr>
          <w:rFonts w:ascii="Arial" w:hAnsi="Arial" w:cs="Arial"/>
          <w:sz w:val="21"/>
          <w:szCs w:val="21"/>
        </w:rPr>
        <w:t>n some settings (for example, low-prevalence</w:t>
      </w:r>
      <w:r w:rsidR="00F443F0">
        <w:rPr>
          <w:rFonts w:ascii="Arial" w:hAnsi="Arial" w:cs="Arial"/>
          <w:sz w:val="21"/>
          <w:szCs w:val="21"/>
        </w:rPr>
        <w:t xml:space="preserve"> </w:t>
      </w:r>
      <w:r w:rsidR="00F443F0">
        <w:rPr>
          <w:rFonts w:ascii="Arial" w:hAnsi="Arial" w:cs="Arial"/>
          <w:sz w:val="21"/>
          <w:szCs w:val="21"/>
        </w:rPr>
        <w:fldChar w:fldCharType="begin" w:fldLock="1"/>
      </w:r>
      <w:r w:rsidR="005C6653">
        <w:rPr>
          <w:rFonts w:ascii="Arial" w:hAnsi="Arial" w:cs="Arial"/>
          <w:sz w:val="21"/>
          <w:szCs w:val="21"/>
        </w:rPr>
        <w:instrText>ADDIN CSL_CITATION {"citationItems":[{"id":"ITEM-1","itemData":{"DOI":"10.1167/iovs.11-7326","ISBN":"0146-0404","ISSN":"1552-5783","PMID":"21693601","abstract":"PURPOSE: In low prevalence settings, clinically active follicular trachoma (TF) is often found in the absence of detectable Chlamydia trachomatis. The reasons for this persistent follicular phenotype are not well understood; one possible explanation is that other bacterial species are provoking the inflammatory response. This study investigated the relationship between TF, C. trachomatis, and nonchlamydial bacterial infection.\n\nMETHODS: A cross-sectional survey was conducted in a trachoma endemic village in Tanzania. All available children were examined for trachoma and swabs were collected for microbiologic culture (blood and chocolate agar) and C. trachomatis PCR (Amplicor).\n\nRESULTS: Four hundred seventy-three children under 10 years of age were recruited for this study. The prevalences of TF and C. trachomatis were 13.7% and 5.3%, respectively, and were not associated. Bacteria were cultured from 305 (64.5%) swab samples; 162 (34.3%) grew a pathogen (with or without a commensal organism) and 143 (30.2%) grew commensal bacteria only. The most common pathogens were Streptococcus pneumoniae and Haemophilus influenzae (type B and non-type B). The presence of bacterial pathogens was associated with TF (odds ratio, 4.68; 95% confidence interval, 2.31-9.50; P &lt; 0.001).\n\nCONCLUSIONS: In regions with low levels of endemic trachoma, it is possible that much of the TF that is observed is attributable to nonchlamydial bacterial pathogens. It is plausible that individuals who have previously developed a follicular conjunctivitis in response to C. trachomatis may more readily reform conjunctival follicles when challenged with certain other bacterial species.","author":[{"dropping-particle":"","family":"Burton","given":"Matthew J","non-dropping-particle":"","parse-names":false,"suffix":""},{"dropping-particle":"","family":"Hu","given":"Victor H","non-dropping-particle":"","parse-names":false,"suffix":""},{"dropping-particle":"","family":"Massae","given":"Patrick","non-dropping-particle":"","parse-names":false,"suffix":""},{"dropping-particle":"","family":"Burr","given":"Sarah E","non-dropping-particle":"","parse-names":false,"suffix":""},{"dropping-particle":"","family":"Chevallier","given":"Caroline","non-dropping-particle":"","parse-names":false,"suffix":""},{"dropping-particle":"","family":"Afwamba","given":"Isaac A","non-dropping-particle":"","parse-names":false,"suffix":""},{"dropping-particle":"","family":"Courtright","given":"Paul","non-dropping-particle":"","parse-names":false,"suffix":""},{"dropping-particle":"","family":"Weiss","given":"Helen A","non-dropping-particle":"","parse-names":false,"suffix":""},{"dropping-particle":"","family":"Mabey","given":"David C W","non-dropping-particle":"","parse-names":false,"suffix":""},{"dropping-particle":"","family":"Bailey","given":"Robin L","non-dropping-particle":"","parse-names":false,"suffix":""}],"container-title":"Investigative ophthalmology &amp; visual science","id":"ITEM-1","issue":"8","issued":{"date-parts":[["2011","7"]]},"note":"From Duplicate 1 (What is causing active trachoma? The role of nonchlamydial bacterial pathogens in a low prevalence setting - Burton, Matthew J; Hu, Victor H; Massae, Patrick; Burr, Sarah E; Chevallier, Caroline; Afwamba, Isaac A; Courtright, Paul; Weiss, Helen A; Mabey, David C W; Bailey, Robin L)\n\nFrom Duplicate 1 (What is causing active trachoma? The role of nonchlamydial bacterial pathogens in a low prevalence setting - Burton, M J; Hu, V H; Massae, P; Burr, S E; Chevallier, C; Afwamba, I A; Courtright, P; Weiss, H A; Mabey, D C; Bailey, R L)\n\nBurton, Matthew J\nHu, Victor H\nMassae, Patrick\nBurr, Sarah E\nChevallier, Caroline\nAfwamba, Isaac A\nCourtright, Paul\nWeiss, Helen A\nMabey, David C W\nBailey, Robin L\n\nFrom Duplicate 2 (What Is Causing Active Trachoma? The Role of Nonchlamydial Bacterial Pathogens in a Low Prevalence Setting - Burton, Matthew J; Hu, Victor H; Massae, Patrick; Burr, Sarah E; Chevallier, Caroline; Afwamba, Isaac A; Courtright, Paul; Weiss, Helen A; Mabey, David C W; Bailey, Robin L)\n\nTimes Cited: 22\nMabey, David/0000-0002-0031-8276\n0\n22","page":"6012-7","title":"What is causing active trachoma? The role of nonchlamydial bacterial pathogens in a low prevalence setting.","type":"article-journal","volume":"52"},"uris":["http://www.mendeley.com/documents/?uuid=dc0e4a7a-9498-480c-a12e-8a349b81f0c1"]}],"mendeley":{"formattedCitation":"[6]","plainTextFormattedCitation":"[6]","previouslyFormattedCitation":"[6]"},"properties":{"noteIndex":0},"schema":"https://github.com/citation-style-language/schema/raw/master/csl-citation.json"}</w:instrText>
      </w:r>
      <w:r w:rsidR="00F443F0">
        <w:rPr>
          <w:rFonts w:ascii="Arial" w:hAnsi="Arial" w:cs="Arial"/>
          <w:sz w:val="21"/>
          <w:szCs w:val="21"/>
        </w:rPr>
        <w:fldChar w:fldCharType="separate"/>
      </w:r>
      <w:r w:rsidR="005C6653" w:rsidRPr="005C6653">
        <w:rPr>
          <w:rFonts w:ascii="Arial" w:hAnsi="Arial" w:cs="Arial"/>
          <w:noProof/>
          <w:sz w:val="21"/>
          <w:szCs w:val="21"/>
        </w:rPr>
        <w:t>[6]</w:t>
      </w:r>
      <w:r w:rsidR="00F443F0">
        <w:rPr>
          <w:rFonts w:ascii="Arial" w:hAnsi="Arial" w:cs="Arial"/>
          <w:sz w:val="21"/>
          <w:szCs w:val="21"/>
        </w:rPr>
        <w:fldChar w:fldCharType="end"/>
      </w:r>
      <w:r w:rsidR="00EE4083">
        <w:rPr>
          <w:rFonts w:ascii="Arial" w:hAnsi="Arial" w:cs="Arial"/>
          <w:sz w:val="21"/>
          <w:szCs w:val="21"/>
        </w:rPr>
        <w:t xml:space="preserve"> or post-treatment </w:t>
      </w:r>
      <w:r w:rsidR="00F443F0">
        <w:rPr>
          <w:rFonts w:ascii="Arial" w:hAnsi="Arial" w:cs="Arial"/>
          <w:sz w:val="21"/>
          <w:szCs w:val="21"/>
        </w:rPr>
        <w:fldChar w:fldCharType="begin" w:fldLock="1"/>
      </w:r>
      <w:r w:rsidR="005C6653">
        <w:rPr>
          <w:rFonts w:ascii="Arial" w:hAnsi="Arial" w:cs="Arial"/>
          <w:sz w:val="21"/>
          <w:szCs w:val="21"/>
        </w:rPr>
        <w:instrText>ADDIN CSL_CITATION {"citationItems":[{"id":"ITEM-1","itemData":{"DOI":"10.1371/journal.pntd.0002347","ISBN":"1935-2735","ISSN":"1935-2735","PMID":"23936573","abstract":"BACKGROUND: Trachoma, caused by ocular Chlamydia trachomatis infection, is the leading infectious cause of blindness, but its prevalence is now falling in many countries. As the prevalence falls, an increasing proportion of individuals with clinical signs of follicular trachoma (TF) is not infected with C. trachomatis. A recent study in Tanzania suggested that other bacteria may play a role in the persistence of these clinical signs.\n\nMETHODOLOGY/PRINCIPAL FINDINGS: We examined associations between clinical signs of TF and ocular colonization with four pathogens commonly found in the nasopharnyx, three years after the initiation of mass azithromycin distribution. Children aged 0 to 5 years were randomly selected from 16 Gambian communities. Both eyes of each child were examined and graded for trachoma according to the World Health Organization (WHO) simplified system. Two swabs were taken from the right eye: one swab was processed for polymerase chain reaction (PCR) using the Amplicor test for detection of C. trachomatis DNA and the second swab was processed by routine bacteriology to assay for the presence of viable Streptococcus pneumoniae, Haemophilus influenzae, Staphylococcus aureus and Moraxella catarrhalis. Prevalence of TF was 6.2% (96/1538) while prevalence of ocular C. trachomatis infection was 1.0% (16/1538). After adjustment, increased odds of TF were observed in the presence of C. trachomatis (OR = 10.4, 95%CI 1.32-81.2, p = 0.03), S. pneumoniae (OR = 2.14, 95%CI 1.03-4.44, p = 0.04) and H. influenzae (OR = 4.72, 95% CI 1.53-14.5, p = 0.01).\n\nCONCLUSIONS/SIGNIFICANCE: Clinical signs of TF can persist in communities even when ocular C. trachomatis infection has been controlled through mass azithromycin distribution. In these settings, TF may be associated with ocular colonization with bacteria commonly carried in the nasopharnyx. This may affect the interpretation of impact surveys and the determinations of thresholds for discontinuing mass drug administration.","author":[{"dropping-particle":"","family":"Burr","given":"Sarah E","non-dropping-particle":"","parse-names":false,"suffix":""},{"dropping-particle":"","family":"Hart","given":"John D","non-dropping-particle":"","parse-names":false,"suffix":""},{"dropping-particle":"","family":"Edwards","given":"Tansy","non-dropping-particle":"","parse-names":false,"suffix":""},{"dropping-particle":"","family":"Baldeh","given":"Ignatius","non-dropping-particle":"","parse-names":false,"suffix":""},{"dropping-particle":"","family":"Bojang","given":"Ebrima","non-dropping-particle":"","parse-names":false,"suffix":""},{"dropping-particle":"","family":"Harding-Esch","given":"Emma M","non-dropping-particle":"","parse-names":false,"suffix":""},{"dropping-particle":"","family":"Holland","given":"Martin J","non-dropping-particle":"","parse-names":false,"suffix":""},{"dropping-particle":"","family":"Lietman","given":"Thomas M","non-dropping-particle":"","parse-names":false,"suffix":""},{"dropping-particle":"","family":"West","given":"Sheila K","non-dropping-particle":"","parse-names":false,"suffix":""},{"dropping-particle":"","family":"Mabey","given":"David C W","non-dropping-particle":"","parse-names":false,"suffix":""},{"dropping-particle":"","family":"Sillah","given":"Ansumana","non-dropping-particle":"","parse-names":false,"suffix":""},{"dropping-particle":"","family":"Bailey","given":"Robin L","non-dropping-particle":"","parse-names":false,"suffix":""}],"container-title":"PLoS neglected tropical diseases","id":"ITEM-1","issue":"7","issued":{"date-parts":[["2013","7"]]},"note":"From Duplicate 2 (Association between ocular bacterial carriage and follicular trachoma following mass azithromycin distribution in The Gambia. - Burr, Sarah E; Hart, John D; Edwards, Tansy; Baldeh, Ignatius; Bojang, Ebrima; Harding-Esch, Emma M; Holland, Martin J; Lietman, Thomas M; West, Sheila K; Mabey, David C W; Sillah, Ansumana; Bailey, Robin L)\n\nFrom Duplicate 1 (Association between ocular bacterial carriage and follicular trachoma following mass azithromycin distribution in The Gambia - Burr, Sarah E; Hart, John D; Edwards, Tansy; Baldeh, Ignatius; Bojang, Ebrima; Harding-Esch, Emma M; Holland, Martin J; Lietman, Thomas M; West, Sheila K; Mabey, David C W; Sillah, Ansumana; Bailey, Robin L)\n\nFrom Duplicate 1 (Association between ocular bacterial carriage and follicular trachoma following mass azithromycin distribution in The Gambia - Burr, S E; Hart, J D; Edwards, T; Baldeh, I; Bojang, E; Harding-Esch, E M; Holland, M J; Lietman, T M; West, S K; Mabey, D C; Sillah, A; Bailey, R L)\n\nBurr, Sarah E\nHart, John D\nEdwards, Tansy\nBaldeh, Ignatius\nBojang, Ebrima\nHarding-Esch, Emma M\nHolland, Martin J\nLietman, Thomas M\nWest, Sheila K\nMabey, David C W\nSillah, Ansumana\nBailey, Robin L\n\nFrom Duplicate 2 (Association between ocular bacterial carriage and follicular trachoma following mass azithromycin distribution in The Gambia - Burr, Sarah E; Hart, John D; Edwards, Tansy; Baldeh, Ignatius; Bojang, Ebrima; Harding-Esch, Emma M; Holland, Martin J; Lietman, Thomas M; West, Sheila K; Mabey, David C W; Sillah, Ansumana; Bailey, Robin L)\n\nFrom Duplicate 1 (Association between ocular bacterial carriage and follicular trachoma following mass azithromycin distribution in The Gambia - Burr, S E; Hart, J D; Edwards, T; Baldeh, I; Bojang, E; Harding-Esch, E M; Holland, M J; Lietman, T M; West, S K; Mabey, D C; Sillah, A; Bailey, R L)\n\nBurr, Sarah E\nHart, John D\nEdwards, Tansy\nBaldeh, Ignatius\nBojang, Ebrima\nHarding-Esch, Emma M\nHolland, Martin J\nLietman, Thomas M\nWest, Sheila K\nMabey, David C W\nSillah, Ansumana\nBailey, Robin L\n\nFrom Duplicate 2 (Association between Ocular Bacterial Carriage and Follicular Trachoma Following Mass Azithromycin Distribution in The Gambia - Burr, Sarah E; Hart, John D; Edwards, Tansy; Baldeh, Ignatius; Bojang, Ebrima; Harding-Esch, Emma M; Holland, Martin J; Lietman, Thomas M; West, Sheila K; Mabey, David C W; Sillah, Ansumana; Bailey, Robin L)\n\nFrom Duplicate 1 (Association between Ocular Bacterial Carriage and Follicular Trachoma Following Mass Azithromycin Distribution in The Gambia - Burr, Sarah E; Hart, John D; Edwards, Tansy; Baldeh, Ignatius; Bojang, Ebrima; Harding-Esch, Emma M; Holland, Martin J; Lietman, Thomas M; West, Sheila K; Mabey, David C W; Sillah, Ansumana; Bailey, Robin L)\n\nTimes Cited: 5\nMabey, David/0000-0002-0031-8276\n0\n5","page":"e2347","title":"Association between ocular bacterial carriage and follicular trachoma following mass azithromycin distribution in The Gambia.","type":"article-journal","volume":"7"},"uris":["http://www.mendeley.com/documents/?uuid=9881d382-515c-47c5-85ed-0a4a75885d94"]}],"mendeley":{"formattedCitation":"[7]","plainTextFormattedCitation":"[7]","previouslyFormattedCitation":"[7]"},"properties":{"noteIndex":0},"schema":"https://github.com/citation-style-language/schema/raw/master/csl-citation.json"}</w:instrText>
      </w:r>
      <w:r w:rsidR="00F443F0">
        <w:rPr>
          <w:rFonts w:ascii="Arial" w:hAnsi="Arial" w:cs="Arial"/>
          <w:sz w:val="21"/>
          <w:szCs w:val="21"/>
        </w:rPr>
        <w:fldChar w:fldCharType="separate"/>
      </w:r>
      <w:r w:rsidR="005C6653" w:rsidRPr="005C6653">
        <w:rPr>
          <w:rFonts w:ascii="Arial" w:hAnsi="Arial" w:cs="Arial"/>
          <w:noProof/>
          <w:sz w:val="21"/>
          <w:szCs w:val="21"/>
        </w:rPr>
        <w:t>[7]</w:t>
      </w:r>
      <w:r w:rsidR="00F443F0">
        <w:rPr>
          <w:rFonts w:ascii="Arial" w:hAnsi="Arial" w:cs="Arial"/>
          <w:sz w:val="21"/>
          <w:szCs w:val="21"/>
        </w:rPr>
        <w:fldChar w:fldCharType="end"/>
      </w:r>
      <w:r w:rsidR="00F443F0">
        <w:rPr>
          <w:rFonts w:ascii="Arial" w:hAnsi="Arial" w:cs="Arial"/>
          <w:sz w:val="21"/>
          <w:szCs w:val="21"/>
        </w:rPr>
        <w:t xml:space="preserve"> </w:t>
      </w:r>
      <w:r w:rsidR="00B458E4">
        <w:rPr>
          <w:rFonts w:ascii="Arial" w:hAnsi="Arial" w:cs="Arial"/>
          <w:sz w:val="21"/>
          <w:szCs w:val="21"/>
        </w:rPr>
        <w:t>populations</w:t>
      </w:r>
      <w:r w:rsidR="00EE4083">
        <w:rPr>
          <w:rFonts w:ascii="Arial" w:hAnsi="Arial" w:cs="Arial"/>
          <w:sz w:val="21"/>
          <w:szCs w:val="21"/>
        </w:rPr>
        <w:t xml:space="preserve">) </w:t>
      </w:r>
      <w:r w:rsidR="00F443F0">
        <w:rPr>
          <w:rFonts w:ascii="Arial" w:hAnsi="Arial" w:cs="Arial"/>
          <w:sz w:val="21"/>
          <w:szCs w:val="21"/>
        </w:rPr>
        <w:t xml:space="preserve">the specificity </w:t>
      </w:r>
      <w:r w:rsidR="00537CB8">
        <w:rPr>
          <w:rFonts w:ascii="Arial" w:hAnsi="Arial" w:cs="Arial"/>
          <w:sz w:val="21"/>
          <w:szCs w:val="21"/>
        </w:rPr>
        <w:t xml:space="preserve">and positive predictive value </w:t>
      </w:r>
      <w:r w:rsidR="00F443F0">
        <w:rPr>
          <w:rFonts w:ascii="Arial" w:hAnsi="Arial" w:cs="Arial"/>
          <w:sz w:val="21"/>
          <w:szCs w:val="21"/>
        </w:rPr>
        <w:t xml:space="preserve">of </w:t>
      </w:r>
      <w:r w:rsidR="00EE4083">
        <w:rPr>
          <w:rFonts w:ascii="Arial" w:hAnsi="Arial" w:cs="Arial"/>
          <w:sz w:val="21"/>
          <w:szCs w:val="21"/>
        </w:rPr>
        <w:t xml:space="preserve">TF for </w:t>
      </w:r>
      <w:r w:rsidR="00EE4083">
        <w:rPr>
          <w:rFonts w:ascii="Arial" w:hAnsi="Arial" w:cs="Arial"/>
          <w:i/>
          <w:sz w:val="21"/>
          <w:szCs w:val="21"/>
        </w:rPr>
        <w:t xml:space="preserve">Ct </w:t>
      </w:r>
      <w:r w:rsidR="00EE4083">
        <w:rPr>
          <w:rFonts w:ascii="Arial" w:hAnsi="Arial" w:cs="Arial"/>
          <w:sz w:val="21"/>
          <w:szCs w:val="21"/>
        </w:rPr>
        <w:t>infection</w:t>
      </w:r>
      <w:r w:rsidR="00F443F0">
        <w:rPr>
          <w:rFonts w:ascii="Arial" w:hAnsi="Arial" w:cs="Arial"/>
          <w:sz w:val="21"/>
          <w:szCs w:val="21"/>
        </w:rPr>
        <w:t xml:space="preserve"> is </w:t>
      </w:r>
      <w:r w:rsidR="00537CB8">
        <w:rPr>
          <w:rFonts w:ascii="Arial" w:hAnsi="Arial" w:cs="Arial"/>
          <w:sz w:val="21"/>
          <w:szCs w:val="21"/>
        </w:rPr>
        <w:t>low</w:t>
      </w:r>
      <w:r w:rsidR="00DE3605">
        <w:rPr>
          <w:rFonts w:ascii="Arial" w:hAnsi="Arial" w:cs="Arial"/>
          <w:sz w:val="21"/>
          <w:szCs w:val="21"/>
        </w:rPr>
        <w:t xml:space="preserve"> </w:t>
      </w:r>
      <w:r w:rsidR="00DE3605">
        <w:rPr>
          <w:rFonts w:ascii="Arial" w:hAnsi="Arial" w:cs="Arial"/>
          <w:sz w:val="21"/>
          <w:szCs w:val="21"/>
        </w:rPr>
        <w:fldChar w:fldCharType="begin" w:fldLock="1"/>
      </w:r>
      <w:r w:rsidR="005C6653">
        <w:rPr>
          <w:rFonts w:ascii="Arial" w:hAnsi="Arial" w:cs="Arial"/>
          <w:sz w:val="21"/>
          <w:szCs w:val="21"/>
        </w:rPr>
        <w:instrText>ADDIN CSL_CITATION {"citationItems":[{"id":"ITEM-1","itemData":{"DOI":"10.1086/374743","ISSN":"0022-1899","PMID":"12721948","abstract":"We evaluated the validity of clinically determined active trachoma as a surrogate for chlamydial eye infection in 1059 children from the Egyptian arm of the Azithromycin in the Control of Trachoma study. Participants were determined to be \"clinically active\" if they had &gt;or=5 follicles or intense inflammatory infiltration on the tarsal conjunctiva. Conjunctival swabs were tested using ligase chain reaction (LCR) to detect chlamydial DNA. Of clinically active children aged 1-10 years, 31% did not have infection, as determined by LCR. Conversely, 31% of infected children were not clinically active; 78% of clinically active children aged 1-5 years were infected, versus 17% of those aged 11-15 years. The proportion of clinically active children who were infected decreased from 67% before treatment to 10% 14 months after mass azithromycin treatment. Clinically active trachoma is not always a reliable marker of infection, particularly in teenagers and after treatment.","author":[{"dropping-particle":"","family":"Bird","given":"Mariko","non-dropping-particle":"","parse-names":false,"suffix":""},{"dropping-particle":"","family":"Dawson","given":"Chandler R","non-dropping-particle":"","parse-names":false,"suffix":""},{"dropping-particle":"","family":"Schachter","given":"Julius S","non-dropping-particle":"","parse-names":false,"suffix":""},{"dropping-particle":"","family":"Miao","given":"Yinghui","non-dropping-particle":"","parse-names":false,"suffix":""},{"dropping-particle":"","family":"Shama","given":"Ahmed","non-dropping-particle":"","parse-names":false,"suffix":""},{"dropping-particle":"","family":"Osman","given":"Ahmed","non-dropping-particle":"","parse-names":false,"suffix":""},{"dropping-particle":"","family":"Bassem","given":"Ahmad","non-dropping-particle":"","parse-names":false,"suffix":""},{"dropping-particle":"","family":"Lietman","given":"Thomas M","non-dropping-particle":"","parse-names":false,"suffix":""}],"container-title":"The Journal of infectious diseases","id":"ITEM-1","issue":"10","issued":{"date-parts":[["2003","5","15"]]},"page":"1669-73","title":"Does the diagnosis of trachoma adequately identify ocular chlamydial infection in trachoma-endemic areas?","type":"article-journal","volume":"187"},"uris":["http://www.mendeley.com/documents/?uuid=59198872-89fd-4f8f-8348-45cc25461534"]}],"mendeley":{"formattedCitation":"[8]","plainTextFormattedCitation":"[8]","previouslyFormattedCitation":"[8]"},"properties":{"noteIndex":0},"schema":"https://github.com/citation-style-language/schema/raw/master/csl-citation.json"}</w:instrText>
      </w:r>
      <w:r w:rsidR="00DE3605">
        <w:rPr>
          <w:rFonts w:ascii="Arial" w:hAnsi="Arial" w:cs="Arial"/>
          <w:sz w:val="21"/>
          <w:szCs w:val="21"/>
        </w:rPr>
        <w:fldChar w:fldCharType="separate"/>
      </w:r>
      <w:r w:rsidR="005C6653" w:rsidRPr="005C6653">
        <w:rPr>
          <w:rFonts w:ascii="Arial" w:hAnsi="Arial" w:cs="Arial"/>
          <w:noProof/>
          <w:sz w:val="21"/>
          <w:szCs w:val="21"/>
        </w:rPr>
        <w:t>[8]</w:t>
      </w:r>
      <w:r w:rsidR="00DE3605">
        <w:rPr>
          <w:rFonts w:ascii="Arial" w:hAnsi="Arial" w:cs="Arial"/>
          <w:sz w:val="21"/>
          <w:szCs w:val="21"/>
        </w:rPr>
        <w:fldChar w:fldCharType="end"/>
      </w:r>
      <w:r w:rsidR="00DF2947" w:rsidRPr="00955EFD">
        <w:rPr>
          <w:rFonts w:ascii="Arial" w:hAnsi="Arial" w:cs="Arial"/>
          <w:sz w:val="21"/>
          <w:szCs w:val="21"/>
        </w:rPr>
        <w:t xml:space="preserve">. </w:t>
      </w:r>
      <w:r w:rsidR="00574173">
        <w:rPr>
          <w:rFonts w:ascii="Arial" w:hAnsi="Arial" w:cs="Arial"/>
          <w:sz w:val="21"/>
          <w:szCs w:val="21"/>
        </w:rPr>
        <w:t>Also, while TF is</w:t>
      </w:r>
      <w:r w:rsidR="00E45142">
        <w:rPr>
          <w:rFonts w:ascii="Arial" w:hAnsi="Arial" w:cs="Arial"/>
          <w:sz w:val="21"/>
          <w:szCs w:val="21"/>
        </w:rPr>
        <w:t xml:space="preserve"> conceptually linked to the </w:t>
      </w:r>
      <w:r w:rsidR="00E45142" w:rsidRPr="00955EFD">
        <w:rPr>
          <w:rFonts w:ascii="Arial" w:hAnsi="Arial" w:cs="Arial"/>
          <w:sz w:val="21"/>
          <w:szCs w:val="21"/>
        </w:rPr>
        <w:t xml:space="preserve">likelihood of future </w:t>
      </w:r>
      <w:r w:rsidR="00E45142">
        <w:rPr>
          <w:rFonts w:ascii="Arial" w:hAnsi="Arial" w:cs="Arial"/>
          <w:sz w:val="21"/>
          <w:szCs w:val="21"/>
        </w:rPr>
        <w:t xml:space="preserve">scarring </w:t>
      </w:r>
      <w:r w:rsidR="00E45142" w:rsidRPr="00955EFD">
        <w:rPr>
          <w:rFonts w:ascii="Arial" w:hAnsi="Arial" w:cs="Arial"/>
          <w:sz w:val="21"/>
          <w:szCs w:val="21"/>
        </w:rPr>
        <w:t xml:space="preserve">pathogenesis </w:t>
      </w:r>
      <w:r w:rsidR="00E45142">
        <w:rPr>
          <w:rFonts w:ascii="Arial" w:hAnsi="Arial" w:cs="Arial"/>
          <w:sz w:val="21"/>
          <w:szCs w:val="21"/>
        </w:rPr>
        <w:t xml:space="preserve">and potential to develop TT, in longitudinal studies the number </w:t>
      </w:r>
      <w:r w:rsidR="00603717">
        <w:rPr>
          <w:rFonts w:ascii="Arial" w:hAnsi="Arial" w:cs="Arial"/>
          <w:sz w:val="21"/>
          <w:szCs w:val="21"/>
        </w:rPr>
        <w:t xml:space="preserve">or duration </w:t>
      </w:r>
      <w:r w:rsidR="00E45142">
        <w:rPr>
          <w:rFonts w:ascii="Arial" w:hAnsi="Arial" w:cs="Arial"/>
          <w:sz w:val="21"/>
          <w:szCs w:val="21"/>
        </w:rPr>
        <w:t>of episodes of TF</w:t>
      </w:r>
      <w:r w:rsidR="00603717">
        <w:rPr>
          <w:rFonts w:ascii="Arial" w:hAnsi="Arial" w:cs="Arial"/>
          <w:sz w:val="21"/>
          <w:szCs w:val="21"/>
        </w:rPr>
        <w:t xml:space="preserve"> alone</w:t>
      </w:r>
      <w:r w:rsidR="00E45142">
        <w:rPr>
          <w:rFonts w:ascii="Arial" w:hAnsi="Arial" w:cs="Arial"/>
          <w:sz w:val="21"/>
          <w:szCs w:val="21"/>
        </w:rPr>
        <w:t xml:space="preserve"> is not </w:t>
      </w:r>
      <w:r w:rsidR="00DF2947" w:rsidRPr="00955EFD">
        <w:rPr>
          <w:rFonts w:ascii="Arial" w:hAnsi="Arial" w:cs="Arial"/>
          <w:sz w:val="21"/>
          <w:szCs w:val="21"/>
        </w:rPr>
        <w:t>associated with incidence of conjunctival scarring</w:t>
      </w:r>
      <w:r w:rsidR="00603717">
        <w:rPr>
          <w:rFonts w:ascii="Arial" w:hAnsi="Arial" w:cs="Arial"/>
          <w:sz w:val="21"/>
          <w:szCs w:val="21"/>
        </w:rPr>
        <w:t xml:space="preserve"> </w:t>
      </w:r>
      <w:r w:rsidR="00603717">
        <w:rPr>
          <w:rFonts w:ascii="Arial" w:hAnsi="Arial" w:cs="Arial"/>
          <w:sz w:val="21"/>
          <w:szCs w:val="21"/>
        </w:rPr>
        <w:fldChar w:fldCharType="begin" w:fldLock="1"/>
      </w:r>
      <w:r w:rsidR="00D3307C">
        <w:rPr>
          <w:rFonts w:ascii="Arial" w:hAnsi="Arial" w:cs="Arial"/>
          <w:sz w:val="21"/>
          <w:szCs w:val="21"/>
        </w:rPr>
        <w:instrText>ADDIN CSL_CITATION {"citationItems":[{"id":"ITEM-1","itemData":{"ISSN":"1549-4713","PMID":"19091415","abstract":"OBJECTIVE: Clinically, constant severe trachoma predicts an increased risk of scarring in children. There are no data on the risk of scarring associated with constant infection with Chlamydia trachomatis, regardless of clinical manifestation. We propose to determine the 5-year incidence of scarring in children with a history of constant severe trachoma, constant infection, or both compared with children who had a history of neither. DESIGN: A 5-year, longitudinal observational study. PARTICIPANTS: Children aged less than 10 years with data on trachoma and infection for 3 of the 5 visits in the first 18 months, and follow-up 5-year data on scarring. METHODS: Data were collected on clinical trachoma, and ocular swabs were taken to determine the presence of C. trachomatis in children in a hyperendemic village in Tanzania. Images were graded for scarring. Data were collected at baseline; 2, 6, 12, and 18 months; and 5 years from baseline. Severe trachoma was defined as the presence of 10 or more follicles, or trachoma intense. A child had constant infection (severe trachoma) if infection (severe trachoma) was present on at least 3 visits before the 5-year survey. MAIN OUTCOME MEASURES: Five-year risk of scarring. RESULTS: Of the 189 children, 22 (11.6%) had constant severe trachoma, but not constant infection. Nine children (4.8%) had constant infection but not constant severe trachoma. Both constant severe trachoma and constant infection were present in 16 children (8.5%). The 5-year incidence of scarring was similar in all 3 groups; children with constant severe trachoma only, with constant infection only, and with both were most likely to develop scars (35.0%, 44.4%, 31.2%, respectively) compared with those with sporadic trachoma or infection (15.2%) or neither (6.8%) (P = 0.0002). CONCLUSIONS: Children with constant infection are also likely to have constant severe trachoma, and their 5-year risk of scarring is high compared with children with sporadic severe trachoma or infection. These data further support the presence of a subgroup of children who cannot clear infection with C. trachomatis, who may manifest a severe immunologic response to infection, and who are at increased risk of scarring sequelae. FINANCIAL DISCLOSURE(S): Proprietary or commercial disclosure may be found after the references.","author":[{"dropping-particle":"","family":"Wolle","given":"Meraf A","non-dropping-particle":"","parse-names":false,"suffix":""},{"dropping-particle":"","family":"Muñoz","given":"Beatriz E","non-dropping-particle":"","parse-names":false,"suffix":""},{"dropping-particle":"","family":"Mkocha","given":"Harran","non-dropping-particle":"","parse-names":false,"suffix":""},{"dropping-particle":"","family":"West","given":"Sheila K","non-dropping-particle":"","parse-names":false,"suffix":""}],"container-title":"Ophthalmology","id":"ITEM-1","issue":"2","issued":{"date-parts":[["2009"]]},"page":"243-7","title":"Constant ocular infection with Chlamydia trachomatis predicts risk of scarring in children in Tanzania.","type":"article-journal","volume":"116"},"uris":["http://www.mendeley.com/documents/?uuid=a73c0cb1-9310-458e-829d-d801f37bdc07"]},{"id":"ITEM-2","itemData":{"ISSN":"0928-6586","PMID":"11471083","abstract":"Risk factors for the incidence of scarring are needed to inform trachoma control programs in countries hyperendemic for this blinding disease. A cohort of pre-school children with constant, severe trachoma, and an age, sex, and neighborhood matched cohort of children without constant severe trachoma were followed for seven years to determine the incidence of scarring. The incidence of scarring in the children with constant severe trachoma was 29.2% versus 9.6% in the comparison group. In a model adjusting for multiple factors, significant predictors of scarring were increasing age, female, and constant severe trachoma (OR = 4.85, 95% CL = 2.05, 11.40). Infection with C. trachomatis at follow up was also associated with scarring in both groups of children. It is likely that these children have a different host response to infection, and represent a subgroup at high risk for the blinding complications of trachoma. Reducing exposure to infection in the community through antibiotics and changes in hygiene practices is still the most promising control strategy.","author":[{"dropping-particle":"","family":"West","given":"S K","non-dropping-particle":"","parse-names":false,"suffix":""},{"dropping-particle":"","family":"Muñoz","given":"B","non-dropping-particle":"","parse-names":false,"suffix":""},{"dropping-particle":"","family":"Mkocha","given":"H","non-dropping-particle":"","parse-names":false,"suffix":""},{"dropping-particle":"","family":"Hsieh","given":"Y H","non-dropping-particle":"","parse-names":false,"suffix":""},{"dropping-particle":"","family":"Lynch","given":"M C","non-dropping-particle":"","parse-names":false,"suffix":""}],"container-title":"Ophthalmic epidemiology","id":"ITEM-2","issue":"2-3","issued":{"date-parts":[["2001"]]},"page":"137-44","title":"Progression of active trachoma to scarring in a cohort of Tanzanian children.","type":"article-journal","volume":"8"},"uris":["http://www.mendeley.com/documents/?uuid=602b8d28-82e3-4736-a8ae-3f869c14a09a"]},{"id":"ITEM-3","itemData":{"DOI":"10.1371/journal.pntd.0004859","ISSN":"1935-2735","PMID":"27483002","abstract":"BACKGROUND Sight loss from trachoma is the end result of a scarring disease process starting in early childhood and characterised by repeated episodes of conjunctival inflammation (active trachoma). Subsequently, the conjunctiva becomes scarred, causing the eyelashes to turn inwards and scratch the cornea (trichiasis), damaging the corneal surface and leading to corneal opacification and visual impairment. It is thought that this process is initiated and driven by repeated infection with Chlamydia trachomatis. We review published longitudinal studies to re-examine the disease process, its progression rates and risk factors. METHODOLOGY/PRINCIPAL FINDINGS We searched PubMed for studies presenting incidence and progression data for the different stages of trachoma natural history. We only included studies reporting longitudinal data and identified 11 publications meeting this criterion. The studies were very heterogeneous in design, disease stage, duration, size and location, precluding meta-analysis. Severe conjunctival inflammation was consistently associated with incident and progressive scarring in five studies in which this was examined. One study reported an association between C. trachomatis infection and incident scarring. No studies have yet demonstrated an association between C. trachomatis infection and progressive scarring. Several studies conducted in regions with low prevalence active disease and C. trachomatis infection found evidence of on-going scarring progression. CONCLUSIONS/SIGNIFICANCE Overall, there are few longitudinal studies that provide estimates of progression rates and risk factors, reflecting the challenges of conducting such studies. Our understanding of this disease process and the long-term impact of control measures is partial. Intense conjunctival inflammation was consistently associated with scarring, however, direct evidence demonstrating an association between C. trachomatis and progression is limited. This suggests that on-going chlamydial reinfection may not be mandatory for progression of established scarring, indicating that sight threatening trichiasis may continue to evolve in older people in formerly endemic populations, that will require service provision for years after active disease is controlled.","author":[{"dropping-particle":"","family":"Ramadhani","given":"Athumani M","non-dropping-particle":"","parse-names":false,"suffix":""},{"dropping-particle":"","family":"Derrick","given":"Tamsyn","non-dropping-particle":"","parse-names":false,"suffix":""},{"dropping-particle":"","family":"Holland","given":"Martin J","non-dropping-particle":"","parse-names":false,"suffix":""},{"dropping-particle":"","family":"Burton","given":"Matthew J","non-dropping-particle":"","parse-names":false,"suffix":""}],"container-title":"PLoS neglected tropical diseases","id":"ITEM-3","issue":"8","issued":{"date-parts":[["2016"]]},"page":"e0004859","title":"Blinding Trachoma: Systematic Review of Rates and Risk Factors for Progressive Disease.","type":"article-journal","volume":"10"},"uris":["http://www.mendeley.com/documents/?uuid=1abbacc5-ed53-309f-8d0a-7d338bdbf4d9"]}],"mendeley":{"formattedCitation":"[9–11]","plainTextFormattedCitation":"[9–11]","previouslyFormattedCitation":"[9–11]"},"properties":{"noteIndex":0},"schema":"https://github.com/citation-style-language/schema/raw/master/csl-citation.json"}</w:instrText>
      </w:r>
      <w:r w:rsidR="00603717">
        <w:rPr>
          <w:rFonts w:ascii="Arial" w:hAnsi="Arial" w:cs="Arial"/>
          <w:sz w:val="21"/>
          <w:szCs w:val="21"/>
        </w:rPr>
        <w:fldChar w:fldCharType="separate"/>
      </w:r>
      <w:r w:rsidR="005C6653" w:rsidRPr="005C6653">
        <w:rPr>
          <w:rFonts w:ascii="Arial" w:hAnsi="Arial" w:cs="Arial"/>
          <w:noProof/>
          <w:sz w:val="21"/>
          <w:szCs w:val="21"/>
        </w:rPr>
        <w:t>[9–11]</w:t>
      </w:r>
      <w:r w:rsidR="00603717">
        <w:rPr>
          <w:rFonts w:ascii="Arial" w:hAnsi="Arial" w:cs="Arial"/>
          <w:sz w:val="21"/>
          <w:szCs w:val="21"/>
        </w:rPr>
        <w:fldChar w:fldCharType="end"/>
      </w:r>
      <w:r w:rsidR="00DF2947" w:rsidRPr="00955EFD">
        <w:rPr>
          <w:rFonts w:ascii="Arial" w:hAnsi="Arial" w:cs="Arial"/>
          <w:sz w:val="21"/>
          <w:szCs w:val="21"/>
        </w:rPr>
        <w:t>.</w:t>
      </w:r>
      <w:r w:rsidR="00603717">
        <w:rPr>
          <w:rFonts w:ascii="Arial" w:hAnsi="Arial" w:cs="Arial"/>
          <w:sz w:val="21"/>
          <w:szCs w:val="21"/>
        </w:rPr>
        <w:t xml:space="preserve"> Therefore, there is a potential role for non-TF markers in the assessment of trachoma. </w:t>
      </w:r>
    </w:p>
    <w:p w14:paraId="2461CBB9" w14:textId="56D1417C" w:rsidR="006634E4" w:rsidRPr="00955EFD" w:rsidRDefault="006634E4" w:rsidP="008B5BE3">
      <w:pPr>
        <w:spacing w:line="480" w:lineRule="auto"/>
        <w:jc w:val="both"/>
        <w:rPr>
          <w:rFonts w:ascii="Arial" w:hAnsi="Arial" w:cs="Arial"/>
          <w:sz w:val="21"/>
          <w:szCs w:val="21"/>
        </w:rPr>
      </w:pPr>
    </w:p>
    <w:p w14:paraId="31542EEF" w14:textId="35FE3E21" w:rsidR="0012372D" w:rsidRPr="00955EFD" w:rsidRDefault="00574173" w:rsidP="008B5BE3">
      <w:pPr>
        <w:spacing w:line="480" w:lineRule="auto"/>
        <w:jc w:val="both"/>
        <w:rPr>
          <w:rFonts w:ascii="Arial" w:hAnsi="Arial" w:cs="Arial"/>
          <w:sz w:val="21"/>
          <w:szCs w:val="21"/>
        </w:rPr>
      </w:pPr>
      <w:r>
        <w:rPr>
          <w:rFonts w:ascii="Arial" w:hAnsi="Arial" w:cs="Arial"/>
          <w:sz w:val="21"/>
          <w:szCs w:val="21"/>
        </w:rPr>
        <w:t>C</w:t>
      </w:r>
      <w:r w:rsidR="00203F0C" w:rsidRPr="00955EFD">
        <w:rPr>
          <w:rFonts w:ascii="Arial" w:hAnsi="Arial" w:cs="Arial"/>
          <w:sz w:val="21"/>
          <w:szCs w:val="21"/>
        </w:rPr>
        <w:t>linical</w:t>
      </w:r>
      <w:r w:rsidR="00DF2947" w:rsidRPr="00955EFD">
        <w:rPr>
          <w:rFonts w:ascii="Arial" w:hAnsi="Arial" w:cs="Arial"/>
          <w:sz w:val="21"/>
          <w:szCs w:val="21"/>
        </w:rPr>
        <w:t xml:space="preserve"> data from the Solomon Islands</w:t>
      </w:r>
      <w:r w:rsidR="00603717">
        <w:rPr>
          <w:rFonts w:ascii="Arial" w:hAnsi="Arial" w:cs="Arial"/>
          <w:sz w:val="21"/>
          <w:szCs w:val="21"/>
        </w:rPr>
        <w:t xml:space="preserve"> </w:t>
      </w:r>
      <w:r w:rsidR="004671B2">
        <w:rPr>
          <w:rFonts w:ascii="Arial" w:hAnsi="Arial" w:cs="Arial"/>
          <w:sz w:val="21"/>
          <w:szCs w:val="21"/>
        </w:rPr>
        <w:fldChar w:fldCharType="begin" w:fldLock="1"/>
      </w:r>
      <w:r w:rsidR="005C6653">
        <w:rPr>
          <w:rFonts w:ascii="Arial" w:hAnsi="Arial" w:cs="Arial"/>
          <w:sz w:val="21"/>
          <w:szCs w:val="21"/>
        </w:rPr>
        <w:instrText>ADDIN CSL_CITATION {"citationItems":[{"id":"ITEM-1","itemData":{"DOI":"10.1080/09286586.2016.1238946","ISSN":"1744-5086 (Electronic)","PMID":"27937043","abstract":"PURPOSE: We sought to complete the baseline trachoma map of the Solomon Islands by establishing prevalences of active trachoma and trichiasis in the provinces of Choiseul, Western, Rennell-Bellona, and Temotu. METHODS: Using the standardized methodology developed for the Global Trachoma Mapping Project, we conducted cross-sectional community-based surveys from September to November 2013. Choiseul and Western provinces were each mapped as separate evaluation units (EUs); Rennell-Bellona and Temotu were combined to form a third EU. RESULTS: A total of 9819 individuals were sampled for inclusion, with 9224 (93.3%) consenting to examination, of whom 4587 (46.3%) were female. Survey teams visited 82 villages, and surveyed 2448 households. Two EUs had prevalences of trachomatous inflammation - follicular (TF) in 1-9-year-olds over the 10% threshold at which WHO recommends mass distribution of azithromycin for at least 3 years (Western 20.4%, 95% confidence interval, CI 15.6-26.3%; Rennell-Bellona/Temotu 22.0%, 95% CI 18.5-26.0%). Choiseul had a TF prevalence of 6.1% (95% CI 4.1-8.6%), and met the criterion for a single round of mass antibiotic distribution before re-survey. The adjusted prevalences of trichiasis in those aged 15+ years were 0.0% (95% CI 0.0-0.2%) in Choiseul, 0.16% (95% CI 0.0-0.5%) in Western, and 0.10% (95% CI 0-0.3%) in Rennell-Bellona/Temotu provinces. All three EUs require implementation of the facial cleanliness and environmental improvement components of the trachoma elimination strategy. CONCLUSION: Active trachoma is prevalent in the Solomon Islands. However, there is little evidence of the blinding complications of trachoma being a public health problem there. Further research into the explanation for this phenomenon is warranted.","author":[{"dropping-particle":"","family":"Sokana","given":"Oliver","non-dropping-particle":"","parse-names":false,"suffix":""},{"dropping-particle":"","family":"Macleod","given":"Colin K","non-dropping-particle":"","parse-names":false,"suffix":""},{"dropping-particle":"","family":"Jack","given":"Kelvin","non-dropping-particle":"","parse-names":false,"suffix":""},{"dropping-particle":"","family":"Butcher","given":"Robert","non-dropping-particle":"","parse-names":false,"suffix":""},{"dropping-particle":"","family":"Marks","given":"Michael","non-dropping-particle":"","parse-names":false,"suffix":""},{"dropping-particle":"","family":"Willis","given":"Rebecca","non-dropping-particle":"","parse-names":false,"suffix":""},{"dropping-particle":"","family":"Chu","given":"Brian K","non-dropping-particle":"","parse-names":false,"suffix":""},{"dropping-particle":"","family":"Posala","given":"Claude","non-dropping-particle":"","parse-names":false,"suffix":""},{"dropping-particle":"","family":"Solomon","given":"Anthony W","non-dropping-particle":"","parse-names":false,"suffix":""}],"container-title":"Ophthalmic Epidemiology","id":"ITEM-1","issue":"sup1","issued":{"date-parts":[["2016"]]},"page":"15-21","title":"Mapping Trachoma in the Solomon Islands: Results of Three Baseline Population-Based Prevalence Surveys Conducted with the Global Trachoma Mapping Project.","type":"article-journal","volume":"23"},"uris":["http://www.mendeley.com/documents/?uuid=b5348610-4de1-4c39-87f1-9d37c49ffd71"]}],"mendeley":{"formattedCitation":"[12]","plainTextFormattedCitation":"[12]","previouslyFormattedCitation":"[12]"},"properties":{"noteIndex":0},"schema":"https://github.com/citation-style-language/schema/raw/master/csl-citation.json"}</w:instrText>
      </w:r>
      <w:r w:rsidR="004671B2">
        <w:rPr>
          <w:rFonts w:ascii="Arial" w:hAnsi="Arial" w:cs="Arial"/>
          <w:sz w:val="21"/>
          <w:szCs w:val="21"/>
        </w:rPr>
        <w:fldChar w:fldCharType="separate"/>
      </w:r>
      <w:r w:rsidR="005C6653" w:rsidRPr="005C6653">
        <w:rPr>
          <w:rFonts w:ascii="Arial" w:hAnsi="Arial" w:cs="Arial"/>
          <w:noProof/>
          <w:sz w:val="21"/>
          <w:szCs w:val="21"/>
        </w:rPr>
        <w:t>[12]</w:t>
      </w:r>
      <w:r w:rsidR="004671B2">
        <w:rPr>
          <w:rFonts w:ascii="Arial" w:hAnsi="Arial" w:cs="Arial"/>
          <w:sz w:val="21"/>
          <w:szCs w:val="21"/>
        </w:rPr>
        <w:fldChar w:fldCharType="end"/>
      </w:r>
      <w:r w:rsidR="00203F0C" w:rsidRPr="00955EFD">
        <w:rPr>
          <w:rFonts w:ascii="Arial" w:hAnsi="Arial" w:cs="Arial"/>
          <w:sz w:val="21"/>
          <w:szCs w:val="21"/>
        </w:rPr>
        <w:t>,</w:t>
      </w:r>
      <w:r w:rsidR="00DF2947" w:rsidRPr="00955EFD">
        <w:rPr>
          <w:rFonts w:ascii="Arial" w:hAnsi="Arial" w:cs="Arial"/>
          <w:sz w:val="21"/>
          <w:szCs w:val="21"/>
        </w:rPr>
        <w:t xml:space="preserve"> </w:t>
      </w:r>
      <w:r w:rsidR="00203F0C" w:rsidRPr="00955EFD">
        <w:rPr>
          <w:rFonts w:ascii="Arial" w:hAnsi="Arial" w:cs="Arial"/>
          <w:sz w:val="21"/>
          <w:szCs w:val="21"/>
        </w:rPr>
        <w:t xml:space="preserve">Vanuatu </w:t>
      </w:r>
      <w:r w:rsidR="00603717">
        <w:rPr>
          <w:rFonts w:ascii="Arial" w:hAnsi="Arial" w:cs="Arial"/>
          <w:sz w:val="21"/>
          <w:szCs w:val="21"/>
        </w:rPr>
        <w:fldChar w:fldCharType="begin" w:fldLock="1"/>
      </w:r>
      <w:r w:rsidR="005C6653">
        <w:rPr>
          <w:rFonts w:ascii="Arial" w:hAnsi="Arial" w:cs="Arial"/>
          <w:sz w:val="21"/>
          <w:szCs w:val="21"/>
        </w:rPr>
        <w:instrText>ADDIN CSL_CITATION {"citationItems":[{"id":"ITEM-1","itemData":{"DOI":"http://dx.doi.org/10.1371/journal.pntd.0005267","abstract":"Yaws and trachoma are targeted for eradication and elimination as public health problems. In trachoma-endemic populations mass administration of azithromycin can simultaneously treat yaws. We conducted a population-based prevalence survey in the five northernmost provinces of Vanuatu, where trachoma and yaws are suspected to be co-endemic. Clinical signs of trachoma were evaluated using the WHO simplified grading system, and skin examination with a serological rapid diagnostic test used to identify yaws. We enrolled 1004 households in 59 villages over 16 islands, and examined 3650 individuals of all ages for trachoma. The overall adjusted prevalence of trachomatous inflammation-follicular (TF) in 1-9 year-olds was 12.0% (95% Confidence Interval: 8.1-16.7%), and the overall adjusted prevalence of TT in those aged 15 years and greater was 0.04% (95% CI 0-0.14%). In multivariate analysis, the odds of children having TF was 2.6 (95% CI = 1.5-4.4) times higher in households with unimproved latrines, and independently associated with the number of children in the household (OR 1.3, 95% CI = 1.0-1.6 for each additional child). We examined the skin of 821 children aged 5-14 years. Two children had yaws, giving an estimated prevalence of active yaws in those aged 5-14 years of 0.2% (95% CI = 0.03-0.9%). Mass treatment with azithromycin is recommended in these provinces. Given the apparent low burden of yaws, integration of yaws and trachoma control programmes is likely to be useful and cost-effective to national programmes.","author":[{"dropping-particle":"","family":"Taleo","given":"Fasihah","non-dropping-particle":"","parse-names":false,"suffix":""},{"dropping-particle":"","family":"Macleod","given":"Colin K","non-dropping-particle":"","parse-names":false,"suffix":""},{"dropping-particle":"","family":"Marks","given":"Michael","non-dropping-particle":"","parse-names":false,"suffix":""},{"dropping-particle":"","family":"Sokana","given":"Oliver","non-dropping-particle":"","parse-names":false,"suffix":""},{"dropping-particle":"","family":"Last","given":"Anna R","non-dropping-particle":"","parse-names":false,"suffix":""},{"dropping-particle":"","family":"Willis","given":"Rebecca","non-dropping-particle":"","parse-names":false,"suffix":""},{"dropping-particle":"","family":"Garae","given":"Mackline","non-dropping-particle":"","parse-names":false,"suffix":""},{"dropping-particle":"","family":"Bong","given":"Annie","non-dropping-particle":"","parse-names":false,"suffix":""},{"dropping-particle":"","family":"Chu","given":"Brian K","non-dropping-particle":"","parse-names":false,"suffix":""},{"dropping-particle":"","family":"Courtright","given":"Paul","non-dropping-particle":"","parse-names":false,"suffix":""},{"dropping-particle":"","family":"Kool","given":"Jacob","non-dropping-particle":"","parse-names":false,"suffix":""},{"dropping-particle":"","family":"Taleo","given":"George","non-dropping-particle":"","parse-names":false,"suffix":""},{"dropping-particle":"","family":"Rory","given":"Jean Jacque","non-dropping-particle":"","parse-names":false,"suffix":""},{"dropping-particle":"","family":"Solomon","given":"Anthony W","non-dropping-particle":"","parse-names":false,"suffix":""}],"container-title":"PLoS Neglected Tropical Diseases","id":"ITEM-1","issue":"1","issued":{"date-parts":[["2017"]]},"page":"e0005267","title":"Integrated mapping of yaws and trachoma in the five northern-most provinces of Vanuatu","type":"article-journal","volume":"11"},"uris":["http://www.mendeley.com/documents/?uuid=5b3fcb21-e7a1-4efb-aaa9-66a44398717f"]}],"mendeley":{"formattedCitation":"[13]","plainTextFormattedCitation":"[13]","previouslyFormattedCitation":"[13]"},"properties":{"noteIndex":0},"schema":"https://github.com/citation-style-language/schema/raw/master/csl-citation.json"}</w:instrText>
      </w:r>
      <w:r w:rsidR="00603717">
        <w:rPr>
          <w:rFonts w:ascii="Arial" w:hAnsi="Arial" w:cs="Arial"/>
          <w:sz w:val="21"/>
          <w:szCs w:val="21"/>
        </w:rPr>
        <w:fldChar w:fldCharType="separate"/>
      </w:r>
      <w:r w:rsidR="005C6653" w:rsidRPr="005C6653">
        <w:rPr>
          <w:rFonts w:ascii="Arial" w:hAnsi="Arial" w:cs="Arial"/>
          <w:noProof/>
          <w:sz w:val="21"/>
          <w:szCs w:val="21"/>
        </w:rPr>
        <w:t>[13]</w:t>
      </w:r>
      <w:r w:rsidR="00603717">
        <w:rPr>
          <w:rFonts w:ascii="Arial" w:hAnsi="Arial" w:cs="Arial"/>
          <w:sz w:val="21"/>
          <w:szCs w:val="21"/>
        </w:rPr>
        <w:fldChar w:fldCharType="end"/>
      </w:r>
      <w:r w:rsidR="00603717">
        <w:rPr>
          <w:rFonts w:ascii="Arial" w:hAnsi="Arial" w:cs="Arial"/>
          <w:sz w:val="21"/>
          <w:szCs w:val="21"/>
        </w:rPr>
        <w:t xml:space="preserve"> </w:t>
      </w:r>
      <w:r w:rsidR="00203F0C" w:rsidRPr="00955EFD">
        <w:rPr>
          <w:rFonts w:ascii="Arial" w:hAnsi="Arial" w:cs="Arial"/>
          <w:sz w:val="21"/>
          <w:szCs w:val="21"/>
        </w:rPr>
        <w:t>and Papua New Guinea</w:t>
      </w:r>
      <w:r w:rsidR="004671B2">
        <w:rPr>
          <w:rFonts w:ascii="Arial" w:hAnsi="Arial" w:cs="Arial"/>
          <w:sz w:val="21"/>
          <w:szCs w:val="21"/>
        </w:rPr>
        <w:t xml:space="preserve"> </w:t>
      </w:r>
      <w:r w:rsidR="004671B2">
        <w:rPr>
          <w:rFonts w:ascii="Arial" w:hAnsi="Arial" w:cs="Arial"/>
          <w:sz w:val="21"/>
          <w:szCs w:val="21"/>
        </w:rPr>
        <w:fldChar w:fldCharType="begin" w:fldLock="1"/>
      </w:r>
      <w:r w:rsidR="005C6653">
        <w:rPr>
          <w:rFonts w:ascii="Arial" w:hAnsi="Arial" w:cs="Arial"/>
          <w:sz w:val="21"/>
          <w:szCs w:val="21"/>
        </w:rPr>
        <w:instrText>ADDIN CSL_CITATION {"citationItems":[{"id":"ITEM-1","itemData":{"DOI":"10.1080/09286586.2016.1235715","ISSN":"0928-6586","PMID":"27893297","abstract":"Purpose: We sought to determine the prevalence of trachomatous inflammation-follicular (TF) in children aged 1-9 years, and trachomatous trichiasis (TT) in those aged &gt;=15 years, in suspected trachoma-endemic areas of Papua New Guinea (PNG). Methods: We carried out six population-based prevalence surveys using the protocol developed as part of the Global Trachoma Mapping Project. Results: A total of 19,013 individuals were sampled for inclusion, with 15,641 (82.3%) consenting to participate. Four evaluation units had prevalences of TF in children &gt;=10%, above which threshold the World Health Organization (WHO) recommends mass drug administration (MDA) of azithromycin for at least three years; Western Province (South Fly/Daru) 11.2% (95% confidence interval, CI, 6.9-17.0%), Southern Highlands (East) 12.2% (95% CI 9.6-15.0%), Southern Highlands (West) 11.7% (95% CI 8.5-15.3%), and West New Britain 11.4% (95% CI 8.7-13.9%). TF prevalence was 5.0-9.9% in Madang (9.4%, 95% CI 6.1-13.0%) and National Capital District (6.0%. 95% CI 3.2-9.1%) where consideration of a single round of MDA is warranted. Cases of TT were not found outside West New Britain, in which four cases were seen, generating an estimated population-level prevalence of TT in adults of 0.10% (95% CI 0.00-0.40%) for West New Britain, below the WHO elimination threshold of 0.2% of those aged &gt;=15 years. Conclusion: Trachoma is a public health issue in PNG. However, other than in West New Britain, there are few data to support the idea that trachoma is a cause of blindness in PNG. Further research is needed to understand the stimulus for the active trachoma phenotype in these populations.","author":[{"dropping-particle":"","family":"Ko","given":"Robert","non-dropping-particle":"","parse-names":false,"suffix":""},{"dropping-particle":"","family":"Macleod","given":"Colin","non-dropping-particle":"","parse-names":false,"suffix":""},{"dropping-particle":"","family":"Pahau","given":"David","non-dropping-particle":"","parse-names":false,"suffix":""},{"dropping-particle":"","family":"Sokana","given":"Oliver","non-dropping-particle":"","parse-names":false,"suffix":""},{"dropping-particle":"","family":"Keys","given":"Drew","non-dropping-particle":"","parse-names":false,"suffix":""},{"dropping-particle":"","family":"Burnett","given":"Anthea","non-dropping-particle":"","parse-names":false,"suffix":""},{"dropping-particle":"","family":"Willis","given":"Rebecca","non-dropping-particle":"","parse-names":false,"suffix":""},{"dropping-particle":"","family":"Wabulembo","given":"Geoffrey","non-dropping-particle":"","parse-names":false,"suffix":""},{"dropping-particle":"","family":"Garap","given":"Jambi","non-dropping-particle":"","parse-names":false,"suffix":""},{"dropping-particle":"","family":"Solomon","given":"Anthony W.","non-dropping-particle":"","parse-names":false,"suffix":""}],"container-title":"Ophthalmic Epidemiology","id":"ITEM-1","issue":"00","issued":{"date-parts":[["2016"]]},"page":"22-31","title":"Population-Based Trachoma Mapping in Six Evaluation Units of Papua New Guinea.","type":"article-journal","volume":"23"},"uris":["http://www.mendeley.com/documents/?uuid=1e891645-a120-4b91-9667-12b4492b99ce"]}],"mendeley":{"formattedCitation":"[14]","plainTextFormattedCitation":"[14]","previouslyFormattedCitation":"[14]"},"properties":{"noteIndex":0},"schema":"https://github.com/citation-style-language/schema/raw/master/csl-citation.json"}</w:instrText>
      </w:r>
      <w:r w:rsidR="004671B2">
        <w:rPr>
          <w:rFonts w:ascii="Arial" w:hAnsi="Arial" w:cs="Arial"/>
          <w:sz w:val="21"/>
          <w:szCs w:val="21"/>
        </w:rPr>
        <w:fldChar w:fldCharType="separate"/>
      </w:r>
      <w:r w:rsidR="005C6653" w:rsidRPr="005C6653">
        <w:rPr>
          <w:rFonts w:ascii="Arial" w:hAnsi="Arial" w:cs="Arial"/>
          <w:noProof/>
          <w:sz w:val="21"/>
          <w:szCs w:val="21"/>
        </w:rPr>
        <w:t>[14]</w:t>
      </w:r>
      <w:r w:rsidR="004671B2">
        <w:rPr>
          <w:rFonts w:ascii="Arial" w:hAnsi="Arial" w:cs="Arial"/>
          <w:sz w:val="21"/>
          <w:szCs w:val="21"/>
        </w:rPr>
        <w:fldChar w:fldCharType="end"/>
      </w:r>
      <w:r>
        <w:rPr>
          <w:rFonts w:ascii="Arial" w:hAnsi="Arial" w:cs="Arial"/>
          <w:sz w:val="21"/>
          <w:szCs w:val="21"/>
        </w:rPr>
        <w:t xml:space="preserve"> has shown</w:t>
      </w:r>
      <w:r w:rsidR="00203F0C" w:rsidRPr="00955EFD">
        <w:rPr>
          <w:rFonts w:ascii="Arial" w:hAnsi="Arial" w:cs="Arial"/>
          <w:sz w:val="21"/>
          <w:szCs w:val="21"/>
        </w:rPr>
        <w:t xml:space="preserve"> the epidemiology of trachoma in Melanesia </w:t>
      </w:r>
      <w:r>
        <w:rPr>
          <w:rFonts w:ascii="Arial" w:hAnsi="Arial" w:cs="Arial"/>
          <w:sz w:val="21"/>
          <w:szCs w:val="21"/>
        </w:rPr>
        <w:t>to be</w:t>
      </w:r>
      <w:r w:rsidR="00537CB8">
        <w:rPr>
          <w:rFonts w:ascii="Arial" w:hAnsi="Arial" w:cs="Arial"/>
          <w:sz w:val="21"/>
          <w:szCs w:val="21"/>
        </w:rPr>
        <w:t xml:space="preserve"> </w:t>
      </w:r>
      <w:r w:rsidR="00203F0C" w:rsidRPr="00955EFD">
        <w:rPr>
          <w:rFonts w:ascii="Arial" w:hAnsi="Arial" w:cs="Arial"/>
          <w:sz w:val="21"/>
          <w:szCs w:val="21"/>
        </w:rPr>
        <w:t>unusual</w:t>
      </w:r>
      <w:r>
        <w:rPr>
          <w:rFonts w:ascii="Arial" w:hAnsi="Arial" w:cs="Arial"/>
          <w:sz w:val="21"/>
          <w:szCs w:val="21"/>
        </w:rPr>
        <w:t xml:space="preserve"> in that </w:t>
      </w:r>
      <w:r w:rsidR="00203F0C" w:rsidRPr="00955EFD">
        <w:rPr>
          <w:rFonts w:ascii="Arial" w:hAnsi="Arial" w:cs="Arial"/>
          <w:sz w:val="21"/>
          <w:szCs w:val="21"/>
        </w:rPr>
        <w:t xml:space="preserve">TT </w:t>
      </w:r>
      <w:r>
        <w:rPr>
          <w:rFonts w:ascii="Arial" w:hAnsi="Arial" w:cs="Arial"/>
          <w:sz w:val="21"/>
          <w:szCs w:val="21"/>
        </w:rPr>
        <w:t xml:space="preserve">is </w:t>
      </w:r>
      <w:r w:rsidR="00203F0C" w:rsidRPr="00955EFD">
        <w:rPr>
          <w:rFonts w:ascii="Arial" w:hAnsi="Arial" w:cs="Arial"/>
          <w:sz w:val="21"/>
          <w:szCs w:val="21"/>
        </w:rPr>
        <w:t xml:space="preserve">rare or absent despite a moderate </w:t>
      </w:r>
      <w:r w:rsidR="00B92F41">
        <w:rPr>
          <w:rFonts w:ascii="Arial" w:hAnsi="Arial" w:cs="Arial"/>
          <w:sz w:val="21"/>
          <w:szCs w:val="21"/>
        </w:rPr>
        <w:t>prevalence</w:t>
      </w:r>
      <w:r w:rsidR="00B92F41" w:rsidRPr="00955EFD">
        <w:rPr>
          <w:rFonts w:ascii="Arial" w:hAnsi="Arial" w:cs="Arial"/>
          <w:sz w:val="21"/>
          <w:szCs w:val="21"/>
        </w:rPr>
        <w:t xml:space="preserve"> </w:t>
      </w:r>
      <w:r w:rsidR="00203F0C" w:rsidRPr="00955EFD">
        <w:rPr>
          <w:rFonts w:ascii="Arial" w:hAnsi="Arial" w:cs="Arial"/>
          <w:sz w:val="21"/>
          <w:szCs w:val="21"/>
        </w:rPr>
        <w:t xml:space="preserve">of TF. In contrast, </w:t>
      </w:r>
      <w:r w:rsidR="0012372D" w:rsidRPr="00955EFD">
        <w:rPr>
          <w:rFonts w:ascii="Arial" w:hAnsi="Arial" w:cs="Arial"/>
          <w:sz w:val="21"/>
          <w:szCs w:val="21"/>
        </w:rPr>
        <w:t>both TF and TT exceed the</w:t>
      </w:r>
      <w:r w:rsidR="00B92F41">
        <w:rPr>
          <w:rFonts w:ascii="Arial" w:hAnsi="Arial" w:cs="Arial"/>
          <w:sz w:val="21"/>
          <w:szCs w:val="21"/>
        </w:rPr>
        <w:t xml:space="preserve"> prevalence</w:t>
      </w:r>
      <w:r w:rsidR="0012372D" w:rsidRPr="00955EFD">
        <w:rPr>
          <w:rFonts w:ascii="Arial" w:hAnsi="Arial" w:cs="Arial"/>
          <w:sz w:val="21"/>
          <w:szCs w:val="21"/>
        </w:rPr>
        <w:t xml:space="preserve"> threshold for trachoma to be considered a public health problem</w:t>
      </w:r>
      <w:r w:rsidR="009F37F7">
        <w:rPr>
          <w:rFonts w:ascii="Arial" w:hAnsi="Arial" w:cs="Arial"/>
          <w:sz w:val="21"/>
          <w:szCs w:val="21"/>
        </w:rPr>
        <w:t xml:space="preserve"> in Kiribati</w:t>
      </w:r>
      <w:r w:rsidR="004671B2">
        <w:rPr>
          <w:rFonts w:ascii="Arial" w:hAnsi="Arial" w:cs="Arial"/>
          <w:sz w:val="21"/>
          <w:szCs w:val="21"/>
        </w:rPr>
        <w:t xml:space="preserve"> </w:t>
      </w:r>
      <w:r w:rsidR="004671B2">
        <w:rPr>
          <w:rFonts w:ascii="Arial" w:hAnsi="Arial" w:cs="Arial"/>
          <w:sz w:val="21"/>
          <w:szCs w:val="21"/>
        </w:rPr>
        <w:fldChar w:fldCharType="begin" w:fldLock="1"/>
      </w:r>
      <w:r w:rsidR="005C6653">
        <w:rPr>
          <w:rFonts w:ascii="Arial" w:hAnsi="Arial" w:cs="Arial"/>
          <w:sz w:val="21"/>
          <w:szCs w:val="21"/>
        </w:rPr>
        <w:instrText>ADDIN CSL_CITATION {"citationItems":[{"id":"ITEM-1","itemData":{"author":[{"dropping-particle":"","family":"International Agency for the Prevention of Blindness","given":"","non-dropping-particle":"","parse-names":false,"suffix":""}],"id":"ITEM-1","issued":{"date-parts":[["2013"]]},"publisher-place":"Melbourne, Australia","title":"Trachoma Mapping in the Pacific","type":"report"},"uris":["http://www.mendeley.com/documents/?uuid=136439f5-0c5c-465c-9e35-538caa37e9ed"]},{"id":"ITEM-2","itemData":{"author":[{"dropping-particle":"","family":"Cama","given":"Anaseini","non-dropping-particle":"","parse-names":false,"suffix":""},{"dropping-particle":"","family":"Müller","given":"Andreas","non-dropping-particle":"","parse-names":false,"suffix":""},{"dropping-particle":"","family":"Taoaba","given":"Raebwebwe","non-dropping-particle":"","parse-names":false,"suffix":""},{"dropping-particle":"","family":"Butcher","given":"Robert M R","non-dropping-particle":"","parse-names":false,"suffix":""},{"dropping-particle":"","family":"Itibita","given":"Iakoba","non-dropping-particle":"","parse-names":false,"suffix":""},{"dropping-particle":"","family":"Migchelsen","given":"Stephanie J","non-dropping-particle":"","parse-names":false,"suffix":""},{"dropping-particle":"","family":"Kiauea","given":"Tokoriri","non-dropping-particle":"","parse-names":false,"suffix":""},{"dropping-particle":"","family":"Pickering","given":"Harry","non-dropping-particle":"","parse-names":false,"suffix":""},{"dropping-particle":"","family":"Willis","given":"Rebecca","non-dropping-particle":"","parse-names":false,"suffix":""},{"dropping-particle":"","family":"Roberts","given":"Chrissy h","non-dropping-particle":"","parse-names":false,"suffix":""},{"dropping-particle":"","family":"Bakhtiari","given":"Ana","non-dropping-particle":"","parse-names":false,"suffix":""},{"dropping-particle":"","family":"Mesurier","given":"Richard T","non-dropping-particle":"Le","parse-names":false,"suffix":""},{"dropping-particle":"","family":"Alexander","given":"Neal D","non-dropping-particle":"","parse-names":false,"suffix":""},{"dropping-particle":"","family":"Martin","given":"Diana L","non-dropping-particle":"","parse-names":false,"suffix":""},{"dropping-particle":"","family":"Tekeraoi","given":"Rabebe","non-dropping-particle":"","parse-names":false,"suffix":""},{"dropping-particle":"","family":"Solomon","given":"Anthony W","non-dropping-particle":"","parse-names":false,"suffix":""},{"dropping-particle":"","family":"Global Trachoma Mapping Project","given":"","non-dropping-particle":"","parse-names":false,"suffix":""}],"container-title":"PLoS Neglected Tropical Diseases","id":"ITEM-2","issue":"9","issued":{"date-parts":[["2017"]]},"page":"e0005863","title":"Prevalence of signs of trachoma, ocular Chlamydia trachomatis infection and antibodies to Pgp3 in residents of Kiritimati Island, Kiribati.","type":"article-journal","volume":"11"},"uris":["http://www.mendeley.com/documents/?uuid=bfb00f9c-1d03-4471-ba51-c04f0a88a90a"]}],"mendeley":{"formattedCitation":"[15,16]","plainTextFormattedCitation":"[15,16]","previouslyFormattedCitation":"[15,16]"},"properties":{"noteIndex":0},"schema":"https://github.com/citation-style-language/schema/raw/master/csl-citation.json"}</w:instrText>
      </w:r>
      <w:r w:rsidR="004671B2">
        <w:rPr>
          <w:rFonts w:ascii="Arial" w:hAnsi="Arial" w:cs="Arial"/>
          <w:sz w:val="21"/>
          <w:szCs w:val="21"/>
        </w:rPr>
        <w:fldChar w:fldCharType="separate"/>
      </w:r>
      <w:r w:rsidR="005C6653" w:rsidRPr="005C6653">
        <w:rPr>
          <w:rFonts w:ascii="Arial" w:hAnsi="Arial" w:cs="Arial"/>
          <w:noProof/>
          <w:sz w:val="21"/>
          <w:szCs w:val="21"/>
        </w:rPr>
        <w:t>[15,16]</w:t>
      </w:r>
      <w:r w:rsidR="004671B2">
        <w:rPr>
          <w:rFonts w:ascii="Arial" w:hAnsi="Arial" w:cs="Arial"/>
          <w:sz w:val="21"/>
          <w:szCs w:val="21"/>
        </w:rPr>
        <w:fldChar w:fldCharType="end"/>
      </w:r>
      <w:r w:rsidR="0012372D" w:rsidRPr="00955EFD">
        <w:rPr>
          <w:rFonts w:ascii="Arial" w:hAnsi="Arial" w:cs="Arial"/>
          <w:sz w:val="21"/>
          <w:szCs w:val="21"/>
        </w:rPr>
        <w:t xml:space="preserve">. Studies </w:t>
      </w:r>
      <w:r w:rsidR="009F37F7">
        <w:rPr>
          <w:rFonts w:ascii="Arial" w:hAnsi="Arial" w:cs="Arial"/>
          <w:sz w:val="21"/>
          <w:szCs w:val="21"/>
        </w:rPr>
        <w:t>of</w:t>
      </w:r>
      <w:r w:rsidR="0012372D" w:rsidRPr="00955EFD">
        <w:rPr>
          <w:rFonts w:ascii="Arial" w:hAnsi="Arial" w:cs="Arial"/>
          <w:sz w:val="21"/>
          <w:szCs w:val="21"/>
        </w:rPr>
        <w:t xml:space="preserve"> high-TF villages in the Solomon Islands have </w:t>
      </w:r>
      <w:r w:rsidR="00537CB8">
        <w:rPr>
          <w:rFonts w:ascii="Arial" w:hAnsi="Arial" w:cs="Arial"/>
          <w:sz w:val="21"/>
          <w:szCs w:val="21"/>
        </w:rPr>
        <w:t xml:space="preserve">shown </w:t>
      </w:r>
      <w:r w:rsidR="0012372D" w:rsidRPr="00955EFD">
        <w:rPr>
          <w:rFonts w:ascii="Arial" w:hAnsi="Arial" w:cs="Arial"/>
          <w:sz w:val="21"/>
          <w:szCs w:val="21"/>
        </w:rPr>
        <w:t>infection</w:t>
      </w:r>
      <w:r w:rsidR="00537CB8">
        <w:rPr>
          <w:rFonts w:ascii="Arial" w:hAnsi="Arial" w:cs="Arial"/>
          <w:sz w:val="21"/>
          <w:szCs w:val="21"/>
        </w:rPr>
        <w:t xml:space="preserve"> prevalence</w:t>
      </w:r>
      <w:r w:rsidR="0012372D" w:rsidRPr="00955EFD">
        <w:rPr>
          <w:rFonts w:ascii="Arial" w:hAnsi="Arial" w:cs="Arial"/>
          <w:sz w:val="21"/>
          <w:szCs w:val="21"/>
        </w:rPr>
        <w:t>, anti-Pgp3 antibod</w:t>
      </w:r>
      <w:r w:rsidR="00537CB8">
        <w:rPr>
          <w:rFonts w:ascii="Arial" w:hAnsi="Arial" w:cs="Arial"/>
          <w:sz w:val="21"/>
          <w:szCs w:val="21"/>
        </w:rPr>
        <w:t>y prevalence</w:t>
      </w:r>
      <w:r w:rsidR="0012372D" w:rsidRPr="00955EFD">
        <w:rPr>
          <w:rFonts w:ascii="Arial" w:hAnsi="Arial" w:cs="Arial"/>
          <w:sz w:val="21"/>
          <w:szCs w:val="21"/>
        </w:rPr>
        <w:t xml:space="preserve"> and scarring severity to be low despite </w:t>
      </w:r>
      <w:r w:rsidR="00537CB8">
        <w:rPr>
          <w:rFonts w:ascii="Arial" w:hAnsi="Arial" w:cs="Arial"/>
          <w:sz w:val="21"/>
          <w:szCs w:val="21"/>
        </w:rPr>
        <w:t>high</w:t>
      </w:r>
      <w:r w:rsidR="0012372D" w:rsidRPr="00955EFD">
        <w:rPr>
          <w:rFonts w:ascii="Arial" w:hAnsi="Arial" w:cs="Arial"/>
          <w:sz w:val="21"/>
          <w:szCs w:val="21"/>
        </w:rPr>
        <w:t xml:space="preserve"> TF prevalence</w:t>
      </w:r>
      <w:r w:rsidR="004671B2">
        <w:rPr>
          <w:rFonts w:ascii="Arial" w:hAnsi="Arial" w:cs="Arial"/>
          <w:sz w:val="21"/>
          <w:szCs w:val="21"/>
        </w:rPr>
        <w:t xml:space="preserve"> </w:t>
      </w:r>
      <w:r w:rsidR="004671B2">
        <w:rPr>
          <w:rFonts w:ascii="Arial" w:hAnsi="Arial" w:cs="Arial"/>
          <w:sz w:val="21"/>
          <w:szCs w:val="21"/>
        </w:rPr>
        <w:fldChar w:fldCharType="begin" w:fldLock="1"/>
      </w:r>
      <w:r w:rsidR="00D3307C">
        <w:rPr>
          <w:rFonts w:ascii="Arial" w:hAnsi="Arial" w:cs="Arial"/>
          <w:sz w:val="21"/>
          <w:szCs w:val="21"/>
        </w:rPr>
        <w:instrText>ADDIN CSL_CITATION {"citationItems":[{"id":"ITEM-1","itemData":{"DOI":"10.1371/journal.pntd.0005051","ISSN":"1935-2735","PMID":"27695076","abstract":"BACKGROUND Trachoma is endemic in several Pacific Island states. Recent surveys across the Solomon Islands indicated that whilst trachomatous inflammation-follicular (TF) was present at levels warranting intervention, the prevalence of trachomatous trichiasis (TT) was low. We set out to determine the relationship between chlamydial infection and trachoma in this population. METHODS We conducted a population-based trachoma prevalence survey of 3674 individuals from two Solomon Islands provinces. Participants were examined for clinical signs of trachoma. Conjunctival swabs were collected from all children aged 1-9 years. We tested swabs for Chlamydia trachomatis (Ct) DNA using droplet digital PCR. Chlamydial DNA from positive swabs was enriched and sequenced for use in phylogenetic analysis. RESULTS We observed a moderate prevalence of TF in children aged 1-9 years (n = 296/1135, 26.1%) but low prevalence of trachomatous inflammation-intense (TI) (n = 2/1135, 0.2%) and current Ct infection (n = 13/1002, 1.3%) in children aged 1-9 years, and TT in those aged 15+ years (n = 2/2061, 0.1%). Ten of 13 (76.9%) cases of infection were in persons with TF or TI (p = 0.0005). Sequence analysis of the Ct-positive samples yielded 5/13 (38%) complete (&gt;95% coverage of reference) genome sequences, and 8/13 complete plasmid sequences. Complete sequences all aligned most closely to ocular serovar reference strains. DISCUSSION The low prevalence of TT, TI and Ct infection that we observed are incongruent with the high proportion of children exhibiting signs of TF. TF is present at levels that apparently warrant intervention, but the scarcity of other signs of trachoma indicates the phenotype is mild and may not pose a significant public health threat. Our data suggest that, whilst conjunctival Ct infection appears to be present in the region, it is present at levels that are unlikely to be the dominant driving force for TF in the population. This could be one reason for the low prevalence of TT observed during the study.","author":[{"dropping-particle":"","family":"Butcher","given":"Robert M R","non-dropping-particle":"","parse-names":false,"suffix":""},{"dropping-particle":"","family":"Sokana","given":"Oliver","non-dropping-particle":"","parse-names":false,"suffix":""},{"dropping-particle":"","family":"Jack","given":"Kelvin","non-dropping-particle":"","parse-names":false,"suffix":""},{"dropping-particle":"","family":"Macleod","given":"Colin K","non-dropping-particle":"","parse-names":false,"suffix":""},{"dropping-particle":"","family":"Marks","given":"Michael E","non-dropping-particle":"","parse-names":false,"suffix":""},{"dropping-particle":"","family":"Kalae","given":"Eric","non-dropping-particle":"","parse-names":false,"suffix":""},{"dropping-particle":"","family":"Sui","given":"Leslie","non-dropping-particle":"","parse-names":false,"suffix":""},{"dropping-particle":"","family":"Russell","given":"Charles","non-dropping-particle":"","parse-names":false,"suffix":""},{"dropping-particle":"","family":"Tutill","given":"Helena J","non-dropping-particle":"","parse-names":false,"suffix":""},{"dropping-particle":"","family":"Williams","given":"Rachel J","non-dropping-particle":"","parse-names":false,"suffix":""},{"dropping-particle":"","family":"Breuer","given":"Judith","non-dropping-particle":"","parse-names":false,"suffix":""},{"dropping-particle":"","family":"Willis","given":"Rebecca","non-dropping-particle":"","parse-names":false,"suffix":""},{"dropping-particle":"","family":"Mesurier","given":"Richard T","non-dropping-particle":"Le","parse-names":false,"suffix":""},{"dropping-particle":"","family":"Mabey","given":"David C W","non-dropping-particle":"","parse-names":false,"suffix":""},{"dropping-particle":"","family":"Solomon","given":"Anthony W","non-dropping-particle":"","parse-names":false,"suffix":""},{"dropping-particle":"","family":"Roberts","given":"Chrissy H","non-dropping-particle":"","parse-names":false,"suffix":""}],"container-title":"PLoS Neglected Tropical Diseases","id":"ITEM-1","issue":"9","issued":{"date-parts":[["2016"]]},"page":"e0004863","title":"Low Prevalence of Conjunctival Infection with Chlamydia trachomatis in a Treatment-Naïve Trachoma-Endemic Region of the Solomon Islands.","type":"article-journal","volume":"10"},"uris":["http://www.mendeley.com/documents/?uuid=202c233c-eebb-45fa-832e-bbc8e9c9acd0"]},{"id":"ITEM-2","itemData":{"DOI":"doi: 10.12688/wellcomeopenres.13423.1","author":[{"dropping-particle":"","family":"Butcher","given":"Robert","non-dropping-particle":"","parse-names":false,"suffix":""},{"dropping-particle":"","family":"Sokana","given":"Oliver","non-dropping-particle":"","parse-names":false,"suffix":""},{"dropping-particle":"","family":"Jack","given":"Kelvin","non-dropping-particle":"","parse-names":false,"suffix":""},{"dropping-particle":"","family":"Sui","given":"Leslie","non-dropping-particle":"","parse-names":false,"suffix":""},{"dropping-particle":"","family":"Martin","given":"Diana L","non-dropping-particle":"","parse-names":false,"suffix":""},{"dropping-particle":"","family":"Burton","given":"Matthew J","non-dropping-particle":"","parse-names":false,"suffix":""},{"dropping-particle":"","family":"Solomon","given":"Anthony W","non-dropping-particle":"","parse-names":false,"suffix":""},{"dropping-particle":"","family":"Mabey","given":"David CW","non-dropping-particle":"","parse-names":false,"suffix":""},{"dropping-particle":"","family":"Roberts","given":"Chrissy h.","non-dropping-particle":"","parse-names":false,"suffix":""}],"container-title":"Wellcome Open Research","id":"ITEM-2","issue":"14","issued":{"date-parts":[["2018"]]},"title":"Clinical signs of trachoma are prevalent among Solomon Islanders who have no persistent markers of prior infection with Chlamydia trachomatis.","type":"article-journal","volume":"3"},"uris":["http://www.mendeley.com/documents/?uuid=b76d0abe-f700-4f33-a67a-aabd1a35bc6e"]}],"mendeley":{"formattedCitation":"[17,18]","plainTextFormattedCitation":"[17,18]","previouslyFormattedCitation":"[17,18]"},"properties":{"noteIndex":0},"schema":"https://github.com/citation-style-language/schema/raw/master/csl-citation.json"}</w:instrText>
      </w:r>
      <w:r w:rsidR="004671B2">
        <w:rPr>
          <w:rFonts w:ascii="Arial" w:hAnsi="Arial" w:cs="Arial"/>
          <w:sz w:val="21"/>
          <w:szCs w:val="21"/>
        </w:rPr>
        <w:fldChar w:fldCharType="separate"/>
      </w:r>
      <w:r w:rsidR="005C6653" w:rsidRPr="005C6653">
        <w:rPr>
          <w:rFonts w:ascii="Arial" w:hAnsi="Arial" w:cs="Arial"/>
          <w:noProof/>
          <w:sz w:val="21"/>
          <w:szCs w:val="21"/>
        </w:rPr>
        <w:t>[17,18]</w:t>
      </w:r>
      <w:r w:rsidR="004671B2">
        <w:rPr>
          <w:rFonts w:ascii="Arial" w:hAnsi="Arial" w:cs="Arial"/>
          <w:sz w:val="21"/>
          <w:szCs w:val="21"/>
        </w:rPr>
        <w:fldChar w:fldCharType="end"/>
      </w:r>
      <w:r w:rsidR="0012372D" w:rsidRPr="00955EFD">
        <w:rPr>
          <w:rFonts w:ascii="Arial" w:hAnsi="Arial" w:cs="Arial"/>
          <w:sz w:val="21"/>
          <w:szCs w:val="21"/>
        </w:rPr>
        <w:t xml:space="preserve">. The Pacific Islands are, therefore, </w:t>
      </w:r>
      <w:r w:rsidR="00537CB8">
        <w:rPr>
          <w:rFonts w:ascii="Arial" w:hAnsi="Arial" w:cs="Arial"/>
          <w:sz w:val="21"/>
          <w:szCs w:val="21"/>
        </w:rPr>
        <w:t>a setting where</w:t>
      </w:r>
      <w:r w:rsidR="0012372D" w:rsidRPr="00955EFD">
        <w:rPr>
          <w:rFonts w:ascii="Arial" w:hAnsi="Arial" w:cs="Arial"/>
          <w:sz w:val="21"/>
          <w:szCs w:val="21"/>
        </w:rPr>
        <w:t xml:space="preserve"> deploy</w:t>
      </w:r>
      <w:r w:rsidR="00537CB8">
        <w:rPr>
          <w:rFonts w:ascii="Arial" w:hAnsi="Arial" w:cs="Arial"/>
          <w:sz w:val="21"/>
          <w:szCs w:val="21"/>
        </w:rPr>
        <w:t>ing</w:t>
      </w:r>
      <w:r w:rsidR="0012372D" w:rsidRPr="00955EFD">
        <w:rPr>
          <w:rFonts w:ascii="Arial" w:hAnsi="Arial" w:cs="Arial"/>
          <w:sz w:val="21"/>
          <w:szCs w:val="21"/>
        </w:rPr>
        <w:t xml:space="preserve"> additional me</w:t>
      </w:r>
      <w:r w:rsidR="00537CB8">
        <w:rPr>
          <w:rFonts w:ascii="Arial" w:hAnsi="Arial" w:cs="Arial"/>
          <w:sz w:val="21"/>
          <w:szCs w:val="21"/>
        </w:rPr>
        <w:t xml:space="preserve">trics of </w:t>
      </w:r>
      <w:r w:rsidR="00537CB8">
        <w:rPr>
          <w:rFonts w:ascii="Arial" w:hAnsi="Arial" w:cs="Arial"/>
          <w:i/>
          <w:iCs/>
          <w:sz w:val="21"/>
          <w:szCs w:val="21"/>
        </w:rPr>
        <w:t xml:space="preserve">Ct </w:t>
      </w:r>
      <w:r w:rsidR="00537CB8">
        <w:rPr>
          <w:rFonts w:ascii="Arial" w:hAnsi="Arial" w:cs="Arial"/>
          <w:sz w:val="21"/>
          <w:szCs w:val="21"/>
        </w:rPr>
        <w:t>infection and pathogenesis</w:t>
      </w:r>
      <w:r w:rsidR="0012372D" w:rsidRPr="00955EFD">
        <w:rPr>
          <w:rFonts w:ascii="Arial" w:hAnsi="Arial" w:cs="Arial"/>
          <w:sz w:val="21"/>
          <w:szCs w:val="21"/>
        </w:rPr>
        <w:t xml:space="preserve"> </w:t>
      </w:r>
      <w:r w:rsidR="00537CB8">
        <w:rPr>
          <w:rFonts w:ascii="Arial" w:hAnsi="Arial" w:cs="Arial"/>
          <w:sz w:val="21"/>
          <w:szCs w:val="21"/>
        </w:rPr>
        <w:t>may</w:t>
      </w:r>
      <w:r w:rsidR="004671B2">
        <w:rPr>
          <w:rFonts w:ascii="Arial" w:hAnsi="Arial" w:cs="Arial"/>
          <w:sz w:val="21"/>
          <w:szCs w:val="21"/>
        </w:rPr>
        <w:t xml:space="preserve"> </w:t>
      </w:r>
      <w:r w:rsidR="00537CB8">
        <w:rPr>
          <w:rFonts w:ascii="Arial" w:hAnsi="Arial" w:cs="Arial"/>
          <w:sz w:val="21"/>
          <w:szCs w:val="21"/>
        </w:rPr>
        <w:t>be valuable</w:t>
      </w:r>
      <w:r w:rsidR="004671B2">
        <w:rPr>
          <w:rFonts w:ascii="Arial" w:hAnsi="Arial" w:cs="Arial"/>
          <w:sz w:val="21"/>
          <w:szCs w:val="21"/>
        </w:rPr>
        <w:t xml:space="preserve"> to</w:t>
      </w:r>
      <w:r w:rsidR="0012372D" w:rsidRPr="00955EFD">
        <w:rPr>
          <w:rFonts w:ascii="Arial" w:hAnsi="Arial" w:cs="Arial"/>
          <w:sz w:val="21"/>
          <w:szCs w:val="21"/>
        </w:rPr>
        <w:t xml:space="preserve"> policy makers</w:t>
      </w:r>
      <w:r w:rsidR="004671B2">
        <w:rPr>
          <w:rFonts w:ascii="Arial" w:hAnsi="Arial" w:cs="Arial"/>
          <w:sz w:val="21"/>
          <w:szCs w:val="21"/>
        </w:rPr>
        <w:t xml:space="preserve"> as they decide how best to </w:t>
      </w:r>
      <w:r w:rsidR="001F63F0">
        <w:rPr>
          <w:rFonts w:ascii="Arial" w:hAnsi="Arial" w:cs="Arial"/>
          <w:sz w:val="21"/>
          <w:szCs w:val="21"/>
        </w:rPr>
        <w:t xml:space="preserve">manage </w:t>
      </w:r>
      <w:r w:rsidR="004671B2">
        <w:rPr>
          <w:rFonts w:ascii="Arial" w:hAnsi="Arial" w:cs="Arial"/>
          <w:sz w:val="21"/>
          <w:szCs w:val="21"/>
        </w:rPr>
        <w:t>trachoma in the region</w:t>
      </w:r>
      <w:r w:rsidR="0012372D" w:rsidRPr="00955EFD">
        <w:rPr>
          <w:rFonts w:ascii="Arial" w:hAnsi="Arial" w:cs="Arial"/>
          <w:sz w:val="21"/>
          <w:szCs w:val="21"/>
        </w:rPr>
        <w:t>. Here, th</w:t>
      </w:r>
      <w:r w:rsidR="00DC1848">
        <w:rPr>
          <w:rFonts w:ascii="Arial" w:hAnsi="Arial" w:cs="Arial"/>
          <w:sz w:val="21"/>
          <w:szCs w:val="21"/>
        </w:rPr>
        <w:t>e measurement of th</w:t>
      </w:r>
      <w:r w:rsidR="0012372D" w:rsidRPr="00955EFD">
        <w:rPr>
          <w:rFonts w:ascii="Arial" w:hAnsi="Arial" w:cs="Arial"/>
          <w:sz w:val="21"/>
          <w:szCs w:val="21"/>
        </w:rPr>
        <w:t xml:space="preserve">ree markers (ocular </w:t>
      </w:r>
      <w:r w:rsidR="0012372D" w:rsidRPr="00955EFD">
        <w:rPr>
          <w:rFonts w:ascii="Arial" w:hAnsi="Arial" w:cs="Arial"/>
          <w:i/>
          <w:sz w:val="21"/>
          <w:szCs w:val="21"/>
        </w:rPr>
        <w:t xml:space="preserve">Ct </w:t>
      </w:r>
      <w:r w:rsidR="0012372D" w:rsidRPr="00955EFD">
        <w:rPr>
          <w:rFonts w:ascii="Arial" w:hAnsi="Arial" w:cs="Arial"/>
          <w:sz w:val="21"/>
          <w:szCs w:val="21"/>
        </w:rPr>
        <w:t xml:space="preserve">infection, anti-Pgp3 antibodies and conjunctival scarring) </w:t>
      </w:r>
      <w:r w:rsidR="00DC1848">
        <w:rPr>
          <w:rFonts w:ascii="Arial" w:hAnsi="Arial" w:cs="Arial"/>
          <w:sz w:val="21"/>
          <w:szCs w:val="21"/>
        </w:rPr>
        <w:t>was</w:t>
      </w:r>
      <w:r w:rsidR="00DC1848" w:rsidRPr="00955EFD">
        <w:rPr>
          <w:rFonts w:ascii="Arial" w:hAnsi="Arial" w:cs="Arial"/>
          <w:sz w:val="21"/>
          <w:szCs w:val="21"/>
        </w:rPr>
        <w:t xml:space="preserve"> </w:t>
      </w:r>
      <w:r w:rsidR="0012372D" w:rsidRPr="00955EFD">
        <w:rPr>
          <w:rFonts w:ascii="Arial" w:hAnsi="Arial" w:cs="Arial"/>
          <w:sz w:val="21"/>
          <w:szCs w:val="21"/>
        </w:rPr>
        <w:t>integrated with population-based prevalence</w:t>
      </w:r>
      <w:r w:rsidR="004671B2">
        <w:rPr>
          <w:rFonts w:ascii="Arial" w:hAnsi="Arial" w:cs="Arial"/>
          <w:sz w:val="21"/>
          <w:szCs w:val="21"/>
        </w:rPr>
        <w:t>. The aims of this study were</w:t>
      </w:r>
      <w:r w:rsidR="00274AD4">
        <w:rPr>
          <w:rFonts w:ascii="Arial" w:hAnsi="Arial" w:cs="Arial"/>
          <w:sz w:val="21"/>
          <w:szCs w:val="21"/>
        </w:rPr>
        <w:t xml:space="preserve"> </w:t>
      </w:r>
      <w:r w:rsidR="004671B2">
        <w:rPr>
          <w:rFonts w:ascii="Arial" w:hAnsi="Arial" w:cs="Arial"/>
          <w:sz w:val="21"/>
          <w:szCs w:val="21"/>
        </w:rPr>
        <w:t xml:space="preserve">to demonstrate the utility of non-TF markers and use those markers to </w:t>
      </w:r>
      <w:r w:rsidR="00537CB8">
        <w:rPr>
          <w:rFonts w:ascii="Arial" w:hAnsi="Arial" w:cs="Arial"/>
          <w:sz w:val="21"/>
          <w:szCs w:val="21"/>
        </w:rPr>
        <w:t>contrast</w:t>
      </w:r>
      <w:r w:rsidR="004671B2">
        <w:rPr>
          <w:rFonts w:ascii="Arial" w:hAnsi="Arial" w:cs="Arial"/>
          <w:sz w:val="21"/>
          <w:szCs w:val="21"/>
        </w:rPr>
        <w:t xml:space="preserve"> the relationship between </w:t>
      </w:r>
      <w:r w:rsidR="004671B2">
        <w:rPr>
          <w:rFonts w:ascii="Arial" w:hAnsi="Arial" w:cs="Arial"/>
          <w:sz w:val="21"/>
          <w:szCs w:val="21"/>
        </w:rPr>
        <w:lastRenderedPageBreak/>
        <w:t xml:space="preserve">TF and ocular </w:t>
      </w:r>
      <w:r w:rsidR="004671B2">
        <w:rPr>
          <w:rFonts w:ascii="Arial" w:hAnsi="Arial" w:cs="Arial"/>
          <w:i/>
          <w:sz w:val="21"/>
          <w:szCs w:val="21"/>
        </w:rPr>
        <w:t xml:space="preserve">Ct </w:t>
      </w:r>
      <w:r w:rsidR="004671B2">
        <w:rPr>
          <w:rFonts w:ascii="Arial" w:hAnsi="Arial" w:cs="Arial"/>
          <w:sz w:val="21"/>
          <w:szCs w:val="21"/>
        </w:rPr>
        <w:t>infection in Van</w:t>
      </w:r>
      <w:r w:rsidR="003450D2">
        <w:rPr>
          <w:rFonts w:ascii="Arial" w:hAnsi="Arial" w:cs="Arial"/>
          <w:sz w:val="21"/>
          <w:szCs w:val="21"/>
        </w:rPr>
        <w:t>uatu</w:t>
      </w:r>
      <w:r w:rsidR="00537CB8">
        <w:rPr>
          <w:rFonts w:ascii="Arial" w:hAnsi="Arial" w:cs="Arial"/>
          <w:sz w:val="21"/>
          <w:szCs w:val="21"/>
        </w:rPr>
        <w:t xml:space="preserve">, where infection is suspected to be rare, to </w:t>
      </w:r>
      <w:r w:rsidR="001F63F0">
        <w:rPr>
          <w:rFonts w:ascii="Arial" w:hAnsi="Arial" w:cs="Arial"/>
          <w:sz w:val="21"/>
          <w:szCs w:val="21"/>
        </w:rPr>
        <w:t xml:space="preserve">that in </w:t>
      </w:r>
      <w:r w:rsidR="00537CB8">
        <w:rPr>
          <w:rFonts w:ascii="Arial" w:hAnsi="Arial" w:cs="Arial"/>
          <w:sz w:val="21"/>
          <w:szCs w:val="21"/>
        </w:rPr>
        <w:t xml:space="preserve">Kiribati, </w:t>
      </w:r>
      <w:r w:rsidR="003450D2">
        <w:rPr>
          <w:rFonts w:ascii="Arial" w:hAnsi="Arial" w:cs="Arial"/>
          <w:sz w:val="21"/>
          <w:szCs w:val="21"/>
        </w:rPr>
        <w:t>a neighbouring country where infection is suspected to be more common</w:t>
      </w:r>
      <w:r w:rsidR="004671B2">
        <w:rPr>
          <w:rFonts w:ascii="Arial" w:hAnsi="Arial" w:cs="Arial"/>
          <w:sz w:val="21"/>
          <w:szCs w:val="21"/>
        </w:rPr>
        <w:t xml:space="preserve">. </w:t>
      </w:r>
    </w:p>
    <w:p w14:paraId="51CF92E7" w14:textId="77777777" w:rsidR="00955EFD" w:rsidRDefault="00955EFD" w:rsidP="008B5BE3">
      <w:pPr>
        <w:spacing w:line="480" w:lineRule="auto"/>
        <w:rPr>
          <w:rFonts w:ascii="Arial" w:hAnsi="Arial" w:cs="Arial"/>
          <w:b/>
          <w:sz w:val="21"/>
          <w:szCs w:val="21"/>
        </w:rPr>
      </w:pPr>
      <w:r>
        <w:rPr>
          <w:rFonts w:ascii="Arial" w:hAnsi="Arial" w:cs="Arial"/>
          <w:b/>
          <w:sz w:val="21"/>
          <w:szCs w:val="21"/>
        </w:rPr>
        <w:br w:type="page"/>
      </w:r>
    </w:p>
    <w:p w14:paraId="65720A35" w14:textId="2835D98C" w:rsidR="0012372D" w:rsidRPr="00955EFD" w:rsidRDefault="0012372D" w:rsidP="008B5BE3">
      <w:pPr>
        <w:spacing w:line="480" w:lineRule="auto"/>
        <w:jc w:val="both"/>
        <w:rPr>
          <w:rFonts w:ascii="Arial" w:hAnsi="Arial" w:cs="Arial"/>
          <w:b/>
          <w:sz w:val="21"/>
          <w:szCs w:val="21"/>
        </w:rPr>
      </w:pPr>
      <w:r w:rsidRPr="00955EFD">
        <w:rPr>
          <w:rFonts w:ascii="Arial" w:hAnsi="Arial" w:cs="Arial"/>
          <w:b/>
          <w:sz w:val="21"/>
          <w:szCs w:val="21"/>
        </w:rPr>
        <w:lastRenderedPageBreak/>
        <w:t>M</w:t>
      </w:r>
      <w:r w:rsidR="001F336C">
        <w:rPr>
          <w:rFonts w:ascii="Arial" w:hAnsi="Arial" w:cs="Arial"/>
          <w:b/>
          <w:sz w:val="21"/>
          <w:szCs w:val="21"/>
        </w:rPr>
        <w:t>aterials and m</w:t>
      </w:r>
      <w:r w:rsidRPr="00955EFD">
        <w:rPr>
          <w:rFonts w:ascii="Arial" w:hAnsi="Arial" w:cs="Arial"/>
          <w:b/>
          <w:sz w:val="21"/>
          <w:szCs w:val="21"/>
        </w:rPr>
        <w:t>ethods</w:t>
      </w:r>
    </w:p>
    <w:p w14:paraId="670EDFA0" w14:textId="5AD0E34F" w:rsidR="0012372D" w:rsidRPr="00955EFD" w:rsidRDefault="0012372D" w:rsidP="008B5BE3">
      <w:pPr>
        <w:spacing w:line="480" w:lineRule="auto"/>
        <w:jc w:val="both"/>
        <w:rPr>
          <w:rFonts w:ascii="Arial" w:hAnsi="Arial" w:cs="Arial"/>
          <w:b/>
          <w:sz w:val="21"/>
          <w:szCs w:val="21"/>
        </w:rPr>
      </w:pPr>
    </w:p>
    <w:p w14:paraId="1AAD3DCB" w14:textId="34B072A9" w:rsidR="0012372D" w:rsidRPr="00955EFD" w:rsidRDefault="0012372D" w:rsidP="008B5BE3">
      <w:pPr>
        <w:spacing w:line="480" w:lineRule="auto"/>
        <w:jc w:val="both"/>
        <w:rPr>
          <w:rFonts w:ascii="Arial" w:hAnsi="Arial" w:cs="Arial"/>
          <w:sz w:val="21"/>
          <w:szCs w:val="21"/>
          <w:u w:val="single"/>
        </w:rPr>
      </w:pPr>
      <w:r w:rsidRPr="00955EFD">
        <w:rPr>
          <w:rFonts w:ascii="Arial" w:hAnsi="Arial" w:cs="Arial"/>
          <w:sz w:val="21"/>
          <w:szCs w:val="21"/>
          <w:u w:val="single"/>
        </w:rPr>
        <w:t>Study ethics and consent procedure</w:t>
      </w:r>
    </w:p>
    <w:p w14:paraId="552E1D25" w14:textId="652105BB" w:rsidR="0012372D" w:rsidRPr="00955EFD" w:rsidRDefault="0012372D" w:rsidP="008B5BE3">
      <w:pPr>
        <w:spacing w:line="480" w:lineRule="auto"/>
        <w:jc w:val="both"/>
        <w:rPr>
          <w:rFonts w:ascii="Arial" w:hAnsi="Arial" w:cs="Arial"/>
          <w:sz w:val="21"/>
          <w:szCs w:val="21"/>
          <w:u w:val="single"/>
        </w:rPr>
      </w:pPr>
    </w:p>
    <w:p w14:paraId="3EE5C959" w14:textId="19C91FD3" w:rsidR="0012372D" w:rsidRPr="00955EFD" w:rsidRDefault="0012372D" w:rsidP="008B5BE3">
      <w:pPr>
        <w:spacing w:line="480" w:lineRule="auto"/>
        <w:jc w:val="both"/>
        <w:rPr>
          <w:rFonts w:ascii="Arial" w:hAnsi="Arial" w:cs="Arial"/>
          <w:sz w:val="21"/>
          <w:szCs w:val="21"/>
        </w:rPr>
      </w:pPr>
      <w:r w:rsidRPr="00955EFD">
        <w:rPr>
          <w:rFonts w:ascii="Arial" w:hAnsi="Arial" w:cs="Arial"/>
          <w:sz w:val="21"/>
          <w:szCs w:val="21"/>
        </w:rPr>
        <w:t>The study was approved by the London School of Hygiene &amp; Tropical Medicine (</w:t>
      </w:r>
      <w:r w:rsidR="00D37109">
        <w:rPr>
          <w:rFonts w:ascii="Arial" w:hAnsi="Arial" w:cs="Arial"/>
          <w:sz w:val="21"/>
          <w:szCs w:val="21"/>
        </w:rPr>
        <w:t xml:space="preserve">LSHTM; </w:t>
      </w:r>
      <w:r w:rsidR="004F74B9" w:rsidRPr="00955EFD">
        <w:rPr>
          <w:rFonts w:ascii="Arial" w:hAnsi="Arial" w:cs="Arial"/>
          <w:sz w:val="21"/>
          <w:szCs w:val="21"/>
        </w:rPr>
        <w:t>11158)</w:t>
      </w:r>
      <w:r w:rsidRPr="00955EFD">
        <w:rPr>
          <w:rFonts w:ascii="Arial" w:hAnsi="Arial" w:cs="Arial"/>
          <w:sz w:val="21"/>
          <w:szCs w:val="21"/>
        </w:rPr>
        <w:t xml:space="preserve">, the Vanuatu </w:t>
      </w:r>
      <w:r w:rsidR="004F74B9" w:rsidRPr="00955EFD">
        <w:rPr>
          <w:rFonts w:ascii="Arial" w:hAnsi="Arial" w:cs="Arial"/>
          <w:sz w:val="21"/>
          <w:szCs w:val="21"/>
        </w:rPr>
        <w:t>National Ethics Review Board (MOH/DG 01/21 GKT-</w:t>
      </w:r>
      <w:proofErr w:type="spellStart"/>
      <w:r w:rsidR="004F74B9" w:rsidRPr="00955EFD">
        <w:rPr>
          <w:rFonts w:ascii="Arial" w:hAnsi="Arial" w:cs="Arial"/>
          <w:sz w:val="21"/>
          <w:szCs w:val="21"/>
        </w:rPr>
        <w:t>lr</w:t>
      </w:r>
      <w:proofErr w:type="spellEnd"/>
      <w:r w:rsidR="004F74B9" w:rsidRPr="00955EFD">
        <w:rPr>
          <w:rFonts w:ascii="Arial" w:hAnsi="Arial" w:cs="Arial"/>
          <w:sz w:val="21"/>
          <w:szCs w:val="21"/>
        </w:rPr>
        <w:t>)</w:t>
      </w:r>
      <w:r w:rsidRPr="00955EFD">
        <w:rPr>
          <w:rFonts w:ascii="Arial" w:hAnsi="Arial" w:cs="Arial"/>
          <w:sz w:val="21"/>
          <w:szCs w:val="21"/>
        </w:rPr>
        <w:t xml:space="preserve"> and the Kiribati Ministry of Health</w:t>
      </w:r>
      <w:r w:rsidR="004F74B9" w:rsidRPr="00955EFD">
        <w:rPr>
          <w:rFonts w:ascii="Arial" w:hAnsi="Arial" w:cs="Arial"/>
          <w:sz w:val="21"/>
          <w:szCs w:val="21"/>
        </w:rPr>
        <w:t xml:space="preserve"> and Medical Services</w:t>
      </w:r>
      <w:r w:rsidRPr="00955EFD">
        <w:rPr>
          <w:rFonts w:ascii="Arial" w:hAnsi="Arial" w:cs="Arial"/>
          <w:sz w:val="21"/>
          <w:szCs w:val="21"/>
        </w:rPr>
        <w:t xml:space="preserve"> (</w:t>
      </w:r>
      <w:r w:rsidR="004F74B9" w:rsidRPr="00955EFD">
        <w:rPr>
          <w:rFonts w:ascii="Arial" w:hAnsi="Arial" w:cs="Arial"/>
          <w:sz w:val="21"/>
          <w:szCs w:val="21"/>
        </w:rPr>
        <w:t>25/05/16</w:t>
      </w:r>
      <w:r w:rsidRPr="00955EFD">
        <w:rPr>
          <w:rFonts w:ascii="Arial" w:hAnsi="Arial" w:cs="Arial"/>
          <w:sz w:val="21"/>
          <w:szCs w:val="21"/>
        </w:rPr>
        <w:t>)</w:t>
      </w:r>
      <w:r w:rsidR="004F74B9" w:rsidRPr="00955EFD">
        <w:rPr>
          <w:rFonts w:ascii="Arial" w:hAnsi="Arial" w:cs="Arial"/>
          <w:sz w:val="21"/>
          <w:szCs w:val="21"/>
        </w:rPr>
        <w:t>. The study was described verbally to all participants in local language</w:t>
      </w:r>
      <w:r w:rsidR="001F63F0">
        <w:rPr>
          <w:rFonts w:ascii="Arial" w:hAnsi="Arial" w:cs="Arial"/>
          <w:sz w:val="21"/>
          <w:szCs w:val="21"/>
        </w:rPr>
        <w:t>s</w:t>
      </w:r>
      <w:r w:rsidR="004F74B9" w:rsidRPr="00955EFD">
        <w:rPr>
          <w:rFonts w:ascii="Arial" w:hAnsi="Arial" w:cs="Arial"/>
          <w:sz w:val="21"/>
          <w:szCs w:val="21"/>
        </w:rPr>
        <w:t xml:space="preserve"> prior to enrol</w:t>
      </w:r>
      <w:r w:rsidR="001F63F0">
        <w:rPr>
          <w:rFonts w:ascii="Arial" w:hAnsi="Arial" w:cs="Arial"/>
          <w:sz w:val="21"/>
          <w:szCs w:val="21"/>
        </w:rPr>
        <w:t>ment</w:t>
      </w:r>
      <w:r w:rsidR="004F74B9" w:rsidRPr="00955EFD">
        <w:rPr>
          <w:rFonts w:ascii="Arial" w:hAnsi="Arial" w:cs="Arial"/>
          <w:sz w:val="21"/>
          <w:szCs w:val="21"/>
        </w:rPr>
        <w:t>. All participants provide</w:t>
      </w:r>
      <w:r w:rsidR="001F63F0">
        <w:rPr>
          <w:rFonts w:ascii="Arial" w:hAnsi="Arial" w:cs="Arial"/>
          <w:sz w:val="21"/>
          <w:szCs w:val="21"/>
        </w:rPr>
        <w:t>d</w:t>
      </w:r>
      <w:r w:rsidR="004F74B9" w:rsidRPr="00955EFD">
        <w:rPr>
          <w:rFonts w:ascii="Arial" w:hAnsi="Arial" w:cs="Arial"/>
          <w:sz w:val="21"/>
          <w:szCs w:val="21"/>
        </w:rPr>
        <w:t xml:space="preserve"> written consent to take part in the study. For those under the age of 18</w:t>
      </w:r>
      <w:r w:rsidR="001F63F0">
        <w:rPr>
          <w:rFonts w:ascii="Arial" w:hAnsi="Arial" w:cs="Arial"/>
          <w:sz w:val="21"/>
          <w:szCs w:val="21"/>
        </w:rPr>
        <w:t xml:space="preserve"> years</w:t>
      </w:r>
      <w:r w:rsidR="004F74B9" w:rsidRPr="00955EFD">
        <w:rPr>
          <w:rFonts w:ascii="Arial" w:hAnsi="Arial" w:cs="Arial"/>
          <w:sz w:val="21"/>
          <w:szCs w:val="21"/>
        </w:rPr>
        <w:t xml:space="preserve">, a parent or guardian provided written consent on their behalf. Those with </w:t>
      </w:r>
      <w:r w:rsidR="00574173">
        <w:rPr>
          <w:rFonts w:ascii="Arial" w:hAnsi="Arial" w:cs="Arial"/>
          <w:sz w:val="21"/>
          <w:szCs w:val="21"/>
        </w:rPr>
        <w:t xml:space="preserve">clinical </w:t>
      </w:r>
      <w:r w:rsidR="004F74B9" w:rsidRPr="00955EFD">
        <w:rPr>
          <w:rFonts w:ascii="Arial" w:hAnsi="Arial" w:cs="Arial"/>
          <w:sz w:val="21"/>
          <w:szCs w:val="21"/>
        </w:rPr>
        <w:t xml:space="preserve">signs of trachoma </w:t>
      </w:r>
      <w:r w:rsidR="00574173">
        <w:rPr>
          <w:rFonts w:ascii="Arial" w:hAnsi="Arial" w:cs="Arial"/>
          <w:sz w:val="21"/>
          <w:szCs w:val="21"/>
        </w:rPr>
        <w:t xml:space="preserve">were treated in accordance with regional guidelines. </w:t>
      </w:r>
    </w:p>
    <w:p w14:paraId="217ADC87" w14:textId="016AF319" w:rsidR="004F74B9" w:rsidRPr="00955EFD" w:rsidRDefault="004F74B9" w:rsidP="008B5BE3">
      <w:pPr>
        <w:spacing w:line="480" w:lineRule="auto"/>
        <w:jc w:val="both"/>
        <w:rPr>
          <w:rFonts w:ascii="Arial" w:hAnsi="Arial" w:cs="Arial"/>
          <w:sz w:val="21"/>
          <w:szCs w:val="21"/>
        </w:rPr>
      </w:pPr>
    </w:p>
    <w:p w14:paraId="7EFCC791" w14:textId="3BF32ADC" w:rsidR="004F74B9" w:rsidRPr="00955EFD" w:rsidRDefault="004F74B9" w:rsidP="008B5BE3">
      <w:pPr>
        <w:spacing w:line="480" w:lineRule="auto"/>
        <w:jc w:val="both"/>
        <w:rPr>
          <w:rFonts w:ascii="Arial" w:hAnsi="Arial" w:cs="Arial"/>
          <w:sz w:val="21"/>
          <w:szCs w:val="21"/>
          <w:u w:val="single"/>
        </w:rPr>
      </w:pPr>
      <w:r w:rsidRPr="00955EFD">
        <w:rPr>
          <w:rFonts w:ascii="Arial" w:hAnsi="Arial" w:cs="Arial"/>
          <w:sz w:val="21"/>
          <w:szCs w:val="21"/>
          <w:u w:val="single"/>
        </w:rPr>
        <w:t>Study design</w:t>
      </w:r>
    </w:p>
    <w:p w14:paraId="7AC00945" w14:textId="3430839E" w:rsidR="004F74B9" w:rsidRPr="00955EFD" w:rsidRDefault="004F74B9" w:rsidP="008B5BE3">
      <w:pPr>
        <w:spacing w:line="480" w:lineRule="auto"/>
        <w:jc w:val="both"/>
        <w:rPr>
          <w:rFonts w:ascii="Arial" w:hAnsi="Arial" w:cs="Arial"/>
          <w:sz w:val="21"/>
          <w:szCs w:val="21"/>
          <w:u w:val="single"/>
        </w:rPr>
      </w:pPr>
    </w:p>
    <w:p w14:paraId="4C702ECC" w14:textId="5D6E1377" w:rsidR="00FD487B" w:rsidRPr="00AE7F56" w:rsidRDefault="004F74B9" w:rsidP="008B5BE3">
      <w:pPr>
        <w:spacing w:line="480" w:lineRule="auto"/>
        <w:jc w:val="both"/>
        <w:rPr>
          <w:rFonts w:ascii="Arial" w:hAnsi="Arial" w:cs="Arial"/>
          <w:color w:val="000000" w:themeColor="text1"/>
          <w:sz w:val="21"/>
          <w:szCs w:val="21"/>
        </w:rPr>
      </w:pPr>
      <w:r w:rsidRPr="00955EFD">
        <w:rPr>
          <w:rFonts w:ascii="Arial" w:hAnsi="Arial" w:cs="Arial"/>
          <w:color w:val="000000" w:themeColor="text1"/>
          <w:sz w:val="21"/>
          <w:szCs w:val="21"/>
        </w:rPr>
        <w:t>Population-based prevalence surveys were undertaken in two evaluation units</w:t>
      </w:r>
      <w:r w:rsidR="003450D2">
        <w:rPr>
          <w:rFonts w:ascii="Arial" w:hAnsi="Arial" w:cs="Arial"/>
          <w:color w:val="000000" w:themeColor="text1"/>
          <w:sz w:val="21"/>
          <w:szCs w:val="21"/>
        </w:rPr>
        <w:t>:</w:t>
      </w:r>
      <w:r w:rsidRPr="00955EFD">
        <w:rPr>
          <w:rFonts w:ascii="Arial" w:hAnsi="Arial" w:cs="Arial"/>
          <w:color w:val="000000" w:themeColor="text1"/>
          <w:sz w:val="21"/>
          <w:szCs w:val="21"/>
        </w:rPr>
        <w:t xml:space="preserve"> the island of Tarawa in Kiribati</w:t>
      </w:r>
      <w:r w:rsidR="00CF5723" w:rsidRPr="00955EFD">
        <w:rPr>
          <w:rFonts w:ascii="Arial" w:hAnsi="Arial" w:cs="Arial"/>
          <w:color w:val="000000" w:themeColor="text1"/>
          <w:sz w:val="21"/>
          <w:szCs w:val="21"/>
        </w:rPr>
        <w:t xml:space="preserve"> and the country of Vanuatu (with urban centres of Port Vila and Luganville excluded)</w:t>
      </w:r>
      <w:r w:rsidRPr="00955EFD">
        <w:rPr>
          <w:rFonts w:ascii="Arial" w:hAnsi="Arial" w:cs="Arial"/>
          <w:color w:val="000000" w:themeColor="text1"/>
          <w:sz w:val="21"/>
          <w:szCs w:val="21"/>
        </w:rPr>
        <w:t xml:space="preserve">. </w:t>
      </w:r>
      <w:r w:rsidR="0020416B">
        <w:rPr>
          <w:rFonts w:ascii="Arial" w:hAnsi="Arial" w:cs="Arial"/>
          <w:color w:val="000000" w:themeColor="text1"/>
          <w:sz w:val="21"/>
          <w:szCs w:val="21"/>
        </w:rPr>
        <w:t xml:space="preserve">The sample was designed to meet </w:t>
      </w:r>
      <w:r w:rsidR="006B0D0F">
        <w:rPr>
          <w:rFonts w:ascii="Arial" w:hAnsi="Arial" w:cs="Arial"/>
          <w:color w:val="000000" w:themeColor="text1"/>
          <w:sz w:val="21"/>
          <w:szCs w:val="21"/>
        </w:rPr>
        <w:t>contemporary</w:t>
      </w:r>
      <w:r w:rsidR="0020416B">
        <w:rPr>
          <w:rFonts w:ascii="Arial" w:hAnsi="Arial" w:cs="Arial"/>
          <w:color w:val="000000" w:themeColor="text1"/>
          <w:sz w:val="21"/>
          <w:szCs w:val="21"/>
        </w:rPr>
        <w:t xml:space="preserve"> international standards for pre-MDA trachoma mapping.</w:t>
      </w:r>
      <w:r w:rsidR="006B0D0F">
        <w:rPr>
          <w:rFonts w:ascii="Arial" w:hAnsi="Arial" w:cs="Arial"/>
          <w:color w:val="000000" w:themeColor="text1"/>
          <w:sz w:val="21"/>
          <w:szCs w:val="21"/>
        </w:rPr>
        <w:t xml:space="preserve"> The design of the study, including sample size target, cluster selection and household selection</w:t>
      </w:r>
      <w:r w:rsidR="0020416B">
        <w:rPr>
          <w:rFonts w:ascii="Arial" w:hAnsi="Arial" w:cs="Arial"/>
          <w:color w:val="000000" w:themeColor="text1"/>
          <w:sz w:val="21"/>
          <w:szCs w:val="21"/>
        </w:rPr>
        <w:t xml:space="preserve"> </w:t>
      </w:r>
      <w:r w:rsidR="006B0D0F">
        <w:rPr>
          <w:rFonts w:ascii="Arial" w:hAnsi="Arial" w:cs="Arial"/>
          <w:color w:val="000000" w:themeColor="text1"/>
          <w:sz w:val="21"/>
          <w:szCs w:val="21"/>
        </w:rPr>
        <w:t xml:space="preserve">methodologies were matched to those of the Global Trachoma Mapping Project (GTMP) </w:t>
      </w:r>
      <w:r w:rsidR="006B0D0F">
        <w:rPr>
          <w:rFonts w:ascii="Arial" w:hAnsi="Arial" w:cs="Arial"/>
          <w:color w:val="000000" w:themeColor="text1"/>
          <w:sz w:val="21"/>
          <w:szCs w:val="21"/>
        </w:rPr>
        <w:fldChar w:fldCharType="begin" w:fldLock="1"/>
      </w:r>
      <w:r w:rsidR="005C6653">
        <w:rPr>
          <w:rFonts w:ascii="Arial" w:hAnsi="Arial" w:cs="Arial"/>
          <w:color w:val="000000" w:themeColor="text1"/>
          <w:sz w:val="21"/>
          <w:szCs w:val="21"/>
        </w:rPr>
        <w:instrText>ADDIN CSL_CITATION {"citationItems":[{"id":"ITEM-1","itemData":{"ISBN":"0928-6586","ISSN":"1744-5086","PMID":"26158580","abstract":"PURPOSE: To complete the baseline trachoma map worldwide by conducting population-based surveys in an estimated 1238 suspected endemic districts of 34 countries. METHODS: A series of national and sub-national projects owned, managed and staffed by ministries of health, conduct house-to-house cluster random sample surveys in evaluation units, which generally correspond to \"health district\" size: populations of 100,000-250,000 people. In each evaluation unit, we invite all residents aged 1 year and older from h households in each of c clusters to be examined for clinical signs of trachoma, where h is the number of households that can be seen by 1 team in 1 day, and the product h × c is calculated to facilitate recruitment of 1019 children aged 1-9 years. In addition to individual-level demographic and clinical data, household-level water, sanitation and hygiene data are entered into the purpose-built LINKS application on Android smartphones, transmitted to the Cloud, and cleaned, analyzed and ministry-of-health-approved via a secure web-based portal. The main outcome measures are the evaluation unit-level prevalence of follicular trachoma in children aged 1-9 years, prevalence of trachomatous trichiasis in adults aged 15 + years, percentage of households using safe methods for disposal of human feces, and percentage of households with proximate access to water for personal hygiene purposes. RESULTS: In the first year of fieldwork, 347 field teams commenced work in 21 projects in 7 countries. CONCLUSION: With an approach that is innovative in design and scale, we aim to complete baseline mapping of trachoma throughout the world in 2015.","author":[{"dropping-particle":"","family":"Solomon","given":"Anthony W","non-dropping-particle":"","parse-names":false,"suffix":""},{"dropping-particle":"","family":"Pavluck","given":"Alexandre L","non-dropping-particle":"","parse-names":false,"suffix":""},{"dropping-particle":"","family":"Courtright","given":"Paul","non-dropping-particle":"","parse-names":false,"suffix":""},{"dropping-particle":"","family":"Aboe","given":"Agatha","non-dropping-particle":"","parse-names":false,"suffix":""},{"dropping-particle":"","family":"Adamu","given":"Liknaw","non-dropping-particle":"","parse-names":false,"suffix":""},{"dropping-particle":"","family":"Alemayehu","given":"Wondu","non-dropping-particle":"","parse-names":false,"suffix":""},{"dropping-particle":"","family":"Alemu","given":"Menbere","non-dropping-particle":"","parse-names":false,"suffix":""},{"dropping-particle":"","family":"Alexander","given":"Neal D E","non-dropping-particle":"","parse-names":false,"suffix":""},{"dropping-particle":"","family":"Kello","given":"Amir Bedri","non-dropping-particle":"","parse-names":false,"suffix":""},{"dropping-particle":"","family":"Bero","given":"Berhanu","non-dropping-particle":"","parse-names":false,"suffix":""},{"dropping-particle":"","family":"Brooker","given":"Simon J","non-dropping-particle":"","parse-names":false,"suffix":""},{"dropping-particle":"","family":"Chu","given":"Brian K","non-dropping-particle":"","parse-names":false,"suffix":""},{"dropping-particle":"","family":"Dejene","given":"Michael","non-dropping-particle":"","parse-names":false,"suffix":""},{"dropping-particle":"","family":"Emerson","given":"Paul M","non-dropping-particle":"","parse-names":false,"suffix":""},{"dropping-particle":"","family":"Flueckiger","given":"Rebecca M","non-dropping-particle":"","parse-names":false,"suffix":""},{"dropping-particle":"","family":"Gadisa","given":"Solomon","non-dropping-particle":"","parse-names":false,"suffix":""},{"dropping-particle":"","family":"Gass","given":"Katherine","non-dropping-particle":"","parse-names":false,"suffix":""},{"dropping-particle":"","family":"Gebre","given":"Teshome","non-dropping-particle":"","parse-names":false,"suffix":""},{"dropping-particle":"","family":"Habtamu","given":"Zelalem","non-dropping-particle":"","parse-names":false,"suffix":""},{"dropping-particle":"","family":"Harvey","given":"Erik","non-dropping-particle":"","parse-names":false,"suffix":""},{"dropping-particle":"","family":"Haslam","given":"Dominic","non-dropping-particle":"","parse-names":false,"suffix":""},{"dropping-particle":"","family":"King","given":"Jonathan D","non-dropping-particle":"","parse-names":false,"suffix":""},{"dropping-particle":"","family":"Mesurier","given":"Richard","non-dropping-particle":"Le","parse-names":false,"suffix":""},{"dropping-particle":"","family":"Lewallen","given":"Susan","non-dropping-particle":"","parse-names":false,"suffix":""},{"dropping-particle":"","family":"Lietman","given":"Thomas M","non-dropping-particle":"","parse-names":false,"suffix":""},{"dropping-particle":"","family":"MacArthur","given":"Chad","non-dropping-particle":"","parse-names":false,"suffix":""},{"dropping-particle":"","family":"Mariotti","given":"Silvio P","non-dropping-particle":"","parse-names":false,"suffix":""},{"dropping-particle":"","family":"Massey","given":"Anna","non-dropping-particle":"","parse-names":false,"suffix":""},{"dropping-particle":"","family":"Mathieu","given":"Els","non-dropping-particle":"","parse-names":false,"suffix":""},{"dropping-particle":"","family":"Mekasha","given":"Addis","non-dropping-particle":"","parse-names":false,"suffix":""},{"dropping-particle":"","family":"Millar","given":"Tom","non-dropping-particle":"","parse-names":false,"suffix":""},{"dropping-particle":"","family":"Mpyet","given":"Caleb","non-dropping-particle":"","parse-names":false,"suffix":""},{"dropping-particle":"","family":"Munoz","given":"Beatriz E","non-dropping-particle":"","parse-names":false,"suffix":""},{"dropping-particle":"","family":"Ngondi","given":"Jeremiah","non-dropping-particle":"","parse-names":false,"suffix":""},{"dropping-particle":"","family":"Ogden","given":"Stephanie","non-dropping-particle":"","parse-names":false,"suffix":""},{"dropping-particle":"","family":"Pearce","given":"Joseph","non-dropping-particle":"","parse-names":false,"suffix":""},{"dropping-particle":"","family":"Sarah","given":"Virginia","non-dropping-particle":"","parse-names":false,"suffix":""},{"dropping-particle":"","family":"Sisay","given":"Alemayehu","non-dropping-particle":"","parse-names":false,"suffix":""},{"dropping-particle":"","family":"Smith","given":"Jennifer L","non-dropping-particle":"","parse-names":false,"suffix":""},{"dropping-particle":"","family":"Taylor","given":"Hugh R","non-dropping-particle":"","parse-names":false,"suffix":""},{"dropping-particle":"","family":"Thomson","given":"Jo","non-dropping-particle":"","parse-names":false,"suffix":""},{"dropping-particle":"","family":"West","given":"Sheila K","non-dropping-particle":"","parse-names":false,"suffix":""},{"dropping-particle":"","family":"Willis","given":"Rebecca","non-dropping-particle":"","parse-names":false,"suffix":""},{"dropping-particle":"","family":"Bush","given":"Simon","non-dropping-particle":"","parse-names":false,"suffix":""},{"dropping-particle":"","family":"Haddad","given":"Danny","non-dropping-particle":"","parse-names":false,"suffix":""},{"dropping-particle":"","family":"Foster","given":"Allen","non-dropping-particle":"","parse-names":false,"suffix":""},{"dropping-particle":"Le","family":"Mesurier","given":"Richard","non-dropping-particle":"","parse-names":false,"suffix":""},{"dropping-particle":"","family":"Lewallen","given":"Susan","non-dropping-particle":"","parse-names":false,"suffix":""},{"dropping-particle":"","family":"Lietman","given":"Thomas M","non-dropping-particle":"","parse-names":false,"suffix":""},{"dropping-particle":"","family":"MacArthur","given":"Chad","non-dropping-particle":"","parse-names":false,"suffix":""},{"dropping-particle":"","family":"Mariotti","given":"Silvio P","non-dropping-particle":"","parse-names":false,"suffix":""},{"dropping-particle":"","family":"Massey","given":"Anna","non-dropping-particle":"","parse-names":false,"suffix":""},{"dropping-particle":"","family":"Mathieu","given":"Els","non-dropping-particle":"","parse-names":false,"suffix":""},{"dropping-particle":"","family":"Mekasha","given":"Addis","non-dropping-particle":"","parse-names":false,"suffix":""},{"dropping-particle":"","family":"Millar","given":"Tom","non-dropping-particle":"","parse-names":false,"suffix":""},{"dropping-particle":"","family":"Mpyet","given":"Caleb","non-dropping-particle":"","parse-names":false,"suffix":""},{"dropping-particle":"","family":"Muñoz","given":"Beatriz E","non-dropping-particle":"","parse-names":false,"suffix":""},{"dropping-particle":"","family":"Ngondi","given":"Jeremiah","non-dropping-particle":"","parse-names":false,"suffix":""},{"dropping-particle":"","family":"Ogden","given":"Stephanie","non-dropping-particle":"","parse-names":false,"suffix":""},{"dropping-particle":"","family":"Pearce","given":"Joseph","non-dropping-particle":"","parse-names":false,"suffix":""},{"dropping-particle":"","family":"Sarah","given":"Virginia","non-dropping-particle":"","parse-names":false,"suffix":""},{"dropping-particle":"","family":"Sisay","given":"Alemayehu","non-dropping-particle":"","parse-names":false,"suffix":""},{"dropping-particle":"","family":"Smith","given":"Jennifer L","non-dropping-particle":"","parse-names":false,"suffix":""},{"dropping-particle":"","family":"Taylor","given":"Hugh R","non-dropping-particle":"","parse-names":false,"suffix":""},{"dropping-particle":"","family":"Thomson","given":"Jo","non-dropping-particle":"","parse-names":false,"suffix":""},{"dropping-particle":"","family":"West","given":"Sheila K","non-dropping-particle":"","parse-names":false,"suffix":""},{"dropping-particle":"","family":"Willis","given":"Rebecca","non-dropping-particle":"","parse-names":false,"suffix":""},{"dropping-particle":"","family":"Bush","given":"Simon","non-dropping-particle":"","parse-names":false,"suffix":""},{"dropping-particle":"","family":"Haddad","given":"Danny","non-dropping-particle":"","parse-names":false,"suffix":""},{"dropping-particle":"","family":"Foster","given":"Allen","non-dropping-particle":"","parse-names":false,"suffix":""}],"container-title":"Ophthalmic Epidemiology","id":"ITEM-1","issue":"3","issued":{"date-parts":[["2015"]]},"note":"From Duplicate 2 (The Global Trachoma Mapping Project: Methodology of a 34-Country Population-Based Study - Solomon, Anthony W; Pavluck, Alexandre L; Courtright, Paul; Aboe, Agatha; Adamu, Liknaw; Alemayehu, Wondu; Alemu, Menbere; Alexander, Neal D E; Kello, Amir Bedri; Bero, Berhanu; Brooker, Simon J; Chu, Brian K; Dejene, Michael; Emerson, Paul M; Flueckiger, Rebecca M; Gadisa, Solomon; Gass, Katherine; Gebre, Teshome; Habtamu, Zelalem; Harvey, Erik; Haslam, Dominic; King, Jonathan D; Le Mesurier, Richard; Lewallen, Susan; Lietman, Thomas M; MacArthur, Chad; Mariotti, Silvio P; Massey, Anna; Mathieu, Els; Mekasha, Addis; Millar, Tom; Mpyet, Caleb; Munoz, Beatriz E; Ngondi, Jeremiah; Ogden, Stephanie; Pearce, Joseph; Sarah, Virginia; Sisay, Alemayehu; Smith, Jennifer L; Taylor, Hugh R; Thomson, Jo; West, Sheila K; Willis, Rebecca; Bush, Simon; Haddad, Danny; Foster, Allen)\n\nTimes Cited: 5\nSi\n0\n5\n1744-5086","page":"214-25","title":"The Global Trachoma Mapping Project: Methodology of a 34-Country Population-Based Study.","type":"article-journal","volume":"22"},"uris":["http://www.mendeley.com/documents/?uuid=135c551d-5996-49db-98e7-f23d235b29ec"]}],"mendeley":{"formattedCitation":"[19]","plainTextFormattedCitation":"[19]","previouslyFormattedCitation":"[19]"},"properties":{"noteIndex":0},"schema":"https://github.com/citation-style-language/schema/raw/master/csl-citation.json"}</w:instrText>
      </w:r>
      <w:r w:rsidR="006B0D0F">
        <w:rPr>
          <w:rFonts w:ascii="Arial" w:hAnsi="Arial" w:cs="Arial"/>
          <w:color w:val="000000" w:themeColor="text1"/>
          <w:sz w:val="21"/>
          <w:szCs w:val="21"/>
        </w:rPr>
        <w:fldChar w:fldCharType="separate"/>
      </w:r>
      <w:r w:rsidR="005C6653" w:rsidRPr="005C6653">
        <w:rPr>
          <w:rFonts w:ascii="Arial" w:hAnsi="Arial" w:cs="Arial"/>
          <w:noProof/>
          <w:color w:val="000000" w:themeColor="text1"/>
          <w:sz w:val="21"/>
          <w:szCs w:val="21"/>
        </w:rPr>
        <w:t>[19]</w:t>
      </w:r>
      <w:r w:rsidR="006B0D0F">
        <w:rPr>
          <w:rFonts w:ascii="Arial" w:hAnsi="Arial" w:cs="Arial"/>
          <w:color w:val="000000" w:themeColor="text1"/>
          <w:sz w:val="21"/>
          <w:szCs w:val="21"/>
        </w:rPr>
        <w:fldChar w:fldCharType="end"/>
      </w:r>
      <w:r w:rsidR="00DC1848">
        <w:rPr>
          <w:rFonts w:ascii="Arial" w:hAnsi="Arial" w:cs="Arial"/>
          <w:color w:val="000000" w:themeColor="text1"/>
          <w:sz w:val="21"/>
          <w:szCs w:val="21"/>
        </w:rPr>
        <w:t>, therefore we aimed to enrol 1018 children aged 1–9 years per EU.</w:t>
      </w:r>
      <w:r w:rsidR="00CF5723" w:rsidRPr="00955EFD">
        <w:rPr>
          <w:rFonts w:ascii="Arial" w:hAnsi="Arial" w:cs="Arial"/>
          <w:color w:val="000000" w:themeColor="text1"/>
          <w:sz w:val="21"/>
          <w:szCs w:val="21"/>
        </w:rPr>
        <w:t xml:space="preserve"> </w:t>
      </w:r>
      <w:r w:rsidR="00F41798">
        <w:rPr>
          <w:rFonts w:ascii="Arial" w:hAnsi="Arial" w:cs="Arial"/>
          <w:color w:val="000000" w:themeColor="text1"/>
          <w:sz w:val="21"/>
          <w:szCs w:val="21"/>
        </w:rPr>
        <w:t xml:space="preserve">The number of households per cluster was chosen based on the number that could be feasibly examined in one day (25 in Tarawa, 30 in Vanuatu) and the number of clusters was determined by the number that would yield the appropriate sample size, based on </w:t>
      </w:r>
      <w:r w:rsidR="006B0D0F">
        <w:rPr>
          <w:rFonts w:ascii="Arial" w:hAnsi="Arial" w:cs="Arial"/>
          <w:color w:val="000000" w:themeColor="text1"/>
          <w:sz w:val="21"/>
          <w:szCs w:val="21"/>
        </w:rPr>
        <w:t>the expected number of children per household in recent census data</w:t>
      </w:r>
      <w:r w:rsidR="00F41798">
        <w:rPr>
          <w:rFonts w:ascii="Arial" w:hAnsi="Arial" w:cs="Arial"/>
          <w:color w:val="000000" w:themeColor="text1"/>
          <w:sz w:val="21"/>
          <w:szCs w:val="21"/>
        </w:rPr>
        <w:t xml:space="preserve"> (28 </w:t>
      </w:r>
      <w:r w:rsidR="0018184B">
        <w:rPr>
          <w:rFonts w:ascii="Arial" w:hAnsi="Arial" w:cs="Arial"/>
          <w:color w:val="000000" w:themeColor="text1"/>
          <w:sz w:val="21"/>
          <w:szCs w:val="21"/>
        </w:rPr>
        <w:t xml:space="preserve">clusters </w:t>
      </w:r>
      <w:r w:rsidR="00F41798">
        <w:rPr>
          <w:rFonts w:ascii="Arial" w:hAnsi="Arial" w:cs="Arial"/>
          <w:color w:val="000000" w:themeColor="text1"/>
          <w:sz w:val="21"/>
          <w:szCs w:val="21"/>
        </w:rPr>
        <w:t>in Tarawa, 36 in Vanuatu).</w:t>
      </w:r>
    </w:p>
    <w:p w14:paraId="167B3B14" w14:textId="77777777" w:rsidR="00FD487B" w:rsidRDefault="00FD487B" w:rsidP="008B5BE3">
      <w:pPr>
        <w:spacing w:line="480" w:lineRule="auto"/>
        <w:jc w:val="both"/>
        <w:rPr>
          <w:rFonts w:ascii="Arial" w:hAnsi="Arial" w:cs="Arial"/>
          <w:sz w:val="21"/>
          <w:szCs w:val="21"/>
        </w:rPr>
      </w:pPr>
    </w:p>
    <w:p w14:paraId="44361F70" w14:textId="68C54498" w:rsidR="004F74B9" w:rsidRPr="00955EFD" w:rsidRDefault="00FD487B" w:rsidP="008B5BE3">
      <w:pPr>
        <w:spacing w:line="480" w:lineRule="auto"/>
        <w:jc w:val="both"/>
        <w:rPr>
          <w:rFonts w:ascii="Arial" w:hAnsi="Arial" w:cs="Arial"/>
          <w:sz w:val="21"/>
          <w:szCs w:val="21"/>
        </w:rPr>
      </w:pPr>
      <w:r>
        <w:rPr>
          <w:rFonts w:ascii="Arial" w:hAnsi="Arial" w:cs="Arial"/>
          <w:sz w:val="21"/>
          <w:szCs w:val="21"/>
        </w:rPr>
        <w:t>The survey in Tarawa took place in August–September 2016</w:t>
      </w:r>
      <w:r w:rsidR="0018184B">
        <w:rPr>
          <w:rFonts w:ascii="Arial" w:hAnsi="Arial" w:cs="Arial"/>
          <w:sz w:val="21"/>
          <w:szCs w:val="21"/>
        </w:rPr>
        <w:t>. T</w:t>
      </w:r>
      <w:r>
        <w:rPr>
          <w:rFonts w:ascii="Arial" w:hAnsi="Arial" w:cs="Arial"/>
          <w:sz w:val="21"/>
          <w:szCs w:val="21"/>
        </w:rPr>
        <w:t xml:space="preserve">he survey in Vanuatu took place in June–July 2016. Both surveys </w:t>
      </w:r>
      <w:r w:rsidR="0018184B">
        <w:rPr>
          <w:rFonts w:ascii="Arial" w:hAnsi="Arial" w:cs="Arial"/>
          <w:sz w:val="21"/>
          <w:szCs w:val="21"/>
        </w:rPr>
        <w:t>were completed</w:t>
      </w:r>
      <w:r>
        <w:rPr>
          <w:rFonts w:ascii="Arial" w:hAnsi="Arial" w:cs="Arial"/>
          <w:sz w:val="21"/>
          <w:szCs w:val="21"/>
        </w:rPr>
        <w:t xml:space="preserve"> prior to any nationwide </w:t>
      </w:r>
      <w:r w:rsidR="00B60655">
        <w:rPr>
          <w:rFonts w:ascii="Arial" w:hAnsi="Arial" w:cs="Arial"/>
          <w:sz w:val="21"/>
          <w:szCs w:val="21"/>
        </w:rPr>
        <w:t xml:space="preserve">intervention for </w:t>
      </w:r>
      <w:r>
        <w:rPr>
          <w:rFonts w:ascii="Arial" w:hAnsi="Arial" w:cs="Arial"/>
          <w:sz w:val="21"/>
          <w:szCs w:val="21"/>
        </w:rPr>
        <w:t xml:space="preserve">trachoma. In Vanuatu, mass drug administration </w:t>
      </w:r>
      <w:r w:rsidR="0018184B">
        <w:rPr>
          <w:rFonts w:ascii="Arial" w:hAnsi="Arial" w:cs="Arial"/>
          <w:sz w:val="21"/>
          <w:szCs w:val="21"/>
        </w:rPr>
        <w:t xml:space="preserve">of </w:t>
      </w:r>
      <w:r>
        <w:rPr>
          <w:rFonts w:ascii="Arial" w:hAnsi="Arial" w:cs="Arial"/>
          <w:sz w:val="21"/>
          <w:szCs w:val="21"/>
        </w:rPr>
        <w:t>azithromycin (at a dose of 30 mg/kg</w:t>
      </w:r>
      <w:r w:rsidR="006E2E21">
        <w:rPr>
          <w:rFonts w:ascii="Arial" w:hAnsi="Arial" w:cs="Arial"/>
          <w:sz w:val="21"/>
          <w:szCs w:val="21"/>
        </w:rPr>
        <w:t xml:space="preserve"> to a maximum of 2</w:t>
      </w:r>
      <w:r w:rsidR="003B4636">
        <w:rPr>
          <w:rFonts w:ascii="Arial" w:hAnsi="Arial" w:cs="Arial"/>
          <w:sz w:val="21"/>
          <w:szCs w:val="21"/>
        </w:rPr>
        <w:t xml:space="preserve"> g</w:t>
      </w:r>
      <w:r>
        <w:rPr>
          <w:rFonts w:ascii="Arial" w:hAnsi="Arial" w:cs="Arial"/>
          <w:sz w:val="21"/>
          <w:szCs w:val="21"/>
        </w:rPr>
        <w:t xml:space="preserve">) had taken place in </w:t>
      </w:r>
      <w:proofErr w:type="spellStart"/>
      <w:r>
        <w:rPr>
          <w:rFonts w:ascii="Arial" w:hAnsi="Arial" w:cs="Arial"/>
          <w:sz w:val="21"/>
          <w:szCs w:val="21"/>
        </w:rPr>
        <w:t>Tafea</w:t>
      </w:r>
      <w:proofErr w:type="spellEnd"/>
      <w:r>
        <w:rPr>
          <w:rFonts w:ascii="Arial" w:hAnsi="Arial" w:cs="Arial"/>
          <w:sz w:val="21"/>
          <w:szCs w:val="21"/>
        </w:rPr>
        <w:t xml:space="preserve"> Province, the southern part of </w:t>
      </w:r>
      <w:proofErr w:type="spellStart"/>
      <w:r>
        <w:rPr>
          <w:rFonts w:ascii="Arial" w:hAnsi="Arial" w:cs="Arial"/>
          <w:sz w:val="21"/>
          <w:szCs w:val="21"/>
        </w:rPr>
        <w:t>Malekula</w:t>
      </w:r>
      <w:proofErr w:type="spellEnd"/>
      <w:r>
        <w:rPr>
          <w:rFonts w:ascii="Arial" w:hAnsi="Arial" w:cs="Arial"/>
          <w:sz w:val="21"/>
          <w:szCs w:val="21"/>
        </w:rPr>
        <w:t xml:space="preserve"> island and the southern part of Espiritu Santo island in 2012 to control yaws. </w:t>
      </w:r>
    </w:p>
    <w:p w14:paraId="55919DB2" w14:textId="4E5BA90E" w:rsidR="000351A1" w:rsidRPr="00955EFD" w:rsidRDefault="000351A1" w:rsidP="008B5BE3">
      <w:pPr>
        <w:spacing w:line="480" w:lineRule="auto"/>
        <w:jc w:val="both"/>
        <w:rPr>
          <w:rFonts w:ascii="Arial" w:hAnsi="Arial" w:cs="Arial"/>
          <w:color w:val="000000" w:themeColor="text1"/>
          <w:sz w:val="21"/>
          <w:szCs w:val="21"/>
        </w:rPr>
      </w:pPr>
    </w:p>
    <w:p w14:paraId="4C522F10" w14:textId="499EBFB3" w:rsidR="000351A1" w:rsidRPr="00955EFD" w:rsidRDefault="000351A1" w:rsidP="008B5BE3">
      <w:pPr>
        <w:spacing w:line="480" w:lineRule="auto"/>
        <w:jc w:val="both"/>
        <w:rPr>
          <w:rFonts w:ascii="Arial" w:hAnsi="Arial" w:cs="Arial"/>
          <w:sz w:val="21"/>
          <w:szCs w:val="21"/>
          <w:u w:val="single"/>
        </w:rPr>
      </w:pPr>
      <w:r w:rsidRPr="00955EFD">
        <w:rPr>
          <w:rFonts w:ascii="Arial" w:hAnsi="Arial" w:cs="Arial"/>
          <w:sz w:val="21"/>
          <w:szCs w:val="21"/>
          <w:u w:val="single"/>
        </w:rPr>
        <w:lastRenderedPageBreak/>
        <w:t xml:space="preserve">Clinical examination </w:t>
      </w:r>
    </w:p>
    <w:p w14:paraId="344F444F" w14:textId="77777777" w:rsidR="000351A1" w:rsidRPr="00955EFD" w:rsidRDefault="000351A1" w:rsidP="008B5BE3">
      <w:pPr>
        <w:spacing w:line="480" w:lineRule="auto"/>
        <w:jc w:val="both"/>
        <w:rPr>
          <w:rFonts w:ascii="Arial" w:hAnsi="Arial" w:cs="Arial"/>
          <w:sz w:val="21"/>
          <w:szCs w:val="21"/>
          <w:u w:val="single"/>
        </w:rPr>
      </w:pPr>
    </w:p>
    <w:p w14:paraId="07E4683C" w14:textId="0F560917" w:rsidR="000351A1" w:rsidRPr="00955EFD" w:rsidRDefault="000351A1" w:rsidP="008B5BE3">
      <w:pPr>
        <w:spacing w:line="480" w:lineRule="auto"/>
        <w:jc w:val="both"/>
        <w:rPr>
          <w:rFonts w:ascii="Arial" w:hAnsi="Arial" w:cs="Arial"/>
          <w:sz w:val="21"/>
          <w:szCs w:val="21"/>
        </w:rPr>
      </w:pPr>
      <w:r w:rsidRPr="00955EFD">
        <w:rPr>
          <w:rFonts w:ascii="Arial" w:hAnsi="Arial" w:cs="Arial"/>
          <w:sz w:val="21"/>
          <w:szCs w:val="21"/>
        </w:rPr>
        <w:t xml:space="preserve">Nurses with experience in grading trachoma were </w:t>
      </w:r>
      <w:r w:rsidR="00F41798">
        <w:rPr>
          <w:rFonts w:ascii="Arial" w:hAnsi="Arial" w:cs="Arial"/>
          <w:sz w:val="21"/>
          <w:szCs w:val="21"/>
        </w:rPr>
        <w:t>re-</w:t>
      </w:r>
      <w:r w:rsidRPr="00955EFD">
        <w:rPr>
          <w:rFonts w:ascii="Arial" w:hAnsi="Arial" w:cs="Arial"/>
          <w:sz w:val="21"/>
          <w:szCs w:val="21"/>
        </w:rPr>
        <w:t>trained to evert eyelids, to collect swabs and to grade three key disease signs from the WHO simplified grading system: TF, TI  and TT</w:t>
      </w:r>
      <w:r w:rsidR="0020416B">
        <w:rPr>
          <w:rFonts w:ascii="Arial" w:hAnsi="Arial" w:cs="Arial"/>
          <w:sz w:val="21"/>
          <w:szCs w:val="21"/>
        </w:rPr>
        <w:t xml:space="preserve"> </w:t>
      </w:r>
      <w:r w:rsidR="0020416B">
        <w:rPr>
          <w:rFonts w:ascii="Arial" w:hAnsi="Arial" w:cs="Arial"/>
          <w:sz w:val="21"/>
          <w:szCs w:val="21"/>
        </w:rPr>
        <w:fldChar w:fldCharType="begin" w:fldLock="1"/>
      </w:r>
      <w:r w:rsidR="005C6653">
        <w:rPr>
          <w:rFonts w:ascii="Arial" w:hAnsi="Arial" w:cs="Arial"/>
          <w:sz w:val="21"/>
          <w:szCs w:val="21"/>
        </w:rPr>
        <w:instrText>ADDIN CSL_CITATION {"citationItems":[{"id":"ITEM-1","itemData":{"ISBN":"0042-9686","ISSN":"0042-9686","PMID":"3500800","abstract":"A simple grading system for trachoma, based on the presence or absence of five selected \"key\" signs, has been developed. The method was tested in the field and showed good observer agreement, the most critical point being the identification of severe cases of the disease. It is expected that the system will facilitate the assessment of trachoma and its complications by non-specialist health personnel working at the community level.","author":[{"dropping-particle":"","family":"Thylefors","given":"B","non-dropping-particle":"","parse-names":false,"suffix":""},{"dropping-particle":"","family":"Dawson","given":"C R","non-dropping-particle":"","parse-names":false,"suffix":""},{"dropping-particle":"","family":"Jones","given":"B R","non-dropping-particle":"","parse-names":false,"suffix":""},{"dropping-particle":"","family":"West","given":"S K","non-dropping-particle":"","parse-names":false,"suffix":""},{"dropping-particle":"","family":"Taylor","given":"H R","non-dropping-particle":"","parse-names":false,"suffix":""}],"container-title":"Bulletin of the World Health Organization","id":"ITEM-1","issue":"4","issued":{"date-parts":[["1987"]]},"note":"From Duplicate 1 (A SIMPLE SYSTEM FOR THE ASSESSMENT OF TRACHOMA AND ITS COMPLICATIONS - Thylefors, B; Dawson, C R; Jones, B R; West, S K; Taylor, H R)\n\nTimes Cited: 395\n16\n404","page":"477-83","title":"A simple system for the assessment of trachoma and its complications.","type":"article-journal","volume":"65"},"uris":["http://www.mendeley.com/documents/?uuid=9989cae4-f79e-4095-ad58-aff37cb99862"]}],"mendeley":{"formattedCitation":"[5]","plainTextFormattedCitation":"[5]","previouslyFormattedCitation":"[5]"},"properties":{"noteIndex":0},"schema":"https://github.com/citation-style-language/schema/raw/master/csl-citation.json"}</w:instrText>
      </w:r>
      <w:r w:rsidR="0020416B">
        <w:rPr>
          <w:rFonts w:ascii="Arial" w:hAnsi="Arial" w:cs="Arial"/>
          <w:sz w:val="21"/>
          <w:szCs w:val="21"/>
        </w:rPr>
        <w:fldChar w:fldCharType="separate"/>
      </w:r>
      <w:r w:rsidR="005C6653" w:rsidRPr="005C6653">
        <w:rPr>
          <w:rFonts w:ascii="Arial" w:hAnsi="Arial" w:cs="Arial"/>
          <w:noProof/>
          <w:sz w:val="21"/>
          <w:szCs w:val="21"/>
        </w:rPr>
        <w:t>[5]</w:t>
      </w:r>
      <w:r w:rsidR="0020416B">
        <w:rPr>
          <w:rFonts w:ascii="Arial" w:hAnsi="Arial" w:cs="Arial"/>
          <w:sz w:val="21"/>
          <w:szCs w:val="21"/>
        </w:rPr>
        <w:fldChar w:fldCharType="end"/>
      </w:r>
      <w:r w:rsidRPr="00955EFD">
        <w:rPr>
          <w:rFonts w:ascii="Arial" w:hAnsi="Arial" w:cs="Arial"/>
          <w:sz w:val="21"/>
          <w:szCs w:val="21"/>
        </w:rPr>
        <w:t xml:space="preserve">. Graders were </w:t>
      </w:r>
      <w:r w:rsidR="0018184B">
        <w:rPr>
          <w:rFonts w:ascii="Arial" w:hAnsi="Arial" w:cs="Arial"/>
          <w:sz w:val="21"/>
          <w:szCs w:val="21"/>
        </w:rPr>
        <w:t>certified prior to survey fieldwork</w:t>
      </w:r>
      <w:r w:rsidR="0018184B" w:rsidRPr="00955EFD">
        <w:rPr>
          <w:rFonts w:ascii="Arial" w:hAnsi="Arial" w:cs="Arial"/>
          <w:sz w:val="21"/>
          <w:szCs w:val="21"/>
        </w:rPr>
        <w:t xml:space="preserve"> </w:t>
      </w:r>
      <w:r w:rsidR="00D46E10">
        <w:rPr>
          <w:rFonts w:ascii="Arial" w:hAnsi="Arial" w:cs="Arial"/>
          <w:sz w:val="21"/>
          <w:szCs w:val="21"/>
        </w:rPr>
        <w:t>using the</w:t>
      </w:r>
      <w:r w:rsidRPr="00955EFD">
        <w:rPr>
          <w:rFonts w:ascii="Arial" w:hAnsi="Arial" w:cs="Arial"/>
          <w:sz w:val="21"/>
          <w:szCs w:val="21"/>
        </w:rPr>
        <w:t xml:space="preserve"> GTMP grader train</w:t>
      </w:r>
      <w:r w:rsidR="00D46E10">
        <w:rPr>
          <w:rFonts w:ascii="Arial" w:hAnsi="Arial" w:cs="Arial"/>
          <w:sz w:val="21"/>
          <w:szCs w:val="21"/>
        </w:rPr>
        <w:t>ing scheme</w:t>
      </w:r>
      <w:r w:rsidRPr="00955EFD">
        <w:rPr>
          <w:rFonts w:ascii="Arial" w:hAnsi="Arial" w:cs="Arial"/>
          <w:sz w:val="21"/>
          <w:szCs w:val="21"/>
        </w:rPr>
        <w:t xml:space="preserve"> </w:t>
      </w:r>
      <w:r w:rsidR="0020416B">
        <w:rPr>
          <w:rFonts w:ascii="Arial" w:hAnsi="Arial" w:cs="Arial"/>
          <w:sz w:val="21"/>
          <w:szCs w:val="21"/>
        </w:rPr>
        <w:fldChar w:fldCharType="begin" w:fldLock="1"/>
      </w:r>
      <w:r w:rsidR="005C6653">
        <w:rPr>
          <w:rFonts w:ascii="Arial" w:hAnsi="Arial" w:cs="Arial"/>
          <w:sz w:val="21"/>
          <w:szCs w:val="21"/>
        </w:rPr>
        <w:instrText>ADDIN CSL_CITATION {"citationItems":[{"id":"ITEM-1","itemData":{"ISBN":"0928-6586","ISSN":"1744-5086","PMID":"26158580","abstract":"PURPOSE: To complete the baseline trachoma map worldwide by conducting population-based surveys in an estimated 1238 suspected endemic districts of 34 countries. METHODS: A series of national and sub-national projects owned, managed and staffed by ministries of health, conduct house-to-house cluster random sample surveys in evaluation units, which generally correspond to \"health district\" size: populations of 100,000-250,000 people. In each evaluation unit, we invite all residents aged 1 year and older from h households in each of c clusters to be examined for clinical signs of trachoma, where h is the number of households that can be seen by 1 team in 1 day, and the product h × c is calculated to facilitate recruitment of 1019 children aged 1-9 years. In addition to individual-level demographic and clinical data, household-level water, sanitation and hygiene data are entered into the purpose-built LINKS application on Android smartphones, transmitted to the Cloud, and cleaned, analyzed and ministry-of-health-approved via a secure web-based portal. The main outcome measures are the evaluation unit-level prevalence of follicular trachoma in children aged 1-9 years, prevalence of trachomatous trichiasis in adults aged 15 + years, percentage of households using safe methods for disposal of human feces, and percentage of households with proximate access to water for personal hygiene purposes. RESULTS: In the first year of fieldwork, 347 field teams commenced work in 21 projects in 7 countries. CONCLUSION: With an approach that is innovative in design and scale, we aim to complete baseline mapping of trachoma throughout the world in 2015.","author":[{"dropping-particle":"","family":"Solomon","given":"Anthony W","non-dropping-particle":"","parse-names":false,"suffix":""},{"dropping-particle":"","family":"Pavluck","given":"Alexandre L","non-dropping-particle":"","parse-names":false,"suffix":""},{"dropping-particle":"","family":"Courtright","given":"Paul","non-dropping-particle":"","parse-names":false,"suffix":""},{"dropping-particle":"","family":"Aboe","given":"Agatha","non-dropping-particle":"","parse-names":false,"suffix":""},{"dropping-particle":"","family":"Adamu","given":"Liknaw","non-dropping-particle":"","parse-names":false,"suffix":""},{"dropping-particle":"","family":"Alemayehu","given":"Wondu","non-dropping-particle":"","parse-names":false,"suffix":""},{"dropping-particle":"","family":"Alemu","given":"Menbere","non-dropping-particle":"","parse-names":false,"suffix":""},{"dropping-particle":"","family":"Alexander","given":"Neal D E","non-dropping-particle":"","parse-names":false,"suffix":""},{"dropping-particle":"","family":"Kello","given":"Amir Bedri","non-dropping-particle":"","parse-names":false,"suffix":""},{"dropping-particle":"","family":"Bero","given":"Berhanu","non-dropping-particle":"","parse-names":false,"suffix":""},{"dropping-particle":"","family":"Brooker","given":"Simon J","non-dropping-particle":"","parse-names":false,"suffix":""},{"dropping-particle":"","family":"Chu","given":"Brian K","non-dropping-particle":"","parse-names":false,"suffix":""},{"dropping-particle":"","family":"Dejene","given":"Michael","non-dropping-particle":"","parse-names":false,"suffix":""},{"dropping-particle":"","family":"Emerson","given":"Paul M","non-dropping-particle":"","parse-names":false,"suffix":""},{"dropping-particle":"","family":"Flueckiger","given":"Rebecca M","non-dropping-particle":"","parse-names":false,"suffix":""},{"dropping-particle":"","family":"Gadisa","given":"Solomon","non-dropping-particle":"","parse-names":false,"suffix":""},{"dropping-particle":"","family":"Gass","given":"Katherine","non-dropping-particle":"","parse-names":false,"suffix":""},{"dropping-particle":"","family":"Gebre","given":"Teshome","non-dropping-particle":"","parse-names":false,"suffix":""},{"dropping-particle":"","family":"Habtamu","given":"Zelalem","non-dropping-particle":"","parse-names":false,"suffix":""},{"dropping-particle":"","family":"Harvey","given":"Erik","non-dropping-particle":"","parse-names":false,"suffix":""},{"dropping-particle":"","family":"Haslam","given":"Dominic","non-dropping-particle":"","parse-names":false,"suffix":""},{"dropping-particle":"","family":"King","given":"Jonathan D","non-dropping-particle":"","parse-names":false,"suffix":""},{"dropping-particle":"","family":"Mesurier","given":"Richard","non-dropping-particle":"Le","parse-names":false,"suffix":""},{"dropping-particle":"","family":"Lewallen","given":"Susan","non-dropping-particle":"","parse-names":false,"suffix":""},{"dropping-particle":"","family":"Lietman","given":"Thomas M","non-dropping-particle":"","parse-names":false,"suffix":""},{"dropping-particle":"","family":"MacArthur","given":"Chad","non-dropping-particle":"","parse-names":false,"suffix":""},{"dropping-particle":"","family":"Mariotti","given":"Silvio P","non-dropping-particle":"","parse-names":false,"suffix":""},{"dropping-particle":"","family":"Massey","given":"Anna","non-dropping-particle":"","parse-names":false,"suffix":""},{"dropping-particle":"","family":"Mathieu","given":"Els","non-dropping-particle":"","parse-names":false,"suffix":""},{"dropping-particle":"","family":"Mekasha","given":"Addis","non-dropping-particle":"","parse-names":false,"suffix":""},{"dropping-particle":"","family":"Millar","given":"Tom","non-dropping-particle":"","parse-names":false,"suffix":""},{"dropping-particle":"","family":"Mpyet","given":"Caleb","non-dropping-particle":"","parse-names":false,"suffix":""},{"dropping-particle":"","family":"Munoz","given":"Beatriz E","non-dropping-particle":"","parse-names":false,"suffix":""},{"dropping-particle":"","family":"Ngondi","given":"Jeremiah","non-dropping-particle":"","parse-names":false,"suffix":""},{"dropping-particle":"","family":"Ogden","given":"Stephanie","non-dropping-particle":"","parse-names":false,"suffix":""},{"dropping-particle":"","family":"Pearce","given":"Joseph","non-dropping-particle":"","parse-names":false,"suffix":""},{"dropping-particle":"","family":"Sarah","given":"Virginia","non-dropping-particle":"","parse-names":false,"suffix":""},{"dropping-particle":"","family":"Sisay","given":"Alemayehu","non-dropping-particle":"","parse-names":false,"suffix":""},{"dropping-particle":"","family":"Smith","given":"Jennifer L","non-dropping-particle":"","parse-names":false,"suffix":""},{"dropping-particle":"","family":"Taylor","given":"Hugh R","non-dropping-particle":"","parse-names":false,"suffix":""},{"dropping-particle":"","family":"Thomson","given":"Jo","non-dropping-particle":"","parse-names":false,"suffix":""},{"dropping-particle":"","family":"West","given":"Sheila K","non-dropping-particle":"","parse-names":false,"suffix":""},{"dropping-particle":"","family":"Willis","given":"Rebecca","non-dropping-particle":"","parse-names":false,"suffix":""},{"dropping-particle":"","family":"Bush","given":"Simon","non-dropping-particle":"","parse-names":false,"suffix":""},{"dropping-particle":"","family":"Haddad","given":"Danny","non-dropping-particle":"","parse-names":false,"suffix":""},{"dropping-particle":"","family":"Foster","given":"Allen","non-dropping-particle":"","parse-names":false,"suffix":""},{"dropping-particle":"Le","family":"Mesurier","given":"Richard","non-dropping-particle":"","parse-names":false,"suffix":""},{"dropping-particle":"","family":"Lewallen","given":"Susan","non-dropping-particle":"","parse-names":false,"suffix":""},{"dropping-particle":"","family":"Lietman","given":"Thomas M","non-dropping-particle":"","parse-names":false,"suffix":""},{"dropping-particle":"","family":"MacArthur","given":"Chad","non-dropping-particle":"","parse-names":false,"suffix":""},{"dropping-particle":"","family":"Mariotti","given":"Silvio P","non-dropping-particle":"","parse-names":false,"suffix":""},{"dropping-particle":"","family":"Massey","given":"Anna","non-dropping-particle":"","parse-names":false,"suffix":""},{"dropping-particle":"","family":"Mathieu","given":"Els","non-dropping-particle":"","parse-names":false,"suffix":""},{"dropping-particle":"","family":"Mekasha","given":"Addis","non-dropping-particle":"","parse-names":false,"suffix":""},{"dropping-particle":"","family":"Millar","given":"Tom","non-dropping-particle":"","parse-names":false,"suffix":""},{"dropping-particle":"","family":"Mpyet","given":"Caleb","non-dropping-particle":"","parse-names":false,"suffix":""},{"dropping-particle":"","family":"Muñoz","given":"Beatriz E","non-dropping-particle":"","parse-names":false,"suffix":""},{"dropping-particle":"","family":"Ngondi","given":"Jeremiah","non-dropping-particle":"","parse-names":false,"suffix":""},{"dropping-particle":"","family":"Ogden","given":"Stephanie","non-dropping-particle":"","parse-names":false,"suffix":""},{"dropping-particle":"","family":"Pearce","given":"Joseph","non-dropping-particle":"","parse-names":false,"suffix":""},{"dropping-particle":"","family":"Sarah","given":"Virginia","non-dropping-particle":"","parse-names":false,"suffix":""},{"dropping-particle":"","family":"Sisay","given":"Alemayehu","non-dropping-particle":"","parse-names":false,"suffix":""},{"dropping-particle":"","family":"Smith","given":"Jennifer L","non-dropping-particle":"","parse-names":false,"suffix":""},{"dropping-particle":"","family":"Taylor","given":"Hugh R","non-dropping-particle":"","parse-names":false,"suffix":""},{"dropping-particle":"","family":"Thomson","given":"Jo","non-dropping-particle":"","parse-names":false,"suffix":""},{"dropping-particle":"","family":"West","given":"Sheila K","non-dropping-particle":"","parse-names":false,"suffix":""},{"dropping-particle":"","family":"Willis","given":"Rebecca","non-dropping-particle":"","parse-names":false,"suffix":""},{"dropping-particle":"","family":"Bush","given":"Simon","non-dropping-particle":"","parse-names":false,"suffix":""},{"dropping-particle":"","family":"Haddad","given":"Danny","non-dropping-particle":"","parse-names":false,"suffix":""},{"dropping-particle":"","family":"Foster","given":"Allen","non-dropping-particle":"","parse-names":false,"suffix":""}],"container-title":"Ophthalmic Epidemiology","id":"ITEM-1","issue":"3","issued":{"date-parts":[["2015"]]},"note":"From Duplicate 2 (The Global Trachoma Mapping Project: Methodology of a 34-Country Population-Based Study - Solomon, Anthony W; Pavluck, Alexandre L; Courtright, Paul; Aboe, Agatha; Adamu, Liknaw; Alemayehu, Wondu; Alemu, Menbere; Alexander, Neal D E; Kello, Amir Bedri; Bero, Berhanu; Brooker, Simon J; Chu, Brian K; Dejene, Michael; Emerson, Paul M; Flueckiger, Rebecca M; Gadisa, Solomon; Gass, Katherine; Gebre, Teshome; Habtamu, Zelalem; Harvey, Erik; Haslam, Dominic; King, Jonathan D; Le Mesurier, Richard; Lewallen, Susan; Lietman, Thomas M; MacArthur, Chad; Mariotti, Silvio P; Massey, Anna; Mathieu, Els; Mekasha, Addis; Millar, Tom; Mpyet, Caleb; Munoz, Beatriz E; Ngondi, Jeremiah; Ogden, Stephanie; Pearce, Joseph; Sarah, Virginia; Sisay, Alemayehu; Smith, Jennifer L; Taylor, Hugh R; Thomson, Jo; West, Sheila K; Willis, Rebecca; Bush, Simon; Haddad, Danny; Foster, Allen)\n\nTimes Cited: 5\nSi\n0\n5\n1744-5086","page":"214-25","title":"The Global Trachoma Mapping Project: Methodology of a 34-Country Population-Based Study.","type":"article-journal","volume":"22"},"uris":["http://www.mendeley.com/documents/?uuid=135c551d-5996-49db-98e7-f23d235b29ec"]}],"mendeley":{"formattedCitation":"[19]","plainTextFormattedCitation":"[19]","previouslyFormattedCitation":"[19]"},"properties":{"noteIndex":0},"schema":"https://github.com/citation-style-language/schema/raw/master/csl-citation.json"}</w:instrText>
      </w:r>
      <w:r w:rsidR="0020416B">
        <w:rPr>
          <w:rFonts w:ascii="Arial" w:hAnsi="Arial" w:cs="Arial"/>
          <w:sz w:val="21"/>
          <w:szCs w:val="21"/>
        </w:rPr>
        <w:fldChar w:fldCharType="separate"/>
      </w:r>
      <w:r w:rsidR="005C6653" w:rsidRPr="005C6653">
        <w:rPr>
          <w:rFonts w:ascii="Arial" w:hAnsi="Arial" w:cs="Arial"/>
          <w:noProof/>
          <w:sz w:val="21"/>
          <w:szCs w:val="21"/>
        </w:rPr>
        <w:t>[19]</w:t>
      </w:r>
      <w:r w:rsidR="0020416B">
        <w:rPr>
          <w:rFonts w:ascii="Arial" w:hAnsi="Arial" w:cs="Arial"/>
          <w:sz w:val="21"/>
          <w:szCs w:val="21"/>
        </w:rPr>
        <w:fldChar w:fldCharType="end"/>
      </w:r>
      <w:r w:rsidRPr="00955EFD">
        <w:rPr>
          <w:rFonts w:ascii="Arial" w:hAnsi="Arial" w:cs="Arial"/>
          <w:sz w:val="21"/>
          <w:szCs w:val="21"/>
        </w:rPr>
        <w:t xml:space="preserve">. </w:t>
      </w:r>
      <w:r w:rsidR="00AE7F56">
        <w:rPr>
          <w:rFonts w:ascii="Arial" w:hAnsi="Arial" w:cs="Arial"/>
          <w:sz w:val="21"/>
          <w:szCs w:val="21"/>
        </w:rPr>
        <w:t>D</w:t>
      </w:r>
      <w:r w:rsidR="00955EFD" w:rsidRPr="00955EFD">
        <w:rPr>
          <w:rFonts w:ascii="Arial" w:hAnsi="Arial" w:cs="Arial"/>
          <w:sz w:val="21"/>
          <w:szCs w:val="21"/>
        </w:rPr>
        <w:t>ata were recorded on smartphones using Open Data Kit (ODK</w:t>
      </w:r>
      <w:r w:rsidR="00D37109">
        <w:rPr>
          <w:rFonts w:ascii="Arial" w:hAnsi="Arial" w:cs="Arial"/>
          <w:sz w:val="21"/>
          <w:szCs w:val="21"/>
        </w:rPr>
        <w:t xml:space="preserve">; </w:t>
      </w:r>
      <w:r w:rsidR="00955EFD" w:rsidRPr="00955EFD">
        <w:rPr>
          <w:rFonts w:ascii="Arial" w:hAnsi="Arial" w:cs="Arial"/>
          <w:sz w:val="21"/>
          <w:szCs w:val="21"/>
        </w:rPr>
        <w:t>odk.lshtm.ac.uk</w:t>
      </w:r>
      <w:r w:rsidR="00D37109">
        <w:rPr>
          <w:rFonts w:ascii="Arial" w:hAnsi="Arial" w:cs="Arial"/>
          <w:sz w:val="21"/>
          <w:szCs w:val="21"/>
        </w:rPr>
        <w:t>)</w:t>
      </w:r>
      <w:r w:rsidR="00955EFD" w:rsidRPr="00955EFD">
        <w:rPr>
          <w:rFonts w:ascii="Arial" w:hAnsi="Arial" w:cs="Arial"/>
          <w:sz w:val="21"/>
          <w:szCs w:val="21"/>
        </w:rPr>
        <w:t xml:space="preserve"> and sent to servers at LSHTM for cleaning and curation. </w:t>
      </w:r>
      <w:r w:rsidR="008B342E">
        <w:rPr>
          <w:rFonts w:ascii="Arial" w:hAnsi="Arial" w:cs="Arial"/>
          <w:sz w:val="21"/>
          <w:szCs w:val="21"/>
        </w:rPr>
        <w:t xml:space="preserve">TF prevalence estimates were adjusted for age and gender in one-year age </w:t>
      </w:r>
      <w:r w:rsidR="00DC1848">
        <w:rPr>
          <w:rFonts w:ascii="Arial" w:hAnsi="Arial" w:cs="Arial"/>
          <w:sz w:val="21"/>
          <w:szCs w:val="21"/>
        </w:rPr>
        <w:t>categories</w:t>
      </w:r>
      <w:r w:rsidR="008B342E">
        <w:rPr>
          <w:rFonts w:ascii="Arial" w:hAnsi="Arial" w:cs="Arial"/>
          <w:sz w:val="21"/>
          <w:szCs w:val="21"/>
        </w:rPr>
        <w:t>, TT prevalence estimates were adjusted for age and gender in five</w:t>
      </w:r>
      <w:r w:rsidR="0018184B">
        <w:rPr>
          <w:rFonts w:ascii="Arial" w:hAnsi="Arial" w:cs="Arial"/>
          <w:sz w:val="21"/>
          <w:szCs w:val="21"/>
        </w:rPr>
        <w:t>-</w:t>
      </w:r>
      <w:r w:rsidR="008B342E">
        <w:rPr>
          <w:rFonts w:ascii="Arial" w:hAnsi="Arial" w:cs="Arial"/>
          <w:sz w:val="21"/>
          <w:szCs w:val="21"/>
        </w:rPr>
        <w:t xml:space="preserve">year age </w:t>
      </w:r>
      <w:r w:rsidR="00DC1848">
        <w:rPr>
          <w:rFonts w:ascii="Arial" w:hAnsi="Arial" w:cs="Arial"/>
          <w:sz w:val="21"/>
          <w:szCs w:val="21"/>
        </w:rPr>
        <w:t xml:space="preserve">categories </w:t>
      </w:r>
      <w:r w:rsidR="008B342E">
        <w:rPr>
          <w:rFonts w:ascii="Arial" w:hAnsi="Arial" w:cs="Arial"/>
          <w:sz w:val="21"/>
          <w:szCs w:val="21"/>
        </w:rPr>
        <w:t xml:space="preserve">according to most recent census data </w:t>
      </w:r>
      <w:r w:rsidR="008B342E">
        <w:rPr>
          <w:rFonts w:ascii="Arial" w:hAnsi="Arial" w:cs="Arial"/>
          <w:sz w:val="21"/>
          <w:szCs w:val="21"/>
        </w:rPr>
        <w:fldChar w:fldCharType="begin" w:fldLock="1"/>
      </w:r>
      <w:r w:rsidR="005C6653">
        <w:rPr>
          <w:rFonts w:ascii="Arial" w:hAnsi="Arial" w:cs="Arial"/>
          <w:sz w:val="21"/>
          <w:szCs w:val="21"/>
        </w:rPr>
        <w:instrText>ADDIN CSL_CITATION {"citationItems":[{"id":"ITEM-1","itemData":{"author":[{"dropping-particle":"","family":"Vanuatu National Statistics Office","given":"","non-dropping-particle":"","parse-names":false,"suffix":""}],"id":"ITEM-1","issue":"August","issued":{"date-parts":[["2009"]]},"title":"National Census of Population and Housing","type":"report"},"uris":["http://www.mendeley.com/documents/?uuid=64baeffc-dcf3-45e4-83d8-048926a78f98"]},{"id":"ITEM-2","itemData":{"author":[{"dropping-particle":"","family":"Kiribati National Statistics Office","given":"","non-dropping-particle":"","parse-names":false,"suffix":""}],"container-title":"National Statistics Office Ministry of Finance","id":"ITEM-2","issued":{"date-parts":[["2012"]]},"page":"1-227","title":"Kiribati 2010 Census of population and Housing","type":"article-journal","volume":"1"},"uris":["http://www.mendeley.com/documents/?uuid=816eeaca-c081-471a-93eb-013b6191841a"]}],"mendeley":{"formattedCitation":"[20,21]","plainTextFormattedCitation":"[20,21]","previouslyFormattedCitation":"[20,21]"},"properties":{"noteIndex":0},"schema":"https://github.com/citation-style-language/schema/raw/master/csl-citation.json"}</w:instrText>
      </w:r>
      <w:r w:rsidR="008B342E">
        <w:rPr>
          <w:rFonts w:ascii="Arial" w:hAnsi="Arial" w:cs="Arial"/>
          <w:sz w:val="21"/>
          <w:szCs w:val="21"/>
        </w:rPr>
        <w:fldChar w:fldCharType="separate"/>
      </w:r>
      <w:r w:rsidR="005C6653" w:rsidRPr="005C6653">
        <w:rPr>
          <w:rFonts w:ascii="Arial" w:hAnsi="Arial" w:cs="Arial"/>
          <w:noProof/>
          <w:sz w:val="21"/>
          <w:szCs w:val="21"/>
        </w:rPr>
        <w:t>[20,21]</w:t>
      </w:r>
      <w:r w:rsidR="008B342E">
        <w:rPr>
          <w:rFonts w:ascii="Arial" w:hAnsi="Arial" w:cs="Arial"/>
          <w:sz w:val="21"/>
          <w:szCs w:val="21"/>
        </w:rPr>
        <w:fldChar w:fldCharType="end"/>
      </w:r>
      <w:r w:rsidR="008B342E">
        <w:rPr>
          <w:rFonts w:ascii="Arial" w:hAnsi="Arial" w:cs="Arial"/>
          <w:sz w:val="21"/>
          <w:szCs w:val="21"/>
        </w:rPr>
        <w:t>.</w:t>
      </w:r>
    </w:p>
    <w:p w14:paraId="36BE9D21" w14:textId="77777777" w:rsidR="000351A1" w:rsidRPr="00955EFD" w:rsidRDefault="000351A1" w:rsidP="008B5BE3">
      <w:pPr>
        <w:spacing w:line="480" w:lineRule="auto"/>
        <w:jc w:val="both"/>
        <w:rPr>
          <w:rFonts w:ascii="Arial" w:hAnsi="Arial" w:cs="Arial"/>
          <w:sz w:val="21"/>
          <w:szCs w:val="21"/>
        </w:rPr>
      </w:pPr>
    </w:p>
    <w:p w14:paraId="3DF86455" w14:textId="7EB19C58" w:rsidR="000351A1" w:rsidRPr="00955EFD" w:rsidRDefault="00955EFD" w:rsidP="008B5BE3">
      <w:pPr>
        <w:spacing w:line="480" w:lineRule="auto"/>
        <w:jc w:val="both"/>
        <w:rPr>
          <w:rFonts w:ascii="Arial" w:hAnsi="Arial" w:cs="Arial"/>
          <w:sz w:val="21"/>
          <w:szCs w:val="21"/>
          <w:u w:val="single"/>
        </w:rPr>
      </w:pPr>
      <w:r>
        <w:rPr>
          <w:rFonts w:ascii="Arial" w:hAnsi="Arial" w:cs="Arial"/>
          <w:sz w:val="21"/>
          <w:szCs w:val="21"/>
          <w:u w:val="single"/>
        </w:rPr>
        <w:t>Conjunctival scarring</w:t>
      </w:r>
    </w:p>
    <w:p w14:paraId="52DE806F" w14:textId="77777777" w:rsidR="000351A1" w:rsidRPr="00955EFD" w:rsidRDefault="000351A1" w:rsidP="008B5BE3">
      <w:pPr>
        <w:spacing w:line="480" w:lineRule="auto"/>
        <w:jc w:val="both"/>
        <w:rPr>
          <w:rFonts w:ascii="Arial" w:hAnsi="Arial" w:cs="Arial"/>
          <w:sz w:val="21"/>
          <w:szCs w:val="21"/>
        </w:rPr>
      </w:pPr>
    </w:p>
    <w:p w14:paraId="40BBB644" w14:textId="51035896" w:rsidR="00D3307C" w:rsidRDefault="000351A1" w:rsidP="008B5BE3">
      <w:pPr>
        <w:spacing w:line="480" w:lineRule="auto"/>
        <w:jc w:val="both"/>
        <w:rPr>
          <w:rFonts w:ascii="Arial" w:hAnsi="Arial" w:cs="Arial"/>
          <w:sz w:val="21"/>
          <w:szCs w:val="21"/>
        </w:rPr>
      </w:pPr>
      <w:r w:rsidRPr="00955EFD">
        <w:rPr>
          <w:rFonts w:ascii="Arial" w:hAnsi="Arial" w:cs="Arial"/>
          <w:sz w:val="21"/>
          <w:szCs w:val="21"/>
        </w:rPr>
        <w:t xml:space="preserve">Following clinical examination of the right eye, a digital photograph was taken of the conjunctiva. </w:t>
      </w:r>
      <w:r w:rsidR="00955EFD">
        <w:rPr>
          <w:rFonts w:ascii="Arial" w:hAnsi="Arial" w:cs="Arial"/>
          <w:sz w:val="21"/>
          <w:szCs w:val="21"/>
        </w:rPr>
        <w:t xml:space="preserve">Photographs were linked to participant information and then reviewed </w:t>
      </w:r>
      <w:r w:rsidR="00973E3C">
        <w:rPr>
          <w:rFonts w:ascii="Arial" w:hAnsi="Arial" w:cs="Arial"/>
          <w:sz w:val="21"/>
          <w:szCs w:val="21"/>
        </w:rPr>
        <w:t xml:space="preserve">(masked to demographic details) </w:t>
      </w:r>
      <w:r w:rsidR="00955EFD">
        <w:rPr>
          <w:rFonts w:ascii="Arial" w:hAnsi="Arial" w:cs="Arial"/>
          <w:sz w:val="21"/>
          <w:szCs w:val="21"/>
        </w:rPr>
        <w:t>by two</w:t>
      </w:r>
      <w:r w:rsidR="00D37109">
        <w:rPr>
          <w:rFonts w:ascii="Arial" w:hAnsi="Arial" w:cs="Arial"/>
          <w:sz w:val="21"/>
          <w:szCs w:val="21"/>
        </w:rPr>
        <w:t xml:space="preserve"> </w:t>
      </w:r>
      <w:r w:rsidR="00F41798">
        <w:rPr>
          <w:rFonts w:ascii="Arial" w:hAnsi="Arial" w:cs="Arial"/>
          <w:sz w:val="21"/>
          <w:szCs w:val="21"/>
        </w:rPr>
        <w:t>independent</w:t>
      </w:r>
      <w:r w:rsidR="00D37109">
        <w:rPr>
          <w:rFonts w:ascii="Arial" w:hAnsi="Arial" w:cs="Arial"/>
          <w:sz w:val="21"/>
          <w:szCs w:val="21"/>
        </w:rPr>
        <w:t xml:space="preserve"> p</w:t>
      </w:r>
      <w:r w:rsidR="00955EFD">
        <w:rPr>
          <w:rFonts w:ascii="Arial" w:hAnsi="Arial" w:cs="Arial"/>
          <w:sz w:val="21"/>
          <w:szCs w:val="21"/>
        </w:rPr>
        <w:t>hotograders.</w:t>
      </w:r>
      <w:r w:rsidR="007B4B1C">
        <w:rPr>
          <w:rFonts w:ascii="Arial" w:hAnsi="Arial" w:cs="Arial"/>
          <w:sz w:val="21"/>
          <w:szCs w:val="21"/>
        </w:rPr>
        <w:t xml:space="preserve"> Photographs were graded for </w:t>
      </w:r>
      <w:r w:rsidR="00D3307C">
        <w:rPr>
          <w:rFonts w:ascii="Arial" w:hAnsi="Arial" w:cs="Arial"/>
          <w:sz w:val="21"/>
          <w:szCs w:val="21"/>
        </w:rPr>
        <w:t>conjunctival scarring</w:t>
      </w:r>
      <w:r w:rsidR="007B4B1C">
        <w:rPr>
          <w:rFonts w:ascii="Arial" w:hAnsi="Arial" w:cs="Arial"/>
          <w:sz w:val="21"/>
          <w:szCs w:val="21"/>
        </w:rPr>
        <w:t xml:space="preserve"> according to the 1981 WHO grading scheme</w:t>
      </w:r>
      <w:r w:rsidR="00D3307C">
        <w:rPr>
          <w:rFonts w:ascii="Arial" w:hAnsi="Arial" w:cs="Arial"/>
          <w:sz w:val="21"/>
          <w:szCs w:val="21"/>
        </w:rPr>
        <w:t xml:space="preserve"> </w:t>
      </w:r>
      <w:r w:rsidR="00D3307C">
        <w:rPr>
          <w:rFonts w:ascii="Arial" w:hAnsi="Arial" w:cs="Arial"/>
          <w:sz w:val="21"/>
          <w:szCs w:val="21"/>
        </w:rPr>
        <w:fldChar w:fldCharType="begin" w:fldLock="1"/>
      </w:r>
      <w:r w:rsidR="004D440E">
        <w:rPr>
          <w:rFonts w:ascii="Arial" w:hAnsi="Arial" w:cs="Arial"/>
          <w:sz w:val="21"/>
          <w:szCs w:val="21"/>
        </w:rPr>
        <w:instrText>ADDIN CSL_CITATION {"citationItems":[{"id":"ITEM-1","itemData":{"author":[{"dropping-particle":"","family":"Dawson","given":"Chandler R","non-dropping-particle":"","parse-names":false,"suffix":""},{"dropping-particle":"","family":"Jones","given":"Barrie R","non-dropping-particle":"","parse-names":false,"suffix":""},{"dropping-particle":"","family":"Tarizzo","given":"M L","non-dropping-particle":"","parse-names":false,"suffix":""},{"dropping-particle":"","family":"World Health Organization","given":"","non-dropping-particle":"","parse-names":false,"suffix":""}],"id":"ITEM-1","issued":{"date-parts":[["1981"]]},"number-of-pages":"56","publisher-place":"Geneva, Switzerland: World Health Organization","title":"Guide to trachoma control in programmes for the prevention of blindness.","type":"report"},"uris":["http://www.mendeley.com/documents/?uuid=2c646b8d-6bbc-43ea-8d96-7de78e994b4c"]}],"mendeley":{"formattedCitation":"[22]","plainTextFormattedCitation":"[22]","previouslyFormattedCitation":"[22]"},"properties":{"noteIndex":0},"schema":"https://github.com/citation-style-language/schema/raw/master/csl-citation.json"}</w:instrText>
      </w:r>
      <w:r w:rsidR="00D3307C">
        <w:rPr>
          <w:rFonts w:ascii="Arial" w:hAnsi="Arial" w:cs="Arial"/>
          <w:sz w:val="21"/>
          <w:szCs w:val="21"/>
        </w:rPr>
        <w:fldChar w:fldCharType="separate"/>
      </w:r>
      <w:r w:rsidR="00D3307C" w:rsidRPr="00D3307C">
        <w:rPr>
          <w:rFonts w:ascii="Arial" w:hAnsi="Arial" w:cs="Arial"/>
          <w:noProof/>
          <w:sz w:val="21"/>
          <w:szCs w:val="21"/>
        </w:rPr>
        <w:t>[22]</w:t>
      </w:r>
      <w:r w:rsidR="00D3307C">
        <w:rPr>
          <w:rFonts w:ascii="Arial" w:hAnsi="Arial" w:cs="Arial"/>
          <w:sz w:val="21"/>
          <w:szCs w:val="21"/>
        </w:rPr>
        <w:fldChar w:fldCharType="end"/>
      </w:r>
      <w:r w:rsidR="007B4B1C">
        <w:rPr>
          <w:rFonts w:ascii="Arial" w:hAnsi="Arial" w:cs="Arial"/>
          <w:sz w:val="21"/>
          <w:szCs w:val="21"/>
        </w:rPr>
        <w:t>.</w:t>
      </w:r>
      <w:r w:rsidR="00955EFD">
        <w:rPr>
          <w:rFonts w:ascii="Arial" w:hAnsi="Arial" w:cs="Arial"/>
          <w:sz w:val="21"/>
          <w:szCs w:val="21"/>
        </w:rPr>
        <w:t xml:space="preserve"> </w:t>
      </w:r>
      <w:r w:rsidR="00D3307C">
        <w:rPr>
          <w:rFonts w:ascii="Arial" w:hAnsi="Arial" w:cs="Arial"/>
          <w:sz w:val="21"/>
          <w:szCs w:val="21"/>
        </w:rPr>
        <w:t>Photographs were graded as C0–C3 using the following criteria:</w:t>
      </w:r>
    </w:p>
    <w:p w14:paraId="461C042A" w14:textId="58FF8BA4" w:rsidR="00D3307C" w:rsidRDefault="00D3307C" w:rsidP="00D3307C">
      <w:pPr>
        <w:pStyle w:val="ListParagraph"/>
        <w:numPr>
          <w:ilvl w:val="0"/>
          <w:numId w:val="6"/>
        </w:numPr>
        <w:spacing w:line="480" w:lineRule="auto"/>
        <w:jc w:val="both"/>
        <w:rPr>
          <w:rFonts w:ascii="Arial" w:hAnsi="Arial" w:cs="Arial"/>
          <w:sz w:val="21"/>
          <w:szCs w:val="21"/>
        </w:rPr>
      </w:pPr>
      <w:r>
        <w:rPr>
          <w:rFonts w:ascii="Arial" w:hAnsi="Arial" w:cs="Arial"/>
          <w:sz w:val="21"/>
          <w:szCs w:val="21"/>
        </w:rPr>
        <w:t>C0: No scarring on the conjunctiva</w:t>
      </w:r>
    </w:p>
    <w:p w14:paraId="5E9CF88E" w14:textId="34A4EB5A" w:rsidR="00D3307C" w:rsidRDefault="00D3307C" w:rsidP="00D3307C">
      <w:pPr>
        <w:pStyle w:val="ListParagraph"/>
        <w:numPr>
          <w:ilvl w:val="0"/>
          <w:numId w:val="6"/>
        </w:numPr>
        <w:spacing w:line="480" w:lineRule="auto"/>
        <w:jc w:val="both"/>
        <w:rPr>
          <w:rFonts w:ascii="Arial" w:hAnsi="Arial" w:cs="Arial"/>
          <w:sz w:val="21"/>
          <w:szCs w:val="21"/>
        </w:rPr>
      </w:pPr>
      <w:r>
        <w:rPr>
          <w:rFonts w:ascii="Arial" w:hAnsi="Arial" w:cs="Arial"/>
          <w:sz w:val="21"/>
          <w:szCs w:val="21"/>
        </w:rPr>
        <w:t>C1: Mild: Fine, scattered scars on the upper tarsal conjunctiva or scars on other parts of the conjunctiva.</w:t>
      </w:r>
    </w:p>
    <w:p w14:paraId="35E5BE27" w14:textId="0E83285A" w:rsidR="00D3307C" w:rsidRDefault="00D3307C" w:rsidP="00D3307C">
      <w:pPr>
        <w:pStyle w:val="ListParagraph"/>
        <w:numPr>
          <w:ilvl w:val="0"/>
          <w:numId w:val="6"/>
        </w:numPr>
        <w:spacing w:line="480" w:lineRule="auto"/>
        <w:jc w:val="both"/>
        <w:rPr>
          <w:rFonts w:ascii="Arial" w:hAnsi="Arial" w:cs="Arial"/>
          <w:sz w:val="21"/>
          <w:szCs w:val="21"/>
        </w:rPr>
      </w:pPr>
      <w:r>
        <w:rPr>
          <w:rFonts w:ascii="Arial" w:hAnsi="Arial" w:cs="Arial"/>
          <w:sz w:val="21"/>
          <w:szCs w:val="21"/>
        </w:rPr>
        <w:t>C2: Moderate: more severe scarring, but without shortening or distortion of the upper tarsus.</w:t>
      </w:r>
    </w:p>
    <w:p w14:paraId="36A808E7" w14:textId="6B4F261F" w:rsidR="00D3307C" w:rsidRPr="00541BB1" w:rsidRDefault="00D3307C" w:rsidP="00541BB1">
      <w:pPr>
        <w:pStyle w:val="ListParagraph"/>
        <w:numPr>
          <w:ilvl w:val="0"/>
          <w:numId w:val="6"/>
        </w:numPr>
        <w:spacing w:line="480" w:lineRule="auto"/>
        <w:jc w:val="both"/>
        <w:rPr>
          <w:rFonts w:ascii="Arial" w:hAnsi="Arial" w:cs="Arial"/>
          <w:sz w:val="21"/>
          <w:szCs w:val="21"/>
        </w:rPr>
      </w:pPr>
      <w:r>
        <w:rPr>
          <w:rFonts w:ascii="Arial" w:hAnsi="Arial" w:cs="Arial"/>
          <w:sz w:val="21"/>
          <w:szCs w:val="21"/>
        </w:rPr>
        <w:t>C3: Severe: Scarring with distortion of the upper tarsus.</w:t>
      </w:r>
    </w:p>
    <w:p w14:paraId="0C4F7D00" w14:textId="015779CE" w:rsidR="000351A1" w:rsidRPr="00955EFD" w:rsidRDefault="001F336C" w:rsidP="008B5BE3">
      <w:pPr>
        <w:spacing w:line="480" w:lineRule="auto"/>
        <w:jc w:val="both"/>
        <w:rPr>
          <w:rFonts w:ascii="Arial" w:hAnsi="Arial" w:cs="Arial"/>
          <w:sz w:val="21"/>
          <w:szCs w:val="21"/>
        </w:rPr>
      </w:pPr>
      <w:r>
        <w:rPr>
          <w:rFonts w:ascii="Arial" w:hAnsi="Arial" w:cs="Arial"/>
          <w:sz w:val="21"/>
          <w:szCs w:val="21"/>
        </w:rPr>
        <w:t>W</w:t>
      </w:r>
      <w:r w:rsidR="003A2BCA">
        <w:rPr>
          <w:rFonts w:ascii="Arial" w:hAnsi="Arial" w:cs="Arial"/>
          <w:sz w:val="21"/>
          <w:szCs w:val="21"/>
        </w:rPr>
        <w:t xml:space="preserve">here the </w:t>
      </w:r>
      <w:r w:rsidR="00F41798">
        <w:rPr>
          <w:rFonts w:ascii="Arial" w:hAnsi="Arial" w:cs="Arial"/>
          <w:sz w:val="21"/>
          <w:szCs w:val="21"/>
        </w:rPr>
        <w:t xml:space="preserve">two independent </w:t>
      </w:r>
      <w:r w:rsidR="003A2BCA">
        <w:rPr>
          <w:rFonts w:ascii="Arial" w:hAnsi="Arial" w:cs="Arial"/>
          <w:sz w:val="21"/>
          <w:szCs w:val="21"/>
        </w:rPr>
        <w:t>grades agreed, th</w:t>
      </w:r>
      <w:r w:rsidR="00F41798">
        <w:rPr>
          <w:rFonts w:ascii="Arial" w:hAnsi="Arial" w:cs="Arial"/>
          <w:sz w:val="21"/>
          <w:szCs w:val="21"/>
        </w:rPr>
        <w:t>at</w:t>
      </w:r>
      <w:r w:rsidR="003A2BCA">
        <w:rPr>
          <w:rFonts w:ascii="Arial" w:hAnsi="Arial" w:cs="Arial"/>
          <w:sz w:val="21"/>
          <w:szCs w:val="21"/>
        </w:rPr>
        <w:t xml:space="preserve"> grade was </w:t>
      </w:r>
      <w:r w:rsidR="00D37109">
        <w:rPr>
          <w:rFonts w:ascii="Arial" w:hAnsi="Arial" w:cs="Arial"/>
          <w:sz w:val="21"/>
          <w:szCs w:val="21"/>
        </w:rPr>
        <w:t>considered</w:t>
      </w:r>
      <w:r w:rsidR="003A2BCA">
        <w:rPr>
          <w:rFonts w:ascii="Arial" w:hAnsi="Arial" w:cs="Arial"/>
          <w:sz w:val="21"/>
          <w:szCs w:val="21"/>
        </w:rPr>
        <w:t xml:space="preserve"> final</w:t>
      </w:r>
      <w:r w:rsidR="00D37109">
        <w:rPr>
          <w:rFonts w:ascii="Arial" w:hAnsi="Arial" w:cs="Arial"/>
          <w:sz w:val="21"/>
          <w:szCs w:val="21"/>
        </w:rPr>
        <w:t>.</w:t>
      </w:r>
      <w:r w:rsidR="003A2BCA">
        <w:rPr>
          <w:rFonts w:ascii="Arial" w:hAnsi="Arial" w:cs="Arial"/>
          <w:sz w:val="21"/>
          <w:szCs w:val="21"/>
        </w:rPr>
        <w:t xml:space="preserve"> </w:t>
      </w:r>
      <w:r w:rsidR="00F41798">
        <w:rPr>
          <w:rFonts w:ascii="Arial" w:hAnsi="Arial" w:cs="Arial"/>
          <w:sz w:val="21"/>
          <w:szCs w:val="21"/>
        </w:rPr>
        <w:t>W</w:t>
      </w:r>
      <w:r w:rsidR="003A2BCA">
        <w:rPr>
          <w:rFonts w:ascii="Arial" w:hAnsi="Arial" w:cs="Arial"/>
          <w:sz w:val="21"/>
          <w:szCs w:val="21"/>
        </w:rPr>
        <w:t xml:space="preserve">here the </w:t>
      </w:r>
      <w:r w:rsidR="00D37109">
        <w:rPr>
          <w:rFonts w:ascii="Arial" w:hAnsi="Arial" w:cs="Arial"/>
          <w:sz w:val="21"/>
          <w:szCs w:val="21"/>
        </w:rPr>
        <w:t>primary</w:t>
      </w:r>
      <w:r w:rsidR="003A2BCA">
        <w:rPr>
          <w:rFonts w:ascii="Arial" w:hAnsi="Arial" w:cs="Arial"/>
          <w:sz w:val="21"/>
          <w:szCs w:val="21"/>
        </w:rPr>
        <w:t xml:space="preserve"> photograde</w:t>
      </w:r>
      <w:r w:rsidR="00D37109">
        <w:rPr>
          <w:rFonts w:ascii="Arial" w:hAnsi="Arial" w:cs="Arial"/>
          <w:sz w:val="21"/>
          <w:szCs w:val="21"/>
        </w:rPr>
        <w:t>rs</w:t>
      </w:r>
      <w:r w:rsidR="003A2BCA">
        <w:rPr>
          <w:rFonts w:ascii="Arial" w:hAnsi="Arial" w:cs="Arial"/>
          <w:sz w:val="21"/>
          <w:szCs w:val="21"/>
        </w:rPr>
        <w:t xml:space="preserve"> did not agree</w:t>
      </w:r>
      <w:r>
        <w:rPr>
          <w:rFonts w:ascii="Arial" w:hAnsi="Arial" w:cs="Arial"/>
          <w:sz w:val="21"/>
          <w:szCs w:val="21"/>
        </w:rPr>
        <w:t>, photographs</w:t>
      </w:r>
      <w:r w:rsidR="003A2BCA">
        <w:rPr>
          <w:rFonts w:ascii="Arial" w:hAnsi="Arial" w:cs="Arial"/>
          <w:sz w:val="21"/>
          <w:szCs w:val="21"/>
        </w:rPr>
        <w:t xml:space="preserve"> were </w:t>
      </w:r>
      <w:r w:rsidR="00980DC5">
        <w:rPr>
          <w:rFonts w:ascii="Arial" w:hAnsi="Arial" w:cs="Arial"/>
          <w:sz w:val="21"/>
          <w:szCs w:val="21"/>
        </w:rPr>
        <w:t>re-</w:t>
      </w:r>
      <w:r w:rsidR="00B60655">
        <w:rPr>
          <w:rFonts w:ascii="Arial" w:hAnsi="Arial" w:cs="Arial"/>
          <w:sz w:val="21"/>
          <w:szCs w:val="21"/>
        </w:rPr>
        <w:t>graded</w:t>
      </w:r>
      <w:r w:rsidR="003A2BCA">
        <w:rPr>
          <w:rFonts w:ascii="Arial" w:hAnsi="Arial" w:cs="Arial"/>
          <w:sz w:val="21"/>
          <w:szCs w:val="21"/>
        </w:rPr>
        <w:t xml:space="preserve"> by a third, highly experienced photograder and their grade was</w:t>
      </w:r>
      <w:r w:rsidR="00D37109">
        <w:rPr>
          <w:rFonts w:ascii="Arial" w:hAnsi="Arial" w:cs="Arial"/>
          <w:sz w:val="21"/>
          <w:szCs w:val="21"/>
        </w:rPr>
        <w:t xml:space="preserve"> considered</w:t>
      </w:r>
      <w:r w:rsidR="003A2BCA">
        <w:rPr>
          <w:rFonts w:ascii="Arial" w:hAnsi="Arial" w:cs="Arial"/>
          <w:sz w:val="21"/>
          <w:szCs w:val="21"/>
        </w:rPr>
        <w:t xml:space="preserve"> final.</w:t>
      </w:r>
    </w:p>
    <w:p w14:paraId="6D2B8F8F" w14:textId="77777777" w:rsidR="000351A1" w:rsidRPr="00955EFD" w:rsidRDefault="000351A1" w:rsidP="008B5BE3">
      <w:pPr>
        <w:spacing w:line="480" w:lineRule="auto"/>
        <w:jc w:val="both"/>
        <w:rPr>
          <w:rFonts w:ascii="Arial" w:hAnsi="Arial" w:cs="Arial"/>
          <w:sz w:val="21"/>
          <w:szCs w:val="21"/>
        </w:rPr>
      </w:pPr>
    </w:p>
    <w:p w14:paraId="2352EB0E" w14:textId="38920E23" w:rsidR="000351A1" w:rsidRPr="00955EFD" w:rsidRDefault="000351A1" w:rsidP="008B5BE3">
      <w:pPr>
        <w:spacing w:line="480" w:lineRule="auto"/>
        <w:jc w:val="both"/>
        <w:rPr>
          <w:rFonts w:ascii="Arial" w:hAnsi="Arial" w:cs="Arial"/>
          <w:sz w:val="21"/>
          <w:szCs w:val="21"/>
          <w:u w:val="single"/>
        </w:rPr>
      </w:pPr>
      <w:r w:rsidRPr="00955EFD">
        <w:rPr>
          <w:rFonts w:ascii="Arial" w:hAnsi="Arial" w:cs="Arial"/>
          <w:sz w:val="21"/>
          <w:szCs w:val="21"/>
          <w:u w:val="single"/>
        </w:rPr>
        <w:t xml:space="preserve">Ocular </w:t>
      </w:r>
      <w:r w:rsidRPr="00955EFD">
        <w:rPr>
          <w:rFonts w:ascii="Arial" w:hAnsi="Arial" w:cs="Arial"/>
          <w:i/>
          <w:sz w:val="21"/>
          <w:szCs w:val="21"/>
          <w:u w:val="single"/>
        </w:rPr>
        <w:t xml:space="preserve">Chlamydia trachomatis </w:t>
      </w:r>
      <w:r w:rsidRPr="00955EFD">
        <w:rPr>
          <w:rFonts w:ascii="Arial" w:hAnsi="Arial" w:cs="Arial"/>
          <w:sz w:val="21"/>
          <w:szCs w:val="21"/>
          <w:u w:val="single"/>
        </w:rPr>
        <w:t>infection</w:t>
      </w:r>
    </w:p>
    <w:p w14:paraId="6DE1FCC3" w14:textId="77777777" w:rsidR="000351A1" w:rsidRPr="00955EFD" w:rsidRDefault="000351A1" w:rsidP="008B5BE3">
      <w:pPr>
        <w:spacing w:line="480" w:lineRule="auto"/>
        <w:jc w:val="both"/>
        <w:rPr>
          <w:rFonts w:ascii="Arial" w:hAnsi="Arial" w:cs="Arial"/>
          <w:sz w:val="21"/>
          <w:szCs w:val="21"/>
        </w:rPr>
      </w:pPr>
    </w:p>
    <w:p w14:paraId="3092B697" w14:textId="585733DC" w:rsidR="0020416B" w:rsidRDefault="000351A1" w:rsidP="008B5BE3">
      <w:pPr>
        <w:spacing w:line="480" w:lineRule="auto"/>
        <w:jc w:val="both"/>
        <w:rPr>
          <w:rFonts w:ascii="Arial" w:hAnsi="Arial" w:cs="Arial"/>
          <w:sz w:val="21"/>
          <w:szCs w:val="21"/>
        </w:rPr>
      </w:pPr>
      <w:r w:rsidRPr="00955EFD">
        <w:rPr>
          <w:rFonts w:ascii="Arial" w:hAnsi="Arial" w:cs="Arial"/>
          <w:sz w:val="21"/>
          <w:szCs w:val="21"/>
        </w:rPr>
        <w:t>After photography, a sterile, polyester-coated cotton swab was passed three times with a 120-degree rotation between each pass over the everted right conjunctiva and placed into a dry, sterile cryotube</w:t>
      </w:r>
      <w:r w:rsidR="0020416B">
        <w:rPr>
          <w:rFonts w:ascii="Arial" w:hAnsi="Arial" w:cs="Arial"/>
          <w:sz w:val="21"/>
          <w:szCs w:val="21"/>
        </w:rPr>
        <w:t xml:space="preserve"> </w:t>
      </w:r>
      <w:r w:rsidR="0020416B">
        <w:rPr>
          <w:rFonts w:ascii="Arial" w:hAnsi="Arial" w:cs="Arial"/>
          <w:sz w:val="21"/>
          <w:szCs w:val="21"/>
        </w:rPr>
        <w:fldChar w:fldCharType="begin" w:fldLock="1"/>
      </w:r>
      <w:r w:rsidR="004D440E">
        <w:rPr>
          <w:rFonts w:ascii="Arial" w:hAnsi="Arial" w:cs="Arial"/>
          <w:sz w:val="21"/>
          <w:szCs w:val="21"/>
        </w:rPr>
        <w:instrText>ADDIN CSL_CITATION {"citationItems":[{"id":"ITEM-1","itemData":{"ISBN":"0140-6736","ISSN":"1474-547X","PMID":"12885481","abstract":"BACKGROUND: Antibiotics are an important part of WHO's strategy to eliminate trachoma as a blinding disease by 2020. At present, who needs to be treated is unclear. We aimed to establish the burden of ocular Chlamydia trachomatis in three trachoma-endemic communities in Tanzania and The Gambia with real-time quantitative PCR. METHODS: Conjunctival swabs were obtained at examination from 3146 individuals. Swabs were first tested by the qualitative Amplicor PCR, which is known to be highly sensitive. In positive samples, the number of copies of omp1 (a single-copy C trachomatis gene) was measured by quantitative PCR. FINDINGS: Children had the highest ocular loads of C trachomatis, although the amount of pooling in young age groups was less striking at the site with the lowest trachoma frequency. Individuals with intense inflammatory trachoma had higher loads than did those with other conjunctival signs. At the site with the highest prevalence of trachoma, 48 of 93 (52%) individuals with conjunctival scarring but no sign of active disease were positive for ocular chlamydiae. INTERPRETATION: Children younger than 10 years old, and those with intense inflammatory trachoma, probably represent the major source of ocular C trachomatis infection in endemic communities. Success of antibiotic distribution programmes could depend on these groups receiving effective treatment.","author":[{"dropping-particle":"","family":"Solomon","given":"Anthony W","non-dropping-particle":"","parse-names":false,"suffix":""},{"dropping-particle":"","family":"Holland","given":"Martin J","non-dropping-particle":"","parse-names":false,"suffix":""},{"dropping-particle":"","family":"Burton","given":"Matthew J","non-dropping-particle":"","parse-names":false,"suffix":""},{"dropping-particle":"","family":"West","given":"Sheila K","non-dropping-particle":"","parse-names":false,"suffix":""},{"dropping-particle":"","family":"Alexander","given":"Neal D E","non-dropping-particle":"","parse-names":false,"suffix":""},{"dropping-particle":"","family":"Aguirre","given":"Aura","non-dropping-particle":"","parse-names":false,"suffix":""},{"dropping-particle":"","family":"Massae","given":"Patrick A","non-dropping-particle":"","parse-names":false,"suffix":""},{"dropping-particle":"","family":"Mkocha","given":"Harran","non-dropping-particle":"","parse-names":false,"suffix":""},{"dropping-particle":"","family":"Muñoz","given":"Beatriz","non-dropping-particle":"","parse-names":false,"suffix":""},{"dropping-particle":"","family":"Johnson","given":"Gordon J","non-dropping-particle":"","parse-names":false,"suffix":""},{"dropping-particle":"","family":"Peeling","given":"Rosanna W","non-dropping-particle":"","parse-names":false,"suffix":""},{"dropping-particle":"","family":"Bailey","given":"Robin L","non-dropping-particle":"","parse-names":false,"suffix":""},{"dropping-particle":"","family":"Foster","given":"Allen","non-dropping-particle":"","parse-names":false,"suffix":""},{"dropping-particle":"","family":"Mabey","given":"David C W","non-dropping-particle":"","parse-names":false,"suffix":""},{"dropping-particle":"","family":"Munoz","given":"B","non-dropping-particle":"","parse-names":false,"suffix":""},{"dropping-particle":"","family":"Johnson","given":"Gordon J","non-dropping-particle":"","parse-names":false,"suffix":""},{"dropping-particle":"","family":"Peeling","given":"Rosanna W","non-dropping-particle":"","parse-names":false,"suffix":""},{"dropping-particle":"","family":"Bailey","given":"Robin L","non-dropping-particle":"","parse-names":false,"suffix":""},{"dropping-particle":"","family":"Foster","given":"Allen","non-dropping-particle":"","parse-names":false,"suffix":""},{"dropping-particle":"","family":"Mabey","given":"David C W","non-dropping-particle":"","parse-names":false,"suffix":""}],"container-title":"Lancet","id":"ITEM-1","issue":"9379","issued":{"date-parts":[["2003"]]},"note":"From Duplicate 1 (Strategies for control of trachoma: observational study with quantitative PCR - Solomon, A W; Holland, M J; Burton, M J; West, S K; Alexander, N D E; Aguirre, A; Massae, P A; Mkocha, H; Munoz, B; Johnson, G J; Peeling, R W; Bailey, R L; Foster, A; Mabey, D C W)\n\nFrom Duplicate 1 (Strategies for control of trachoma: observational study with quantitative PCR - Solomon, A W; Holland, M J; Burton, M J; West, S K; Alexander, N D; Aguirre, A; Massae, P A; Mkocha, H; Munoz, B; Johnson, G J; Peeling, R W; Bailey, R L; Foster, A; Mabey, D C)\n\nSolomon, Anthony W\nHolland, Martin J\nBurton, Matthew J\nWest, Sheila K\nAlexander, Neal D E\nAguirre, Aura\nMassae, Patrick A\nMkocha, Harran\nMunoz, Beatriz\nJohnson, Gordon J\nPeeling, Rosanna W\nBailey, Robin L\nFoster, Allen\nMabey, David C W\nComment in: Lancet. 2003 Jul 19;362(9379):181-2; PMID: 12885474\n\nFrom Duplicate 2 (Strategies for control of trachoma: observational study with quantitative PCR - Solomon, A W; Holland, M J; Burton, M J; West, S K; Alexander, N D E; Aguirre, A; Massae, P A; Mkocha, H; Munoz, B; Johnson, G J; Peeling, R W; Bailey, R L; Foster, A; Mabey, D C W)\n\nFrom Duplicate 1 (Strategies for control of trachoma: observational study with quantitative PCR - Solomon, A W; Holland, M J; Burton, M J; West, S K; Alexander, N D; Aguirre, A; Massae, P A; Mkocha, H; Munoz, B; Johnson, G J; Peeling, R W; Bailey, R L; Foster, A; Mabey, D C)\n\nSolomon, Anthony W\nHolland, Martin J\nBurton, Matthew J\nWest, Sheila K\nAlexander, Neal D E\nAguirre, Aura\nMassae, Patrick A\nMkocha, Harran\nMunoz, Beatriz\nJohnson, Gordon J\nPeeling, Rosanna W\nBailey, Robin L\nFoster, Allen\nMabey, David C W\nComment in: Lancet. 2003 Jul 19;362(9379):181-2; PMID: 12885474\n\nFrom Duplicate 2 (Strategies for control of trachoma: observational study with quantitative PCR - Solomon, A W; Holland, M J; Burton, M J; West, S K; Alexander, N D E; Aguirre, A; Massae, P A; Mkocha, H; Munoz, B; Johnson, G J; Peeling, R W; Bailey, R L; Foster, A; Mabey, D C W)\n\nTimes Cited: 113\n1\n113\n\nFrom Duplicate 2 (Strategies for control of trachoma: observational study with quantitative PCR - Solomon, A W; Holland, M J; Burton, M J; West, S K; Alexander, N D; Aguirre, A; Massae, P A; Mkocha, H; Munoz, B; Johnson, G J; Peeling, R W; Bailey, R L; Foster, A; Mabey, D C)\n\nSolomon, Anthony W\nHolland, Martin J\nBurton, Matthew J\nWest, Sheila K\nAlexander, Neal D E\nAguirre, Aura\nMassae, Patrick A\nMkocha, Harran\nMunoz, Beatriz\nJohnson, Gordon J\nPeeling, Rosanna W\nBailey, Robin L\nFoster, Allen\nMabey, David C W\nComment in: Lancet. 2003 Jul 19;362(9379):181-2; PMID: 12885474","page":"198-204","title":"Strategies for control of trachoma: observational study with quantitative PCR","type":"article-journal","volume":"362"},"uris":["http://www.mendeley.com/documents/?uuid=f586eada-f6af-46a6-b97c-38e00402ecef"]}],"mendeley":{"formattedCitation":"[23]","plainTextFormattedCitation":"[23]","previouslyFormattedCitation":"[23]"},"properties":{"noteIndex":0},"schema":"https://github.com/citation-style-language/schema/raw/master/csl-citation.json"}</w:instrText>
      </w:r>
      <w:r w:rsidR="0020416B">
        <w:rPr>
          <w:rFonts w:ascii="Arial" w:hAnsi="Arial" w:cs="Arial"/>
          <w:sz w:val="21"/>
          <w:szCs w:val="21"/>
        </w:rPr>
        <w:fldChar w:fldCharType="separate"/>
      </w:r>
      <w:r w:rsidR="00D3307C" w:rsidRPr="00D3307C">
        <w:rPr>
          <w:rFonts w:ascii="Arial" w:hAnsi="Arial" w:cs="Arial"/>
          <w:noProof/>
          <w:sz w:val="21"/>
          <w:szCs w:val="21"/>
        </w:rPr>
        <w:t>[23]</w:t>
      </w:r>
      <w:r w:rsidR="0020416B">
        <w:rPr>
          <w:rFonts w:ascii="Arial" w:hAnsi="Arial" w:cs="Arial"/>
          <w:sz w:val="21"/>
          <w:szCs w:val="21"/>
        </w:rPr>
        <w:fldChar w:fldCharType="end"/>
      </w:r>
      <w:r w:rsidRPr="00955EFD">
        <w:rPr>
          <w:rFonts w:ascii="Arial" w:hAnsi="Arial" w:cs="Arial"/>
          <w:sz w:val="21"/>
          <w:szCs w:val="21"/>
        </w:rPr>
        <w:t xml:space="preserve">. </w:t>
      </w:r>
      <w:r w:rsidR="00D37109">
        <w:rPr>
          <w:rFonts w:ascii="Arial" w:hAnsi="Arial" w:cs="Arial"/>
          <w:sz w:val="21"/>
          <w:szCs w:val="21"/>
        </w:rPr>
        <w:lastRenderedPageBreak/>
        <w:t>Examiners cleaned their hands</w:t>
      </w:r>
      <w:r w:rsidR="0010661D">
        <w:rPr>
          <w:rFonts w:ascii="Arial" w:hAnsi="Arial" w:cs="Arial"/>
          <w:sz w:val="21"/>
          <w:szCs w:val="21"/>
        </w:rPr>
        <w:t xml:space="preserve"> with alcohol gel and changed gloves</w:t>
      </w:r>
      <w:r w:rsidR="00D37109">
        <w:rPr>
          <w:rFonts w:ascii="Arial" w:hAnsi="Arial" w:cs="Arial"/>
          <w:sz w:val="21"/>
          <w:szCs w:val="21"/>
        </w:rPr>
        <w:t xml:space="preserve"> between examinations and took care to avoid cross contamination of specimens. </w:t>
      </w:r>
      <w:r w:rsidR="0020416B">
        <w:rPr>
          <w:rFonts w:ascii="Arial" w:hAnsi="Arial" w:cs="Arial"/>
          <w:sz w:val="21"/>
          <w:szCs w:val="21"/>
        </w:rPr>
        <w:t>One</w:t>
      </w:r>
      <w:r w:rsidR="00D37109">
        <w:rPr>
          <w:rFonts w:ascii="Arial" w:hAnsi="Arial" w:cs="Arial"/>
          <w:sz w:val="21"/>
          <w:szCs w:val="21"/>
        </w:rPr>
        <w:t xml:space="preserve"> swab </w:t>
      </w:r>
      <w:r w:rsidR="0020416B">
        <w:rPr>
          <w:rFonts w:ascii="Arial" w:hAnsi="Arial" w:cs="Arial"/>
          <w:sz w:val="21"/>
          <w:szCs w:val="21"/>
        </w:rPr>
        <w:t xml:space="preserve">per village </w:t>
      </w:r>
      <w:r w:rsidR="00D37109">
        <w:rPr>
          <w:rFonts w:ascii="Arial" w:hAnsi="Arial" w:cs="Arial"/>
          <w:sz w:val="21"/>
          <w:szCs w:val="21"/>
        </w:rPr>
        <w:t xml:space="preserve">was </w:t>
      </w:r>
      <w:r w:rsidR="0020416B">
        <w:rPr>
          <w:rFonts w:ascii="Arial" w:hAnsi="Arial" w:cs="Arial"/>
          <w:sz w:val="21"/>
          <w:szCs w:val="21"/>
        </w:rPr>
        <w:t>collected</w:t>
      </w:r>
      <w:r w:rsidR="003B4636">
        <w:rPr>
          <w:rFonts w:ascii="Arial" w:hAnsi="Arial" w:cs="Arial"/>
          <w:sz w:val="21"/>
          <w:szCs w:val="21"/>
        </w:rPr>
        <w:t xml:space="preserve"> </w:t>
      </w:r>
      <w:r w:rsidR="00D37109">
        <w:rPr>
          <w:rFonts w:ascii="Arial" w:hAnsi="Arial" w:cs="Arial"/>
          <w:sz w:val="21"/>
          <w:szCs w:val="21"/>
        </w:rPr>
        <w:t>to control for cross contamination</w:t>
      </w:r>
      <w:r w:rsidR="00B60655">
        <w:rPr>
          <w:rFonts w:ascii="Arial" w:hAnsi="Arial" w:cs="Arial"/>
          <w:sz w:val="21"/>
          <w:szCs w:val="21"/>
        </w:rPr>
        <w:t xml:space="preserve"> </w:t>
      </w:r>
      <w:r w:rsidR="0018184B">
        <w:rPr>
          <w:rFonts w:ascii="Arial" w:hAnsi="Arial" w:cs="Arial"/>
          <w:sz w:val="21"/>
          <w:szCs w:val="21"/>
        </w:rPr>
        <w:t xml:space="preserve">of </w:t>
      </w:r>
      <w:r w:rsidR="00B60655">
        <w:rPr>
          <w:rFonts w:ascii="Arial" w:hAnsi="Arial" w:cs="Arial"/>
          <w:sz w:val="21"/>
          <w:szCs w:val="21"/>
        </w:rPr>
        <w:t>swabs</w:t>
      </w:r>
      <w:r w:rsidR="00D37109">
        <w:rPr>
          <w:rFonts w:ascii="Arial" w:hAnsi="Arial" w:cs="Arial"/>
          <w:sz w:val="21"/>
          <w:szCs w:val="21"/>
        </w:rPr>
        <w:t xml:space="preserve"> in the field</w:t>
      </w:r>
      <w:r w:rsidR="007B4B1C">
        <w:rPr>
          <w:rFonts w:ascii="Arial" w:hAnsi="Arial" w:cs="Arial"/>
          <w:sz w:val="21"/>
          <w:szCs w:val="21"/>
        </w:rPr>
        <w:t xml:space="preserve"> (referred to as field controls)</w:t>
      </w:r>
      <w:r w:rsidR="003B4636">
        <w:rPr>
          <w:rFonts w:ascii="Arial" w:hAnsi="Arial" w:cs="Arial"/>
          <w:sz w:val="21"/>
          <w:szCs w:val="21"/>
        </w:rPr>
        <w:t>.</w:t>
      </w:r>
      <w:r w:rsidR="007B4B1C">
        <w:rPr>
          <w:rFonts w:ascii="Arial" w:hAnsi="Arial" w:cs="Arial"/>
          <w:sz w:val="21"/>
          <w:szCs w:val="21"/>
        </w:rPr>
        <w:t xml:space="preserve"> Field c</w:t>
      </w:r>
      <w:r w:rsidR="0020416B">
        <w:rPr>
          <w:rFonts w:ascii="Arial" w:hAnsi="Arial" w:cs="Arial"/>
          <w:sz w:val="21"/>
          <w:szCs w:val="21"/>
        </w:rPr>
        <w:t>ontrol swabs</w:t>
      </w:r>
      <w:r w:rsidR="00D37109">
        <w:rPr>
          <w:rFonts w:ascii="Arial" w:hAnsi="Arial" w:cs="Arial"/>
          <w:sz w:val="21"/>
          <w:szCs w:val="21"/>
        </w:rPr>
        <w:t xml:space="preserve"> </w:t>
      </w:r>
      <w:r w:rsidR="0020416B">
        <w:rPr>
          <w:rFonts w:ascii="Arial" w:hAnsi="Arial" w:cs="Arial"/>
          <w:sz w:val="21"/>
          <w:szCs w:val="21"/>
        </w:rPr>
        <w:t xml:space="preserve">were passed within 20 cm of the eye of a seated participant and then treated identically to </w:t>
      </w:r>
      <w:r w:rsidR="0018184B">
        <w:rPr>
          <w:rFonts w:ascii="Arial" w:hAnsi="Arial" w:cs="Arial"/>
          <w:sz w:val="21"/>
          <w:szCs w:val="21"/>
        </w:rPr>
        <w:t>swabs taken from the conjunctivae of study participants</w:t>
      </w:r>
      <w:r w:rsidR="0020416B">
        <w:rPr>
          <w:rFonts w:ascii="Arial" w:hAnsi="Arial" w:cs="Arial"/>
          <w:sz w:val="21"/>
          <w:szCs w:val="21"/>
        </w:rPr>
        <w:t xml:space="preserve">. </w:t>
      </w:r>
      <w:r w:rsidRPr="00955EFD">
        <w:rPr>
          <w:rFonts w:ascii="Arial" w:hAnsi="Arial" w:cs="Arial"/>
          <w:sz w:val="21"/>
          <w:szCs w:val="21"/>
        </w:rPr>
        <w:t xml:space="preserve">Swabs were stored at ambient temperature for up to 24 hours, refrigerated for up to one week and frozen thereafter. </w:t>
      </w:r>
      <w:r w:rsidR="00ED7578">
        <w:rPr>
          <w:rFonts w:ascii="Arial" w:hAnsi="Arial" w:cs="Arial"/>
          <w:sz w:val="21"/>
          <w:szCs w:val="21"/>
        </w:rPr>
        <w:t>Swabs collected in Vanuatu were shipped to the UK on dry ice</w:t>
      </w:r>
      <w:r w:rsidR="00FD487B">
        <w:rPr>
          <w:rFonts w:ascii="Arial" w:hAnsi="Arial" w:cs="Arial"/>
          <w:sz w:val="21"/>
          <w:szCs w:val="21"/>
        </w:rPr>
        <w:t xml:space="preserve">, whereas the facility to ship on dry ice was not available in Tarawa; </w:t>
      </w:r>
      <w:r w:rsidR="0020416B">
        <w:rPr>
          <w:rFonts w:ascii="Arial" w:hAnsi="Arial" w:cs="Arial"/>
          <w:sz w:val="21"/>
          <w:szCs w:val="21"/>
        </w:rPr>
        <w:t>swabs collected in Kiribati</w:t>
      </w:r>
      <w:r w:rsidR="00FD487B">
        <w:rPr>
          <w:rFonts w:ascii="Arial" w:hAnsi="Arial" w:cs="Arial"/>
          <w:sz w:val="21"/>
          <w:szCs w:val="21"/>
        </w:rPr>
        <w:t xml:space="preserve"> </w:t>
      </w:r>
      <w:r w:rsidR="00FD487B" w:rsidRPr="009D6D54">
        <w:rPr>
          <w:rFonts w:ascii="Arial" w:hAnsi="Arial" w:cs="Arial"/>
          <w:sz w:val="21"/>
          <w:szCs w:val="21"/>
        </w:rPr>
        <w:t>were therefore shipped with ice packs to the UK. Both swab sets were stored at -20</w:t>
      </w:r>
      <w:r w:rsidR="00FD487B" w:rsidRPr="009D6D54">
        <w:rPr>
          <w:rFonts w:ascii="Arial" w:hAnsi="Arial" w:cs="Arial"/>
          <w:sz w:val="21"/>
          <w:szCs w:val="21"/>
        </w:rPr>
        <w:sym w:font="Symbol" w:char="F0B0"/>
      </w:r>
      <w:r w:rsidR="00FD487B" w:rsidRPr="009D6D54">
        <w:rPr>
          <w:rFonts w:ascii="Arial" w:hAnsi="Arial" w:cs="Arial"/>
          <w:sz w:val="21"/>
          <w:szCs w:val="21"/>
        </w:rPr>
        <w:t xml:space="preserve">C on arrival in the UK. </w:t>
      </w:r>
    </w:p>
    <w:p w14:paraId="75BED87A" w14:textId="77777777" w:rsidR="0020416B" w:rsidRDefault="0020416B" w:rsidP="008B5BE3">
      <w:pPr>
        <w:spacing w:line="480" w:lineRule="auto"/>
        <w:jc w:val="both"/>
        <w:rPr>
          <w:rFonts w:ascii="Arial" w:hAnsi="Arial" w:cs="Arial"/>
          <w:sz w:val="21"/>
          <w:szCs w:val="21"/>
        </w:rPr>
      </w:pPr>
    </w:p>
    <w:p w14:paraId="504DBA82" w14:textId="0BF7735E" w:rsidR="000351A1" w:rsidRPr="009D6D54" w:rsidRDefault="00DB3E76" w:rsidP="008B5BE3">
      <w:pPr>
        <w:spacing w:line="480" w:lineRule="auto"/>
        <w:jc w:val="both"/>
        <w:rPr>
          <w:rFonts w:ascii="Arial" w:hAnsi="Arial" w:cs="Arial"/>
          <w:sz w:val="21"/>
          <w:szCs w:val="21"/>
        </w:rPr>
      </w:pPr>
      <w:r w:rsidRPr="009D6D54">
        <w:rPr>
          <w:rFonts w:ascii="Arial" w:hAnsi="Arial" w:cs="Arial"/>
          <w:sz w:val="21"/>
          <w:szCs w:val="21"/>
        </w:rPr>
        <w:t xml:space="preserve">Swabs were processed between September 2017 and January 2018. </w:t>
      </w:r>
      <w:r w:rsidR="00FD487B" w:rsidRPr="009D6D54">
        <w:rPr>
          <w:rFonts w:ascii="Arial" w:hAnsi="Arial" w:cs="Arial"/>
          <w:sz w:val="21"/>
          <w:szCs w:val="21"/>
        </w:rPr>
        <w:t xml:space="preserve">DNA was extracted from the swabs using the </w:t>
      </w:r>
      <w:proofErr w:type="spellStart"/>
      <w:r w:rsidR="00FD487B" w:rsidRPr="009D6D54">
        <w:rPr>
          <w:rFonts w:ascii="Arial" w:hAnsi="Arial" w:cs="Arial"/>
          <w:sz w:val="21"/>
          <w:szCs w:val="21"/>
        </w:rPr>
        <w:t>QIAamp</w:t>
      </w:r>
      <w:proofErr w:type="spellEnd"/>
      <w:r w:rsidR="00FD487B" w:rsidRPr="009D6D54">
        <w:rPr>
          <w:rFonts w:ascii="Arial" w:hAnsi="Arial" w:cs="Arial"/>
          <w:sz w:val="21"/>
          <w:szCs w:val="21"/>
        </w:rPr>
        <w:t xml:space="preserve"> DNA mini kit and eluted in 100</w:t>
      </w:r>
      <w:r w:rsidR="008C3919" w:rsidRPr="009D6D54">
        <w:rPr>
          <w:rFonts w:ascii="Arial" w:hAnsi="Arial" w:cs="Arial"/>
          <w:sz w:val="21"/>
          <w:szCs w:val="21"/>
        </w:rPr>
        <w:t xml:space="preserve"> </w:t>
      </w:r>
      <w:r w:rsidR="008C3919" w:rsidRPr="009D6D54">
        <w:rPr>
          <w:rFonts w:ascii="Arial" w:hAnsi="Arial" w:cs="Arial"/>
          <w:sz w:val="21"/>
          <w:szCs w:val="21"/>
        </w:rPr>
        <w:sym w:font="Symbol" w:char="F06D"/>
      </w:r>
      <w:r w:rsidR="00FD487B" w:rsidRPr="009D6D54">
        <w:rPr>
          <w:rFonts w:ascii="Arial" w:hAnsi="Arial" w:cs="Arial"/>
          <w:sz w:val="21"/>
          <w:szCs w:val="21"/>
        </w:rPr>
        <w:t xml:space="preserve">L </w:t>
      </w:r>
      <w:r w:rsidR="00205693">
        <w:rPr>
          <w:rFonts w:ascii="Arial" w:hAnsi="Arial" w:cs="Arial"/>
          <w:sz w:val="21"/>
          <w:szCs w:val="21"/>
        </w:rPr>
        <w:t>TE</w:t>
      </w:r>
      <w:r w:rsidR="00FD487B" w:rsidRPr="009D6D54">
        <w:rPr>
          <w:rFonts w:ascii="Arial" w:hAnsi="Arial" w:cs="Arial"/>
          <w:sz w:val="21"/>
          <w:szCs w:val="21"/>
        </w:rPr>
        <w:t xml:space="preserve">. </w:t>
      </w:r>
      <w:r w:rsidR="00025523">
        <w:rPr>
          <w:rFonts w:ascii="Arial" w:hAnsi="Arial" w:cs="Arial"/>
          <w:sz w:val="21"/>
          <w:szCs w:val="21"/>
        </w:rPr>
        <w:t xml:space="preserve">A single known-negative specimen was extracted alongside each batch of clinical specimens to test for contamination in the extraction process (referred to as extraction controls). </w:t>
      </w:r>
      <w:r w:rsidR="00FD487B" w:rsidRPr="009D6D54">
        <w:rPr>
          <w:rFonts w:ascii="Arial" w:hAnsi="Arial" w:cs="Arial"/>
          <w:sz w:val="21"/>
          <w:szCs w:val="21"/>
        </w:rPr>
        <w:t>Eluate was tested</w:t>
      </w:r>
      <w:r w:rsidRPr="009D6D54">
        <w:rPr>
          <w:rFonts w:ascii="Arial" w:hAnsi="Arial" w:cs="Arial"/>
          <w:sz w:val="21"/>
          <w:szCs w:val="21"/>
        </w:rPr>
        <w:t xml:space="preserve"> </w:t>
      </w:r>
      <w:r w:rsidR="00FD487B" w:rsidRPr="009D6D54">
        <w:rPr>
          <w:rFonts w:ascii="Arial" w:hAnsi="Arial" w:cs="Arial"/>
          <w:sz w:val="21"/>
          <w:szCs w:val="21"/>
        </w:rPr>
        <w:t>for presence of</w:t>
      </w:r>
      <w:r w:rsidRPr="009D6D54">
        <w:rPr>
          <w:rFonts w:ascii="Arial" w:hAnsi="Arial" w:cs="Arial"/>
          <w:sz w:val="21"/>
          <w:szCs w:val="21"/>
        </w:rPr>
        <w:t xml:space="preserve"> host DNA (endogenous control</w:t>
      </w:r>
      <w:r w:rsidR="0020416B">
        <w:rPr>
          <w:rFonts w:ascii="Arial" w:hAnsi="Arial" w:cs="Arial"/>
          <w:sz w:val="21"/>
          <w:szCs w:val="21"/>
        </w:rPr>
        <w:t xml:space="preserve"> target</w:t>
      </w:r>
      <w:r w:rsidRPr="009D6D54">
        <w:rPr>
          <w:rFonts w:ascii="Arial" w:hAnsi="Arial" w:cs="Arial"/>
          <w:sz w:val="21"/>
          <w:szCs w:val="21"/>
        </w:rPr>
        <w:t>) and</w:t>
      </w:r>
      <w:r w:rsidR="00FD487B" w:rsidRPr="009D6D54">
        <w:rPr>
          <w:rFonts w:ascii="Arial" w:hAnsi="Arial" w:cs="Arial"/>
          <w:sz w:val="21"/>
          <w:szCs w:val="21"/>
        </w:rPr>
        <w:t xml:space="preserve"> </w:t>
      </w:r>
      <w:r w:rsidR="00FD487B" w:rsidRPr="009D6D54">
        <w:rPr>
          <w:rFonts w:ascii="Arial" w:hAnsi="Arial" w:cs="Arial"/>
          <w:i/>
          <w:sz w:val="21"/>
          <w:szCs w:val="21"/>
        </w:rPr>
        <w:t xml:space="preserve">Ct </w:t>
      </w:r>
      <w:r w:rsidR="00FD487B" w:rsidRPr="009D6D54">
        <w:rPr>
          <w:rFonts w:ascii="Arial" w:hAnsi="Arial" w:cs="Arial"/>
          <w:sz w:val="21"/>
          <w:szCs w:val="21"/>
        </w:rPr>
        <w:t xml:space="preserve">plasmid DNA </w:t>
      </w:r>
      <w:r w:rsidRPr="009D6D54">
        <w:rPr>
          <w:rFonts w:ascii="Arial" w:hAnsi="Arial" w:cs="Arial"/>
          <w:sz w:val="21"/>
          <w:szCs w:val="21"/>
        </w:rPr>
        <w:t xml:space="preserve">(diagnostic target) </w:t>
      </w:r>
      <w:r w:rsidR="00FD487B" w:rsidRPr="009D6D54">
        <w:rPr>
          <w:rFonts w:ascii="Arial" w:hAnsi="Arial" w:cs="Arial"/>
          <w:sz w:val="21"/>
          <w:szCs w:val="21"/>
        </w:rPr>
        <w:t>using a validated droplet digital PCR</w:t>
      </w:r>
      <w:r w:rsidR="001F336C">
        <w:rPr>
          <w:rFonts w:ascii="Arial" w:hAnsi="Arial" w:cs="Arial"/>
          <w:sz w:val="21"/>
          <w:szCs w:val="21"/>
        </w:rPr>
        <w:t xml:space="preserve"> assay</w:t>
      </w:r>
      <w:r w:rsidR="00FD487B" w:rsidRPr="009D6D54">
        <w:rPr>
          <w:rFonts w:ascii="Arial" w:hAnsi="Arial" w:cs="Arial"/>
          <w:sz w:val="21"/>
          <w:szCs w:val="21"/>
        </w:rPr>
        <w:t xml:space="preserve"> </w:t>
      </w:r>
      <w:r w:rsidR="0020416B">
        <w:rPr>
          <w:rFonts w:ascii="Arial" w:hAnsi="Arial" w:cs="Arial"/>
          <w:sz w:val="21"/>
          <w:szCs w:val="21"/>
        </w:rPr>
        <w:fldChar w:fldCharType="begin" w:fldLock="1"/>
      </w:r>
      <w:r w:rsidR="004D440E">
        <w:rPr>
          <w:rFonts w:ascii="Arial" w:hAnsi="Arial" w:cs="Arial"/>
          <w:sz w:val="21"/>
          <w:szCs w:val="21"/>
        </w:rPr>
        <w:instrText xml:space="preserve">ADDIN CSL_CITATION {"citationItems":[{"id":"ITEM-1","itemData":{"ISSN":"1098-660X","PMID":"23637300","abstract":"Droplet digital PCR (ddPCR) is an emulsion PCR process that performs absolute quantitation of nucleic acids. We developed a ddPCR assay for Chlamydia trachomatis infections and found it to be accurate and precise. Using PCR mixtures containing plasmids engineered to include the PCR target sequences, we were able to quantify with a dynamic range between 0.07 and 3,160 targets/μl (r(2) = 0.9927) with &gt;95% confidence. Using 1,509 clinical conjunctival swab samples from a population in which trachoma is endemic in Guinea Bissau, we evaluated the specificity and sensitivity of the quantitative ddPCR assay in diagnosing ocular C. trachomatis infections by comparing the performances of ddPCR and the Roche Amplicor CT/NG test. We defined ddPCR tests as positive when we had ≥95% confidence in a nonzero estimate of target load. The sensitivity of ddPCR against Amplicor was 73.3% (95% confidence interval [CI], 67.9 to 78.7%), and specificity was 99.1% (95% CI, 98.6 to 99.6%). Negative and positive predictive values were 94.6% (95% CI, 93.4 to 95.8%) and 94.5% (95% CI, 91.3 to 97.7%), respectively. Based on Amplicor CT/NG testing, the estimated population prevalence of C. trachomatis ocular infection was </w:instrText>
      </w:r>
      <w:r w:rsidR="004D440E">
        <w:rPr>
          <w:rFonts w:ascii="Cambria Math" w:hAnsi="Cambria Math" w:cs="Cambria Math"/>
          <w:sz w:val="21"/>
          <w:szCs w:val="21"/>
        </w:rPr>
        <w:instrText>∼</w:instrText>
      </w:r>
      <w:r w:rsidR="004D440E">
        <w:rPr>
          <w:rFonts w:ascii="Arial" w:hAnsi="Arial" w:cs="Arial"/>
          <w:sz w:val="21"/>
          <w:szCs w:val="21"/>
        </w:rPr>
        <w:instrText>17.5%. Receiver-operator curve analysis was used to select critical cutoff values for use in clinical settings in which a balance between higher sensitivity and specificity is required. We concluded that ddPCR is an effective diagnostic technology suitable for both research and clinical use in diagnosing ocular C. trachomatis infections.","author":[{"dropping-particle":"","family":"Roberts","given":"Chrissy H","non-dropping-particle":"","parse-names":false,"suffix":""},{"dropping-particle":"","family":"Last","given":"Anna","non-dropping-particle":"","parse-names":false,"suffix":""},{"dropping-particle":"","family":"Molina-Gonzalez","given":"Sandra","non-dropping-particle":"","parse-names":false,"suffix":""},{"dropping-particle":"","family":"Cassama","given":"Eunice","non-dropping-particle":"","parse-names":false,"suffix":""},{"dropping-particle":"","family":"Butcher","given":"Robert","non-dropping-particle":"","parse-names":false,"suffix":""},{"dropping-particle":"","family":"Nabicassa","given":"Meno","non-dropping-particle":"","parse-names":false,"suffix":""},{"dropping-particle":"","family":"McCarthy","given":"Elizabeth","non-dropping-particle":"","parse-names":false,"suffix":""},{"dropping-particle":"","family":"Burr","given":"Sarah E","non-dropping-particle":"","parse-names":false,"suffix":""},{"dropping-particle":"","family":"Mabey","given":"David C","non-dropping-particle":"","parse-names":false,"suffix":""},{"dropping-particle":"","family":"Bailey","given":"Robin L","non-dropping-particle":"","parse-names":false,"suffix":""},{"dropping-particle":"","family":"Holland","given":"Martin J","non-dropping-particle":"","parse-names":false,"suffix":""}],"container-title":"Journal of Clinical Microbiology","id":"ITEM-1","issue":"7","issued":{"date-parts":[["2013","7"]]},"page":"2195-203","title":"Development and Evaluation of a Next-Generation Digital PCR Diagnostic Assay for Ocular Chlamydia trachomatis Infections.","type":"article-journal","volume":"51"},"uris":["http://www.mendeley.com/documents/?uuid=8b55adf1-5010-4be7-8918-c60bdadd96aa"]}],"mendeley":{"formattedCitation":"[24]","plainTextFormattedCitation":"[24]","previouslyFormattedCitation":"[24]"},"properties":{"noteIndex":0},"schema":"https://github.com/citation-style-language/schema/raw/master/csl-citation.json"}</w:instrText>
      </w:r>
      <w:r w:rsidR="0020416B">
        <w:rPr>
          <w:rFonts w:ascii="Arial" w:hAnsi="Arial" w:cs="Arial"/>
          <w:sz w:val="21"/>
          <w:szCs w:val="21"/>
        </w:rPr>
        <w:fldChar w:fldCharType="separate"/>
      </w:r>
      <w:r w:rsidR="00D3307C" w:rsidRPr="00D3307C">
        <w:rPr>
          <w:rFonts w:ascii="Arial" w:hAnsi="Arial" w:cs="Arial"/>
          <w:noProof/>
          <w:sz w:val="21"/>
          <w:szCs w:val="21"/>
        </w:rPr>
        <w:t>[24]</w:t>
      </w:r>
      <w:r w:rsidR="0020416B">
        <w:rPr>
          <w:rFonts w:ascii="Arial" w:hAnsi="Arial" w:cs="Arial"/>
          <w:sz w:val="21"/>
          <w:szCs w:val="21"/>
        </w:rPr>
        <w:fldChar w:fldCharType="end"/>
      </w:r>
      <w:r w:rsidR="0020416B">
        <w:rPr>
          <w:rFonts w:ascii="Arial" w:hAnsi="Arial" w:cs="Arial"/>
          <w:sz w:val="21"/>
          <w:szCs w:val="21"/>
        </w:rPr>
        <w:t xml:space="preserve"> </w:t>
      </w:r>
      <w:r w:rsidR="00FD487B" w:rsidRPr="009D6D54">
        <w:rPr>
          <w:rFonts w:ascii="Arial" w:hAnsi="Arial" w:cs="Arial"/>
          <w:sz w:val="21"/>
          <w:szCs w:val="21"/>
        </w:rPr>
        <w:t>with minor protocol modifications as described elsewhere</w:t>
      </w:r>
      <w:r w:rsidR="0020416B">
        <w:rPr>
          <w:rFonts w:ascii="Arial" w:hAnsi="Arial" w:cs="Arial"/>
          <w:sz w:val="21"/>
          <w:szCs w:val="21"/>
        </w:rPr>
        <w:t xml:space="preserve"> </w:t>
      </w:r>
      <w:r w:rsidR="0020416B">
        <w:rPr>
          <w:rFonts w:ascii="Arial" w:hAnsi="Arial" w:cs="Arial"/>
          <w:sz w:val="21"/>
          <w:szCs w:val="21"/>
        </w:rPr>
        <w:fldChar w:fldCharType="begin" w:fldLock="1"/>
      </w:r>
      <w:r w:rsidR="004D440E">
        <w:rPr>
          <w:rFonts w:ascii="Arial" w:hAnsi="Arial" w:cs="Arial"/>
          <w:sz w:val="21"/>
          <w:szCs w:val="21"/>
        </w:rPr>
        <w:instrText>ADDIN CSL_CITATION {"citationItems":[{"id":"ITEM-1","itemData":{"DOI":"10.1371/journal.pntd.0005051","ISSN":"1935-2735","PMID":"27695076","abstract":"BACKGROUND Trachoma is endemic in several Pacific Island states. Recent surveys across the Solomon Islands indicated that whilst trachomatous inflammation-follicular (TF) was present at levels warranting intervention, the prevalence of trachomatous trichiasis (TT) was low. We set out to determine the relationship between chlamydial infection and trachoma in this population. METHODS We conducted a population-based trachoma prevalence survey of 3674 individuals from two Solomon Islands provinces. Participants were examined for clinical signs of trachoma. Conjunctival swabs were collected from all children aged 1-9 years. We tested swabs for Chlamydia trachomatis (Ct) DNA using droplet digital PCR. Chlamydial DNA from positive swabs was enriched and sequenced for use in phylogenetic analysis. RESULTS We observed a moderate prevalence of TF in children aged 1-9 years (n = 296/1135, 26.1%) but low prevalence of trachomatous inflammation-intense (TI) (n = 2/1135, 0.2%) and current Ct infection (n = 13/1002, 1.3%) in children aged 1-9 years, and TT in those aged 15+ years (n = 2/2061, 0.1%). Ten of 13 (76.9%) cases of infection were in persons with TF or TI (p = 0.0005). Sequence analysis of the Ct-positive samples yielded 5/13 (38%) complete (&gt;95% coverage of reference) genome sequences, and 8/13 complete plasmid sequences. Complete sequences all aligned most closely to ocular serovar reference strains. DISCUSSION The low prevalence of TT, TI and Ct infection that we observed are incongruent with the high proportion of children exhibiting signs of TF. TF is present at levels that apparently warrant intervention, but the scarcity of other signs of trachoma indicates the phenotype is mild and may not pose a significant public health threat. Our data suggest that, whilst conjunctival Ct infection appears to be present in the region, it is present at levels that are unlikely to be the dominant driving force for TF in the population. This could be one reason for the low prevalence of TT observed during the study.","author":[{"dropping-particle":"","family":"Butcher","given":"Robert M R","non-dropping-particle":"","parse-names":false,"suffix":""},{"dropping-particle":"","family":"Sokana","given":"Oliver","non-dropping-particle":"","parse-names":false,"suffix":""},{"dropping-particle":"","family":"Jack","given":"Kelvin","non-dropping-particle":"","parse-names":false,"suffix":""},{"dropping-particle":"","family":"Macleod","given":"Colin K","non-dropping-particle":"","parse-names":false,"suffix":""},{"dropping-particle":"","family":"Marks","given":"Michael E","non-dropping-particle":"","parse-names":false,"suffix":""},{"dropping-particle":"","family":"Kalae","given":"Eric","non-dropping-particle":"","parse-names":false,"suffix":""},{"dropping-particle":"","family":"Sui","given":"Leslie","non-dropping-particle":"","parse-names":false,"suffix":""},{"dropping-particle":"","family":"Russell","given":"Charles","non-dropping-particle":"","parse-names":false,"suffix":""},{"dropping-particle":"","family":"Tutill","given":"Helena J","non-dropping-particle":"","parse-names":false,"suffix":""},{"dropping-particle":"","family":"Williams","given":"Rachel J","non-dropping-particle":"","parse-names":false,"suffix":""},{"dropping-particle":"","family":"Breuer","given":"Judith","non-dropping-particle":"","parse-names":false,"suffix":""},{"dropping-particle":"","family":"Willis","given":"Rebecca","non-dropping-particle":"","parse-names":false,"suffix":""},{"dropping-particle":"","family":"Mesurier","given":"Richard T","non-dropping-particle":"Le","parse-names":false,"suffix":""},{"dropping-particle":"","family":"Mabey","given":"David C W","non-dropping-particle":"","parse-names":false,"suffix":""},{"dropping-particle":"","family":"Solomon","given":"Anthony W","non-dropping-particle":"","parse-names":false,"suffix":""},{"dropping-particle":"","family":"Roberts","given":"Chrissy H","non-dropping-particle":"","parse-names":false,"suffix":""}],"container-title":"PLoS Neglected Tropical Diseases","id":"ITEM-1","issue":"9","issued":{"date-parts":[["2016"]]},"page":"e0004863","title":"Low Prevalence of Conjunctival Infection with Chlamydia trachomatis in a Treatment-Naïve Trachoma-Endemic Region of the Solomon Islands.","type":"article-journal","volume":"10"},"uris":["http://www.mendeley.com/documents/?uuid=202c233c-eebb-45fa-832e-bbc8e9c9acd0"]},{"id":"ITEM-2","itemData":{"DOI":"10.1371/journal.pntd.0004798","ISSN":"1935-2735","PMID":"27404379","abstract":"BACKGROUND Trachoma is the leading infectious cause of blindness and is caused by ocular infection with the bacterium Chlamydia trachomatis (Ct). While the majority of the global disease burden is found in sub-Saharan Africa, the Western Pacific Region has been identified as trachoma endemic. Population surveys carried out throughout Fiji have shown an abundance of both clinically active trachoma and trachomatous trichiasis in all divisions. This finding is at odds with the clinical experience of local healthcare workers who do not consider trachoma to be highly prevalent. We aimed to determine whether conjunctival infection with Ct could be detected in one administrative division of Fiji. METHODS A population-based survey of 2306 individuals was conducted using the Global Trachoma Mapping Project methodology. Population prevalence of active trachoma in children and trichiasis in adults was estimated using the World Health Organization simplified grading system. Conjunctival swabs were collected from 1009 children aged 1-9 years. DNA from swabs was tested for the presence of the Ct plasmid and human endogenous control. RESULTS The prevalence of active trachoma in 1-9 year olds was 3.4%. The age-adjusted prevalence was 2.8% (95% CI: 1.4-4.3%). The unadjusted prevalence of ocular Ct infection in 1-9 year-olds was 1.9% (19/1009), and the age-adjusted infection prevalence was 2.3% (95% CI: 0.4-2.5%). The median DNA load was 41 Ct plasmid copies per swab (min 20, first quartile 32, mean 6665, third quartile 161, max 86354). There was no association between current infection and follicular trachoma. No cases of trachomatous trichiasis were identified. DISCUSSION The Western Division of Fiji has a low prevalence of clinical trachoma. Ocular Ct infections were observed, but they were predominantly low load infections and were not correlated with clinical signs. Our study data suggest that trachoma does not meet the WHO definition of a public health problem in this Division of Fiji, but the inconsistency with previous studies warrants further investigation.","author":[{"dropping-particle":"","family":"Macleod","given":"Colin K","non-dropping-particle":"","parse-names":false,"suffix":""},{"dropping-particle":"","family":"Butcher","given":"Robert","non-dropping-particle":"","parse-names":false,"suffix":""},{"dropping-particle":"","family":"Mudaliar","given":"Unmesh Umesh","non-dropping-particle":"","parse-names":false,"suffix":""},{"dropping-particle":"","family":"Natutusau","given":"Kinisimere","non-dropping-particle":"","parse-names":false,"suffix":""},{"dropping-particle":"","family":"Pavluck","given":"Alexandre L","non-dropping-particle":"","parse-names":false,"suffix":""},{"dropping-particle":"","family":"Willis","given":"Rebecca","non-dropping-particle":"","parse-names":false,"suffix":""},{"dropping-particle":"","family":"Alexander","given":"Neal","non-dropping-particle":"","parse-names":false,"suffix":""},{"dropping-particle":"","family":"Mabey","given":"David CW W","non-dropping-particle":"","parse-names":false,"suffix":""},{"dropping-particle":"","family":"Cikamatana","given":"Luisa","non-dropping-particle":"","parse-names":false,"suffix":""},{"dropping-particle":"","family":"Kama","given":"Mike","non-dropping-particle":"","parse-names":false,"suffix":""},{"dropping-particle":"","family":"Rafai","given":"Eric","non-dropping-particle":"","parse-names":false,"suffix":""},{"dropping-particle":"","family":"Roberts","given":"Chrissy H","non-dropping-particle":"","parse-names":false,"suffix":""},{"dropping-particle":"","family":"Solomon","given":"Anthony W","non-dropping-particle":"","parse-names":false,"suffix":""},{"dropping-particle":"","family":"Mabey","given":"David CW W","non-dropping-particle":"","parse-names":false,"suffix":""},{"dropping-particle":"","family":"Roberts","given":"Chrissy H","non-dropping-particle":"","parse-names":false,"suffix":""},{"dropping-particle":"","family":"Rafai","given":"Eric","non-dropping-particle":"","parse-names":false,"suffix":""},{"dropping-particle":"","family":"Solomon","given":"Anthony W","non-dropping-particle":"","parse-names":false,"suffix":""}],"container-title":"PLoS Neglected Tropical Diseases","id":"ITEM-2","issue":"7","issued":{"date-parts":[["2016"]]},"page":"e0004798","title":"Low prevalence of ocular Chlamydia trachomatis infection and active trachoma in the Western Division of Fiji.","type":"article-journal","volume":"10"},"uris":["http://www.mendeley.com/documents/?uuid=39c32025-763f-4c20-bcc2-7ec9ac3fda78"]}],"mendeley":{"formattedCitation":"[17,25]","plainTextFormattedCitation":"[17,25]","previouslyFormattedCitation":"[17,25]"},"properties":{"noteIndex":0},"schema":"https://github.com/citation-style-language/schema/raw/master/csl-citation.json"}</w:instrText>
      </w:r>
      <w:r w:rsidR="0020416B">
        <w:rPr>
          <w:rFonts w:ascii="Arial" w:hAnsi="Arial" w:cs="Arial"/>
          <w:sz w:val="21"/>
          <w:szCs w:val="21"/>
        </w:rPr>
        <w:fldChar w:fldCharType="separate"/>
      </w:r>
      <w:r w:rsidR="00D3307C" w:rsidRPr="00D3307C">
        <w:rPr>
          <w:rFonts w:ascii="Arial" w:hAnsi="Arial" w:cs="Arial"/>
          <w:noProof/>
          <w:sz w:val="21"/>
          <w:szCs w:val="21"/>
        </w:rPr>
        <w:t>[17,25]</w:t>
      </w:r>
      <w:r w:rsidR="0020416B">
        <w:rPr>
          <w:rFonts w:ascii="Arial" w:hAnsi="Arial" w:cs="Arial"/>
          <w:sz w:val="21"/>
          <w:szCs w:val="21"/>
        </w:rPr>
        <w:fldChar w:fldCharType="end"/>
      </w:r>
      <w:r w:rsidR="00FD487B" w:rsidRPr="009D6D54">
        <w:rPr>
          <w:rFonts w:ascii="Arial" w:hAnsi="Arial" w:cs="Arial"/>
          <w:sz w:val="21"/>
          <w:szCs w:val="21"/>
        </w:rPr>
        <w:t>.</w:t>
      </w:r>
      <w:r w:rsidR="009D6D54" w:rsidRPr="009D6D54">
        <w:rPr>
          <w:rFonts w:ascii="Arial" w:hAnsi="Arial" w:cs="Arial"/>
          <w:sz w:val="21"/>
          <w:szCs w:val="21"/>
        </w:rPr>
        <w:t xml:space="preserve"> </w:t>
      </w:r>
      <w:r w:rsidR="00DC20C0">
        <w:rPr>
          <w:rFonts w:ascii="Arial" w:hAnsi="Arial" w:cs="Arial"/>
          <w:sz w:val="21"/>
          <w:szCs w:val="21"/>
        </w:rPr>
        <w:t xml:space="preserve">Known-positive and no-template controls were run on each plate to check for contamination </w:t>
      </w:r>
      <w:r w:rsidR="0018184B">
        <w:rPr>
          <w:rFonts w:ascii="Arial" w:hAnsi="Arial" w:cs="Arial"/>
          <w:sz w:val="21"/>
          <w:szCs w:val="21"/>
        </w:rPr>
        <w:t xml:space="preserve">of </w:t>
      </w:r>
      <w:r w:rsidR="00DC20C0">
        <w:rPr>
          <w:rFonts w:ascii="Arial" w:hAnsi="Arial" w:cs="Arial"/>
          <w:sz w:val="21"/>
          <w:szCs w:val="21"/>
        </w:rPr>
        <w:t>reagents and provide guidance for manual threshold gating</w:t>
      </w:r>
      <w:r w:rsidR="00025523">
        <w:rPr>
          <w:rFonts w:ascii="Arial" w:hAnsi="Arial" w:cs="Arial"/>
          <w:sz w:val="21"/>
          <w:szCs w:val="21"/>
        </w:rPr>
        <w:t xml:space="preserve"> (referred to as PCR controls)</w:t>
      </w:r>
      <w:r w:rsidR="00DC20C0">
        <w:rPr>
          <w:rFonts w:ascii="Arial" w:hAnsi="Arial" w:cs="Arial"/>
          <w:sz w:val="21"/>
          <w:szCs w:val="21"/>
        </w:rPr>
        <w:t xml:space="preserve">. </w:t>
      </w:r>
    </w:p>
    <w:p w14:paraId="79B0D2BB" w14:textId="77777777" w:rsidR="000351A1" w:rsidRPr="00955EFD" w:rsidRDefault="000351A1" w:rsidP="008B5BE3">
      <w:pPr>
        <w:spacing w:line="480" w:lineRule="auto"/>
        <w:jc w:val="both"/>
        <w:rPr>
          <w:rFonts w:ascii="Arial" w:hAnsi="Arial" w:cs="Arial"/>
          <w:sz w:val="21"/>
          <w:szCs w:val="21"/>
        </w:rPr>
      </w:pPr>
    </w:p>
    <w:p w14:paraId="528B999B" w14:textId="3A068128" w:rsidR="000351A1" w:rsidRPr="00955EFD" w:rsidRDefault="000351A1" w:rsidP="008B5BE3">
      <w:pPr>
        <w:spacing w:line="480" w:lineRule="auto"/>
        <w:jc w:val="both"/>
        <w:rPr>
          <w:rFonts w:ascii="Arial" w:hAnsi="Arial" w:cs="Arial"/>
          <w:sz w:val="21"/>
          <w:szCs w:val="21"/>
          <w:u w:val="single"/>
        </w:rPr>
      </w:pPr>
      <w:r w:rsidRPr="00955EFD">
        <w:rPr>
          <w:rFonts w:ascii="Arial" w:hAnsi="Arial" w:cs="Arial"/>
          <w:sz w:val="21"/>
          <w:szCs w:val="21"/>
          <w:u w:val="single"/>
        </w:rPr>
        <w:t>Anti-Pgp3 antibodies</w:t>
      </w:r>
    </w:p>
    <w:p w14:paraId="58570CBE" w14:textId="77777777" w:rsidR="000351A1" w:rsidRPr="00955EFD" w:rsidRDefault="000351A1" w:rsidP="008B5BE3">
      <w:pPr>
        <w:spacing w:line="480" w:lineRule="auto"/>
        <w:jc w:val="both"/>
        <w:rPr>
          <w:rFonts w:ascii="Arial" w:hAnsi="Arial" w:cs="Arial"/>
          <w:sz w:val="21"/>
          <w:szCs w:val="21"/>
        </w:rPr>
      </w:pPr>
    </w:p>
    <w:p w14:paraId="2EDB7B1B" w14:textId="588A3E49" w:rsidR="001F336C" w:rsidRDefault="006860A7" w:rsidP="008B5BE3">
      <w:pPr>
        <w:spacing w:line="480" w:lineRule="auto"/>
        <w:jc w:val="both"/>
        <w:rPr>
          <w:rFonts w:ascii="Arial" w:hAnsi="Arial" w:cs="Arial"/>
          <w:sz w:val="21"/>
          <w:szCs w:val="21"/>
        </w:rPr>
      </w:pPr>
      <w:r>
        <w:rPr>
          <w:rFonts w:ascii="Arial" w:hAnsi="Arial" w:cs="Arial"/>
          <w:sz w:val="21"/>
          <w:szCs w:val="21"/>
        </w:rPr>
        <w:t>E</w:t>
      </w:r>
      <w:r w:rsidR="000351A1" w:rsidRPr="00955EFD">
        <w:rPr>
          <w:rFonts w:ascii="Arial" w:hAnsi="Arial" w:cs="Arial"/>
          <w:sz w:val="21"/>
          <w:szCs w:val="21"/>
        </w:rPr>
        <w:t xml:space="preserve">ach participant had their finger cleaned and pricked, and a few drops of blood collected onto </w:t>
      </w:r>
      <w:r w:rsidR="00955EFD" w:rsidRPr="00955EFD">
        <w:rPr>
          <w:rFonts w:ascii="Arial" w:hAnsi="Arial" w:cs="Arial"/>
          <w:sz w:val="21"/>
          <w:szCs w:val="21"/>
        </w:rPr>
        <w:t xml:space="preserve">extensions of a </w:t>
      </w:r>
      <w:r w:rsidR="000351A1" w:rsidRPr="00955EFD">
        <w:rPr>
          <w:rFonts w:ascii="Arial" w:hAnsi="Arial" w:cs="Arial"/>
          <w:sz w:val="21"/>
          <w:szCs w:val="21"/>
        </w:rPr>
        <w:t>filter paper</w:t>
      </w:r>
      <w:r w:rsidR="00955EFD" w:rsidRPr="00955EFD">
        <w:rPr>
          <w:rFonts w:ascii="Arial" w:hAnsi="Arial" w:cs="Arial"/>
          <w:sz w:val="21"/>
          <w:szCs w:val="21"/>
        </w:rPr>
        <w:t xml:space="preserve"> disk </w:t>
      </w:r>
      <w:r w:rsidR="00B751C9">
        <w:rPr>
          <w:rFonts w:ascii="Arial" w:hAnsi="Arial" w:cs="Arial"/>
          <w:sz w:val="21"/>
          <w:szCs w:val="21"/>
        </w:rPr>
        <w:t>estimated</w:t>
      </w:r>
      <w:r w:rsidR="00955EFD" w:rsidRPr="00955EFD">
        <w:rPr>
          <w:rFonts w:ascii="Arial" w:hAnsi="Arial" w:cs="Arial"/>
          <w:sz w:val="21"/>
          <w:szCs w:val="21"/>
        </w:rPr>
        <w:t xml:space="preserve"> to hold 10 </w:t>
      </w:r>
      <w:r w:rsidR="00955EFD" w:rsidRPr="00955EFD">
        <w:rPr>
          <w:rFonts w:ascii="Arial" w:hAnsi="Arial" w:cs="Arial"/>
          <w:sz w:val="21"/>
          <w:szCs w:val="21"/>
        </w:rPr>
        <w:sym w:font="Symbol" w:char="F06D"/>
      </w:r>
      <w:r w:rsidR="00955EFD" w:rsidRPr="00955EFD">
        <w:rPr>
          <w:rFonts w:ascii="Arial" w:hAnsi="Arial" w:cs="Arial"/>
          <w:sz w:val="21"/>
          <w:szCs w:val="21"/>
        </w:rPr>
        <w:t>L of blood</w:t>
      </w:r>
      <w:r w:rsidR="000351A1" w:rsidRPr="00955EFD">
        <w:rPr>
          <w:rFonts w:ascii="Arial" w:hAnsi="Arial" w:cs="Arial"/>
          <w:sz w:val="21"/>
          <w:szCs w:val="21"/>
        </w:rPr>
        <w:t>. Blood spots were dried at ambient temperature overnight, then refrigerated for up to one week before freezing</w:t>
      </w:r>
      <w:r w:rsidR="00B751C9">
        <w:rPr>
          <w:rFonts w:ascii="Arial" w:hAnsi="Arial" w:cs="Arial"/>
          <w:sz w:val="21"/>
          <w:szCs w:val="21"/>
        </w:rPr>
        <w:t xml:space="preserve"> </w:t>
      </w:r>
      <w:r w:rsidR="0020416B">
        <w:rPr>
          <w:rFonts w:ascii="Arial" w:hAnsi="Arial" w:cs="Arial"/>
          <w:sz w:val="21"/>
          <w:szCs w:val="21"/>
        </w:rPr>
        <w:fldChar w:fldCharType="begin" w:fldLock="1"/>
      </w:r>
      <w:r w:rsidR="004D440E">
        <w:rPr>
          <w:rFonts w:ascii="Arial" w:hAnsi="Arial" w:cs="Arial"/>
          <w:sz w:val="21"/>
          <w:szCs w:val="21"/>
        </w:rPr>
        <w:instrText>ADDIN CSL_CITATION {"citationItems":[{"id":"ITEM-1","itemData":{"DOI":"10.1371/journal.pntd.0001873","ISBN":"1935-2735","ISSN":"1935-2735","PMID":"23133684","abstract":"BACKGROUND: Defining endpoints for trachoma programs can be a challenge as clinical signs of infection may persist in the absence of detectable bacteria. Antibody-based tests may provide an alternative testing strategy for surveillance during terminal phases of the program. Antibody-based assays, in particular ELISAs, have been shown to be useful to document C. trachomatis genital infections, but have not been explored extensively for ocular C. trachomatis infections. METHODOLOGY/PRINCIPAL FINDINGS: An antibody-based multiplex assay was used to test two C. trachomatis antigens, pgp3 and CT694, for detection of trachoma antibodies in bloodspots from Tanzanian children (n = 160) collected after multiple rounds of mass azithromycin treatment. Using samples from C. trachomatis-positive (by PCR) children from Tanzania (n = 11) and control sera from a non-endemic group of U.S. children (n = 122), IgG responses to both pgp3 and CT694 were determined to be 91% sensitive and 98% specific. Antibody responses of Tanzanian children were analyzed with regard to clinical trachoma, PCR positivity, and age. In general, children with more intense ocular pathology (TF/TI = 2 or most severe) had a higher median antibody response to pgp3 (p = 0.0041) and CT694 (p = 0.0282) than those with normal exams (TF/TI = 0). However, 44% of children with no ocular pathology tested positive for antibody, suggesting prior infection. The median titer of antibody responses for children less than three years of age was significantly lower than those of older children. (p&lt;0.0001 for both antigens). CONCLUSIONS/SIGNIFICANCE: The antibody-based multiplex assay is a sensitive and specific additional tool for evaluating trachoma transmission. The assay can also be expanded to include antigens representing different diseases, allowing for a robust assay for monitoring across NTD programs.","author":[{"dropping-particle":"","family":"Goodhew","given":"E Brook","non-dropping-particle":"","parse-names":false,"suffix":""},{"dropping-particle":"","family":"Priest","given":"Jeffrey W","non-dropping-particle":"","parse-names":false,"suffix":""},{"dropping-particle":"","family":"Moss","given":"Delynn M","non-dropping-particle":"","parse-names":false,"suffix":""},{"dropping-particle":"","family":"Zhong","given":"Guangming","non-dropping-particle":"","parse-names":false,"suffix":""},{"dropping-particle":"","family":"Munoz","given":"Beatriz","non-dropping-particle":"","parse-names":false,"suffix":""},{"dropping-particle":"","family":"Mkocha","given":"Harran","non-dropping-particle":"","parse-names":false,"suffix":""},{"dropping-particle":"","family":"Martin","given":"Diana L","non-dropping-particle":"","parse-names":false,"suffix":""},{"dropping-particle":"","family":"West","given":"Sheila K","non-dropping-particle":"","parse-names":false,"suffix":""},{"dropping-particle":"","family":"Gaydos","given":"Charlotte","non-dropping-particle":"","parse-names":false,"suffix":""},{"dropping-particle":"","family":"Lammie","given":"Patrick J","non-dropping-particle":"","parse-names":false,"suffix":""}],"container-title":"PLoS neglected tropical diseases","id":"ITEM-1","issue":"11","issued":{"date-parts":[["2012"]]},"note":"From Duplicate 1 (CT694 and pgp3 as serological tools for monitoring trachoma programs. - Goodhew, E Brook; Priest, Jeffrey W; Moss, Delynn M; Zhong, Guangming; Munoz, Beatriz; Mkocha, Harran; Martin, Diana L; West, Sheila K; Gaydos, Charlotte; Lammie, Patrick J)\n\nFrom Duplicate 1 (CT694 and pgp3 as Serological Tools for Monitoring Trachoma Programs - Goodhew, E Brook; Priest, Jeffrey W; Moss, Delynn M; Zhong, Guangming; Munoz, Beatriz; Mkocha, Harran; Martin, Diana L; West, Sheila K; Gaydos, Charlotte; Lammie, Patrick J)\n\nTimes Cited: 9\n0\n9\n\nFrom Duplicate 2 (CT694 and pgp3 as Serological Tools for Monitoring Trachoma Programs - Goodhew, E Brook; Priest, Jeffrey W; Moss, Delynn M; Zhong, Guangming; Munoz, Beatriz; Mkocha, Harran; Martin, Diana L; West, Sheila K; Gaydos, Charlotte; Lammie, Patrick J)\n\nTimes Cited: 9\n0\n9","page":"e1873","title":"CT694 and pgp3 as serological tools for monitoring trachoma programs.","type":"article-journal","volume":"6"},"uris":["http://www.mendeley.com/documents/?uuid=a541d7c2-31f4-4aa4-9cbf-e52c0ecf6608"]}],"mendeley":{"formattedCitation":"[26]","plainTextFormattedCitation":"[26]","previouslyFormattedCitation":"[26]"},"properties":{"noteIndex":0},"schema":"https://github.com/citation-style-language/schema/raw/master/csl-citation.json"}</w:instrText>
      </w:r>
      <w:r w:rsidR="0020416B">
        <w:rPr>
          <w:rFonts w:ascii="Arial" w:hAnsi="Arial" w:cs="Arial"/>
          <w:sz w:val="21"/>
          <w:szCs w:val="21"/>
        </w:rPr>
        <w:fldChar w:fldCharType="separate"/>
      </w:r>
      <w:r w:rsidR="00D3307C" w:rsidRPr="00D3307C">
        <w:rPr>
          <w:rFonts w:ascii="Arial" w:hAnsi="Arial" w:cs="Arial"/>
          <w:noProof/>
          <w:sz w:val="21"/>
          <w:szCs w:val="21"/>
        </w:rPr>
        <w:t>[26]</w:t>
      </w:r>
      <w:r w:rsidR="0020416B">
        <w:rPr>
          <w:rFonts w:ascii="Arial" w:hAnsi="Arial" w:cs="Arial"/>
          <w:sz w:val="21"/>
          <w:szCs w:val="21"/>
        </w:rPr>
        <w:fldChar w:fldCharType="end"/>
      </w:r>
      <w:r w:rsidR="000351A1" w:rsidRPr="00955EFD">
        <w:rPr>
          <w:rFonts w:ascii="Arial" w:hAnsi="Arial" w:cs="Arial"/>
          <w:sz w:val="21"/>
          <w:szCs w:val="21"/>
        </w:rPr>
        <w:t>.</w:t>
      </w:r>
      <w:r w:rsidR="00DB3E76">
        <w:rPr>
          <w:rFonts w:ascii="Arial" w:hAnsi="Arial" w:cs="Arial"/>
          <w:sz w:val="21"/>
          <w:szCs w:val="21"/>
        </w:rPr>
        <w:t xml:space="preserve"> Dried blood spots were shipped to the UK at </w:t>
      </w:r>
      <w:r w:rsidR="00DC1848">
        <w:rPr>
          <w:rFonts w:ascii="Arial" w:hAnsi="Arial" w:cs="Arial"/>
          <w:sz w:val="21"/>
          <w:szCs w:val="21"/>
        </w:rPr>
        <w:t xml:space="preserve">room </w:t>
      </w:r>
      <w:r w:rsidR="00DB3E76">
        <w:rPr>
          <w:rFonts w:ascii="Arial" w:hAnsi="Arial" w:cs="Arial"/>
          <w:sz w:val="21"/>
          <w:szCs w:val="21"/>
        </w:rPr>
        <w:t>temperature</w:t>
      </w:r>
      <w:r>
        <w:rPr>
          <w:rFonts w:ascii="Arial" w:hAnsi="Arial" w:cs="Arial"/>
          <w:sz w:val="21"/>
          <w:szCs w:val="21"/>
        </w:rPr>
        <w:t xml:space="preserve"> and</w:t>
      </w:r>
      <w:r w:rsidR="001F336C">
        <w:rPr>
          <w:rFonts w:ascii="Arial" w:hAnsi="Arial" w:cs="Arial"/>
          <w:sz w:val="21"/>
          <w:szCs w:val="21"/>
        </w:rPr>
        <w:t xml:space="preserve"> re-frozen on arrival then</w:t>
      </w:r>
      <w:r w:rsidR="00DB3E76">
        <w:rPr>
          <w:rFonts w:ascii="Arial" w:hAnsi="Arial" w:cs="Arial"/>
          <w:sz w:val="21"/>
          <w:szCs w:val="21"/>
        </w:rPr>
        <w:t xml:space="preserve"> processed </w:t>
      </w:r>
      <w:r w:rsidR="008D1A55">
        <w:rPr>
          <w:rFonts w:ascii="Arial" w:hAnsi="Arial" w:cs="Arial"/>
          <w:sz w:val="21"/>
          <w:szCs w:val="21"/>
        </w:rPr>
        <w:t xml:space="preserve">in </w:t>
      </w:r>
      <w:r w:rsidR="00DB3E76">
        <w:rPr>
          <w:rFonts w:ascii="Arial" w:hAnsi="Arial" w:cs="Arial"/>
          <w:sz w:val="21"/>
          <w:szCs w:val="21"/>
        </w:rPr>
        <w:t>January–June 2018. Anti-Pgp3 antibod</w:t>
      </w:r>
      <w:r w:rsidR="008C3919">
        <w:rPr>
          <w:rFonts w:ascii="Arial" w:hAnsi="Arial" w:cs="Arial"/>
          <w:sz w:val="21"/>
          <w:szCs w:val="21"/>
        </w:rPr>
        <w:t>y level</w:t>
      </w:r>
      <w:r w:rsidR="00DB3E76">
        <w:rPr>
          <w:rFonts w:ascii="Arial" w:hAnsi="Arial" w:cs="Arial"/>
          <w:sz w:val="21"/>
          <w:szCs w:val="21"/>
        </w:rPr>
        <w:t xml:space="preserve"> </w:t>
      </w:r>
      <w:r w:rsidR="008C3919">
        <w:rPr>
          <w:rFonts w:ascii="Arial" w:hAnsi="Arial" w:cs="Arial"/>
          <w:sz w:val="21"/>
          <w:szCs w:val="21"/>
        </w:rPr>
        <w:t xml:space="preserve">was measured with </w:t>
      </w:r>
      <w:r w:rsidR="00224390">
        <w:rPr>
          <w:rFonts w:ascii="Arial" w:hAnsi="Arial" w:cs="Arial"/>
          <w:sz w:val="21"/>
          <w:szCs w:val="21"/>
        </w:rPr>
        <w:t>an</w:t>
      </w:r>
      <w:r w:rsidR="008C3919">
        <w:rPr>
          <w:rFonts w:ascii="Arial" w:hAnsi="Arial" w:cs="Arial"/>
          <w:sz w:val="21"/>
          <w:szCs w:val="21"/>
        </w:rPr>
        <w:t xml:space="preserve"> ELISA assay</w:t>
      </w:r>
      <w:r w:rsidR="000F0EC4">
        <w:rPr>
          <w:rFonts w:ascii="Arial" w:hAnsi="Arial" w:cs="Arial"/>
          <w:sz w:val="21"/>
          <w:szCs w:val="21"/>
        </w:rPr>
        <w:t>,</w:t>
      </w:r>
      <w:r w:rsidR="008C3919">
        <w:rPr>
          <w:rFonts w:ascii="Arial" w:hAnsi="Arial" w:cs="Arial"/>
          <w:sz w:val="21"/>
          <w:szCs w:val="21"/>
        </w:rPr>
        <w:t xml:space="preserve"> as described elsewhere</w:t>
      </w:r>
      <w:r w:rsidR="0020416B">
        <w:rPr>
          <w:rFonts w:ascii="Arial" w:hAnsi="Arial" w:cs="Arial"/>
          <w:sz w:val="21"/>
          <w:szCs w:val="21"/>
        </w:rPr>
        <w:t xml:space="preserve"> </w:t>
      </w:r>
      <w:r w:rsidR="0020416B">
        <w:rPr>
          <w:rFonts w:ascii="Arial" w:hAnsi="Arial" w:cs="Arial"/>
          <w:sz w:val="21"/>
          <w:szCs w:val="21"/>
        </w:rPr>
        <w:fldChar w:fldCharType="begin" w:fldLock="1"/>
      </w:r>
      <w:r w:rsidR="004D440E">
        <w:rPr>
          <w:rFonts w:ascii="Arial" w:hAnsi="Arial" w:cs="Arial"/>
          <w:sz w:val="21"/>
          <w:szCs w:val="21"/>
        </w:rPr>
        <w:instrText>ADDIN CSL_CITATION {"citationItems":[{"id":"ITEM-1","itemData":{"DOI":"https://doi.org/10.4269/ajtmh.17-0292","abstract":"Antibody responses to Chlamydia trachomatis (CT) antigens may be useful tools for surveillance of trachoma by estimating cumulative prevalence of infection within a population. Data were compared from three different platforms-multiplex bead array (MBA), enzyme-linked immunosorbent assay (ELISA), and lateral flow assay (LFA)-measuring antibody responses against the CT antigen protein plasmid gene product 3 (Pgp3). Sensitivity was defined as the proportion of specimens testing antibody positive from a set of dried blood spots from Tanzanian 1-9-year olds who were positive for CT nucleic acid of all nucleic acid amplification test (NAAT)-positive individuals (N = 103). The sensitivity of the LFA could not be determined because of the use of dried blood spots for this test; this specimen type has yet to be adapted to LFA. Specificity was defined as the proportion of sera from U.S. and Bolivian 1-9-year olds that had previously tested negative by the Chlamydia microimmunofluorescence (MIF) assay testing negative to Pgp3-specific antibodies (N = 154). The sensitivity for MBA and ELISA was the same-93.2 (95% confidence interval [CI]: 88.3-98.1). Specificity ranged across platforms from 96.1 (95% CI: 91.8-98.2) to 99.4% (95% CI: 98.2-100). ELISA performance was similar regardless of whether the plates were precoated or freshly coated with antigen. Sensitivity and specificity of control panels were similar if the cutoff was determined using receiver operator curves or a finite mixture model, but the cutoffs themselves differed by approximately 0.5 OD using the different methodologies. These platforms show good sensitivity and specificity and show good agreement between tests at a population level, but indicate variability for ELISA outcomes depending on the cutoff determination methodology.","author":[{"dropping-particle":"","family":"Gwyn","given":"Sarah","non-dropping-particle":"","parse-names":false,"suffix":""},{"dropping-particle":"","family":"Cooley","given":"Gretchen","non-dropping-particle":"","parse-names":false,"suffix":""},{"dropping-particle":"","family":"Goodhew","given":"Brook","non-dropping-particle":"","parse-names":false,"suffix":""},{"dropping-particle":"","family":"Kohloff","given":"Stephan","non-dropping-particle":"","parse-names":false,"suffix":""},{"dropping-particle":"","family":"Banniettis","given":"Natalie","non-dropping-particle":"","parse-names":false,"suffix":""},{"dropping-particle":"","family":"Wiegand","given":"Ryan","non-dropping-particle":"","parse-names":false,"suffix":""},{"dropping-particle":"","family":"Martin","given":"Diana L","non-dropping-particle":"","parse-names":false,"suffix":""}],"container-title":"American Journal of Tropical Medicine &amp; Hygiene","id":"ITEM-1","issue":"6","issued":{"date-parts":[["2017"]]},"page":"1662-1668.","title":"Comparison of Platforms for Testing Antibody Responses against the Chlamydia trachomatis Antigen Pgp3.","type":"article-journal","volume":"97"},"uris":["http://www.mendeley.com/documents/?uuid=2d8c895a-0474-48de-a1cf-5573545ae5db"]},{"id":"ITEM-2","itemData":{"DOI":"10.1093/trstmh/trw069","ISSN":"1878-3503 (Electronic)","PMID":"27852877","abstract":"BACKGROUND: Both yaws and trachoma are endemic in several countries in the Pacific. In co-endemic countries there may be potential synergies between both control programmes. METHODS: We undertook a cluster randomised trachoma and yaws seroprevalence survey of children in the Western Division of Fiji. Children were examined for skin lesions consistent with active yaws. A dried blood spot was collected which was tested using the Treponema pallidum particle agglutination (TPPA) test and an ELISA to detect antibodies against Pgp3. RESULTS: A total of 607 children from 305 households across 23 villages were recruited into the survey. On skin examination, no child had clinical evidence of yaws, and the TPPA assay was negative in all children (0%, 95% CI 0.0-0.6). The seroprevalence of Pgp3 antibodies was 20.9% (95% CI 17.8-24.6%). DISCUSSION: In this study there was neither clinical nor serological evidence that transmission of yaws was ongoing. The Pgp3 seroprevalence pattern was consistent with either low level transmission of ocular Chlamydia trachomatis or exposure to C. trachomatis in the birth canal which is consistent with a survey conducted in the same region in 2013. These data suggest neither yaws nor ocular chlamydia infection are a significant public health problem in the Western Division of Fiji.","author":[{"dropping-particle":"","family":"Cocks","given":"Naomi","non-dropping-particle":"","parse-names":false,"suffix":""},{"dropping-particle":"","family":"Rainima-Qaniuci","given":"Merelesita","non-dropping-particle":"","parse-names":false,"suffix":""},{"dropping-particle":"","family":"Yalen","given":"Chelsea","non-dropping-particle":"","parse-names":false,"suffix":""},{"dropping-particle":"","family":"Macleod","given":"Colin","non-dropping-particle":"","parse-names":false,"suffix":""},{"dropping-particle":"","family":"Nakolinivalu","given":"Apisalome","non-dropping-particle":"","parse-names":false,"suffix":""},{"dropping-particle":"","family":"Migchelsen","given":"Stephanie","non-dropping-particle":"","parse-names":false,"suffix":""},{"dropping-particle":"","family":"Roberts","given":"Chrissy H","non-dropping-particle":"","parse-names":false,"suffix":""},{"dropping-particle":"","family":"Butcher","given":"Robert","non-dropping-particle":"","parse-names":false,"suffix":""},{"dropping-particle":"","family":"Kama","given":"Mike","non-dropping-particle":"","parse-names":false,"suffix":""},{"dropping-particle":"","family":"Mabey","given":"David","non-dropping-particle":"","parse-names":false,"suffix":""},{"dropping-particle":"","family":"Marks","given":"Michael","non-dropping-particle":"","parse-names":false,"suffix":""}],"container-title":"Transactions of the Royal Society of Tropical Medicine and Hygiene","id":"ITEM-2","issue":"10","issued":{"date-parts":[["2016","12"]]},"language":"eng","page":"582-587","publisher-place":"England","title":"Community seroprevalence survey for yaws and trachoma in the Western Division of Fiji.","type":"article-journal","volume":"110"},"uris":["http://www.mendeley.com/documents/?uuid=ab16865d-0099-4fc0-80f2-1270ea2985a2"]}],"mendeley":{"formattedCitation":"[27,28]","plainTextFormattedCitation":"[27,28]","previouslyFormattedCitation":"[27,28]"},"properties":{"noteIndex":0},"schema":"https://github.com/citation-style-language/schema/raw/master/csl-citation.json"}</w:instrText>
      </w:r>
      <w:r w:rsidR="0020416B">
        <w:rPr>
          <w:rFonts w:ascii="Arial" w:hAnsi="Arial" w:cs="Arial"/>
          <w:sz w:val="21"/>
          <w:szCs w:val="21"/>
        </w:rPr>
        <w:fldChar w:fldCharType="separate"/>
      </w:r>
      <w:r w:rsidR="00D3307C" w:rsidRPr="00D3307C">
        <w:rPr>
          <w:rFonts w:ascii="Arial" w:hAnsi="Arial" w:cs="Arial"/>
          <w:noProof/>
          <w:sz w:val="21"/>
          <w:szCs w:val="21"/>
        </w:rPr>
        <w:t>[27,28]</w:t>
      </w:r>
      <w:r w:rsidR="0020416B">
        <w:rPr>
          <w:rFonts w:ascii="Arial" w:hAnsi="Arial" w:cs="Arial"/>
          <w:sz w:val="21"/>
          <w:szCs w:val="21"/>
        </w:rPr>
        <w:fldChar w:fldCharType="end"/>
      </w:r>
      <w:r w:rsidR="008C3919">
        <w:rPr>
          <w:rFonts w:ascii="Arial" w:hAnsi="Arial" w:cs="Arial"/>
          <w:sz w:val="21"/>
          <w:szCs w:val="21"/>
        </w:rPr>
        <w:t xml:space="preserve">. </w:t>
      </w:r>
      <w:r w:rsidR="00B60655">
        <w:rPr>
          <w:rFonts w:ascii="Arial" w:hAnsi="Arial" w:cs="Arial"/>
          <w:sz w:val="21"/>
          <w:szCs w:val="21"/>
        </w:rPr>
        <w:t xml:space="preserve">A blocking step was added to the published protocol </w:t>
      </w:r>
      <w:r w:rsidR="002023AA">
        <w:rPr>
          <w:rFonts w:ascii="Arial" w:hAnsi="Arial" w:cs="Arial"/>
          <w:sz w:val="21"/>
          <w:szCs w:val="21"/>
        </w:rPr>
        <w:t>for</w:t>
      </w:r>
      <w:r w:rsidR="00B60655">
        <w:rPr>
          <w:rFonts w:ascii="Arial" w:hAnsi="Arial" w:cs="Arial"/>
          <w:sz w:val="21"/>
          <w:szCs w:val="21"/>
        </w:rPr>
        <w:t xml:space="preserve"> this study</w:t>
      </w:r>
      <w:r w:rsidR="009D6D54">
        <w:rPr>
          <w:rFonts w:ascii="Arial" w:hAnsi="Arial" w:cs="Arial"/>
          <w:sz w:val="21"/>
          <w:szCs w:val="21"/>
        </w:rPr>
        <w:t>:</w:t>
      </w:r>
      <w:r w:rsidR="008C3919">
        <w:rPr>
          <w:rFonts w:ascii="Arial" w:hAnsi="Arial" w:cs="Arial"/>
          <w:sz w:val="21"/>
          <w:szCs w:val="21"/>
        </w:rPr>
        <w:t xml:space="preserve"> </w:t>
      </w:r>
      <w:r w:rsidR="009D6D54">
        <w:rPr>
          <w:rFonts w:ascii="Arial" w:hAnsi="Arial" w:cs="Arial"/>
          <w:sz w:val="21"/>
          <w:szCs w:val="21"/>
        </w:rPr>
        <w:t>a</w:t>
      </w:r>
      <w:r w:rsidR="008C3919">
        <w:rPr>
          <w:rFonts w:ascii="Arial" w:hAnsi="Arial" w:cs="Arial"/>
          <w:sz w:val="21"/>
          <w:szCs w:val="21"/>
        </w:rPr>
        <w:t xml:space="preserve">fter antigen coating, plates were incubated for one hour at room temperature on a rocking platform with 100 </w:t>
      </w:r>
      <w:r w:rsidR="008C3919">
        <w:rPr>
          <w:rFonts w:ascii="Arial" w:hAnsi="Arial" w:cs="Arial"/>
          <w:sz w:val="21"/>
          <w:szCs w:val="21"/>
        </w:rPr>
        <w:sym w:font="Symbol" w:char="F06D"/>
      </w:r>
      <w:r w:rsidR="008C3919">
        <w:rPr>
          <w:rFonts w:ascii="Arial" w:hAnsi="Arial" w:cs="Arial"/>
          <w:sz w:val="21"/>
          <w:szCs w:val="21"/>
        </w:rPr>
        <w:t xml:space="preserve">L </w:t>
      </w:r>
      <w:r w:rsidR="009D6D54">
        <w:rPr>
          <w:rFonts w:ascii="Arial" w:hAnsi="Arial" w:cs="Arial"/>
          <w:sz w:val="21"/>
          <w:szCs w:val="21"/>
        </w:rPr>
        <w:t>phosphate</w:t>
      </w:r>
      <w:r w:rsidR="00B751C9">
        <w:rPr>
          <w:rFonts w:ascii="Arial" w:hAnsi="Arial" w:cs="Arial"/>
          <w:sz w:val="21"/>
          <w:szCs w:val="21"/>
        </w:rPr>
        <w:t>-</w:t>
      </w:r>
      <w:r w:rsidR="009D6D54">
        <w:rPr>
          <w:rFonts w:ascii="Arial" w:hAnsi="Arial" w:cs="Arial"/>
          <w:sz w:val="21"/>
          <w:szCs w:val="21"/>
        </w:rPr>
        <w:t>buffered saline with 0.3% Tween-20 and 5% weight-for-volume milk powder.</w:t>
      </w:r>
      <w:r w:rsidR="00B60655">
        <w:rPr>
          <w:rFonts w:ascii="Arial" w:hAnsi="Arial" w:cs="Arial"/>
          <w:sz w:val="21"/>
          <w:szCs w:val="21"/>
        </w:rPr>
        <w:t xml:space="preserve"> </w:t>
      </w:r>
      <w:r w:rsidR="00B95198">
        <w:rPr>
          <w:rFonts w:ascii="Arial" w:hAnsi="Arial" w:cs="Arial"/>
          <w:sz w:val="21"/>
          <w:szCs w:val="21"/>
        </w:rPr>
        <w:t>Optical density (OD) was normalised as previously described</w:t>
      </w:r>
      <w:r w:rsidR="008F029B">
        <w:rPr>
          <w:rFonts w:ascii="Arial" w:hAnsi="Arial" w:cs="Arial"/>
          <w:sz w:val="21"/>
          <w:szCs w:val="21"/>
        </w:rPr>
        <w:t xml:space="preserve"> </w:t>
      </w:r>
      <w:r w:rsidR="008F029B">
        <w:rPr>
          <w:rFonts w:ascii="Arial" w:hAnsi="Arial" w:cs="Arial"/>
          <w:sz w:val="21"/>
          <w:szCs w:val="21"/>
        </w:rPr>
        <w:fldChar w:fldCharType="begin" w:fldLock="1"/>
      </w:r>
      <w:r w:rsidR="004D440E">
        <w:rPr>
          <w:rFonts w:ascii="Arial" w:hAnsi="Arial" w:cs="Arial"/>
          <w:sz w:val="21"/>
          <w:szCs w:val="21"/>
        </w:rPr>
        <w:instrText>ADDIN CSL_CITATION {"citationItems":[{"id":"ITEM-1","itemData":{"DOI":"https://doi.org/10.4269/ajtmh.17-0292","abstract":"Antibody responses to Chlamydia trachomatis (CT) antigens may be useful tools for surveillance of trachoma by estimating cumulative prevalence of infection within a population. Data were compared from three different platforms-multiplex bead array (MBA), enzyme-linked immunosorbent assay (ELISA), and lateral flow assay (LFA)-measuring antibody responses against the CT antigen protein plasmid gene product 3 (Pgp3). Sensitivity was defined as the proportion of specimens testing antibody positive from a set of dried blood spots from Tanzanian 1-9-year olds who were positive for CT nucleic acid of all nucleic acid amplification test (NAAT)-positive individuals (N = 103). The sensitivity of the LFA could not be determined because of the use of dried blood spots for this test; this specimen type has yet to be adapted to LFA. Specificity was defined as the proportion of sera from U.S. and Bolivian 1-9-year olds that had previously tested negative by the Chlamydia microimmunofluorescence (MIF) assay testing negative to Pgp3-specific antibodies (N = 154). The sensitivity for MBA and ELISA was the same-93.2 (95% confidence interval [CI]: 88.3-98.1). Specificity ranged across platforms from 96.1 (95% CI: 91.8-98.2) to 99.4% (95% CI: 98.2-100). ELISA performance was similar regardless of whether the plates were precoated or freshly coated with antigen. Sensitivity and specificity of control panels were similar if the cutoff was determined using receiver operator curves or a finite mixture model, but the cutoffs themselves differed by approximately 0.5 OD using the different methodologies. These platforms show good sensitivity and specificity and show good agreement between tests at a population level, but indicate variability for ELISA outcomes depending on the cutoff determination methodology.","author":[{"dropping-particle":"","family":"Gwyn","given":"Sarah","non-dropping-particle":"","parse-names":false,"suffix":""},{"dropping-particle":"","family":"Cooley","given":"Gretchen","non-dropping-particle":"","parse-names":false,"suffix":""},{"dropping-particle":"","family":"Goodhew","given":"Brook","non-dropping-particle":"","parse-names":false,"suffix":""},{"dropping-particle":"","family":"Kohloff","given":"Stephan","non-dropping-particle":"","parse-names":false,"suffix":""},{"dropping-particle":"","family":"Banniettis","given":"Natalie","non-dropping-particle":"","parse-names":false,"suffix":""},{"dropping-particle":"","family":"Wiegand","given":"Ryan","non-dropping-particle":"","parse-names":false,"suffix":""},{"dropping-particle":"","family":"Martin","given":"Diana L","non-dropping-particle":"","parse-names":false,"suffix":""}],"container-title":"American Journal of Tropical Medicine &amp; Hygiene","id":"ITEM-1","issue":"6","issued":{"date-parts":[["2017"]]},"page":"1662-1668.","title":"Comparison of Platforms for Testing Antibody Responses against the Chlamydia trachomatis Antigen Pgp3.","type":"article-journal","volume":"97"},"uris":["http://www.mendeley.com/documents/?uuid=2d8c895a-0474-48de-a1cf-5573545ae5db"]}],"mendeley":{"formattedCitation":"[27]","plainTextFormattedCitation":"[27]","previouslyFormattedCitation":"[27]"},"properties":{"noteIndex":0},"schema":"https://github.com/citation-style-language/schema/raw/master/csl-citation.json"}</w:instrText>
      </w:r>
      <w:r w:rsidR="008F029B">
        <w:rPr>
          <w:rFonts w:ascii="Arial" w:hAnsi="Arial" w:cs="Arial"/>
          <w:sz w:val="21"/>
          <w:szCs w:val="21"/>
        </w:rPr>
        <w:fldChar w:fldCharType="separate"/>
      </w:r>
      <w:r w:rsidR="00D3307C" w:rsidRPr="00D3307C">
        <w:rPr>
          <w:rFonts w:ascii="Arial" w:hAnsi="Arial" w:cs="Arial"/>
          <w:noProof/>
          <w:sz w:val="21"/>
          <w:szCs w:val="21"/>
        </w:rPr>
        <w:t>[27]</w:t>
      </w:r>
      <w:r w:rsidR="008F029B">
        <w:rPr>
          <w:rFonts w:ascii="Arial" w:hAnsi="Arial" w:cs="Arial"/>
          <w:sz w:val="21"/>
          <w:szCs w:val="21"/>
        </w:rPr>
        <w:fldChar w:fldCharType="end"/>
      </w:r>
      <w:r w:rsidR="009D6D54">
        <w:rPr>
          <w:rFonts w:ascii="Arial" w:hAnsi="Arial" w:cs="Arial"/>
          <w:sz w:val="21"/>
          <w:szCs w:val="21"/>
        </w:rPr>
        <w:t xml:space="preserve">. </w:t>
      </w:r>
      <w:r w:rsidR="00B95198">
        <w:rPr>
          <w:rFonts w:ascii="Arial" w:hAnsi="Arial" w:cs="Arial"/>
          <w:sz w:val="21"/>
          <w:szCs w:val="21"/>
        </w:rPr>
        <w:t>Thresholds for positivity were determined as previously described</w:t>
      </w:r>
      <w:r w:rsidR="000E5290">
        <w:rPr>
          <w:rFonts w:ascii="Arial" w:hAnsi="Arial" w:cs="Arial"/>
          <w:sz w:val="21"/>
          <w:szCs w:val="21"/>
        </w:rPr>
        <w:t xml:space="preserve"> </w:t>
      </w:r>
      <w:r w:rsidR="000E5290">
        <w:rPr>
          <w:rFonts w:ascii="Arial" w:hAnsi="Arial" w:cs="Arial"/>
          <w:sz w:val="21"/>
          <w:szCs w:val="21"/>
        </w:rPr>
        <w:fldChar w:fldCharType="begin" w:fldLock="1"/>
      </w:r>
      <w:r w:rsidR="004D440E">
        <w:rPr>
          <w:rFonts w:ascii="Arial" w:hAnsi="Arial" w:cs="Arial"/>
          <w:sz w:val="21"/>
          <w:szCs w:val="21"/>
        </w:rPr>
        <w:instrText>ADDIN CSL_CITATION {"citationItems":[{"id":"ITEM-1","itemData":{"DOI":"10.1371/journal.pntd.0005230","ISBN":"1111111111","ISSN":"19352735","author":[{"dropping-particle":"","family":"Migchelsen","given":"Stephanie J.","non-dropping-particle":"","parse-names":false,"suffix":""},{"dropping-particle":"","family":"Martin","given":"Diana L.","non-dropping-particle":"","parse-names":false,"suffix":""},{"dropping-particle":"","family":"Southisombath","given":"Khamphoua","non-dropping-particle":"","parse-names":false,"suffix":""},{"dropping-particle":"","family":"Turyaguma","given":"Patrick","non-dropping-particle":"","parse-names":false,"suffix":""},{"dropping-particle":"","family":"Heggen","given":"Anne","non-dropping-particle":"","parse-names":false,"suffix":""},{"dropping-particle":"","family":"Rubangakene","given":"Peter Paul","non-dropping-particle":"","parse-names":false,"suffix":""},{"dropping-particle":"","family":"Joof","given":"Hassan","non-dropping-particle":"","parse-names":false,"suffix":""},{"dropping-particle":"","family":"Makalo","given":"Pateh","non-dropping-particle":"","parse-names":false,"suffix":""},{"dropping-particle":"","family":"Cooley","given":"Gretchen","non-dropping-particle":"","parse-names":false,"suffix":""},{"dropping-particle":"","family":"Gwyn","given":"Sarah","non-dropping-particle":"","parse-names":false,"suffix":""},{"dropping-particle":"","family":"Solomon","given":"Anthony W.","non-dropping-particle":"","parse-names":false,"suffix":""},{"dropping-particle":"","family":"Holland","given":"Martin J.","non-dropping-particle":"","parse-names":false,"suffix":""},{"dropping-particle":"","family":"Courtright","given":"Paul","non-dropping-particle":"","parse-names":false,"suffix":""},{"dropping-particle":"","family":"Willis","given":"Rebecca","non-dropping-particle":"","parse-names":false,"suffix":""},{"dropping-particle":"","family":"Alexander","given":"Neal D E","non-dropping-particle":"","parse-names":false,"suffix":""},{"dropping-particle":"","family":"Mabey","given":"David C. W.","non-dropping-particle":"","parse-names":false,"suffix":""},{"dropping-particle":"","family":"Roberts","given":"Chrissy h.","non-dropping-particle":"","parse-names":false,"suffix":""}],"container-title":"PLOS Neglected Tropical Diseases","id":"ITEM-1","issue":"1","issued":{"date-parts":[["2017"]]},"page":"e0005230","title":"Defining Seropositivity Thresholds for Use in Trachoma Elimination Studies","type":"article-journal","volume":"11"},"uris":["http://www.mendeley.com/documents/?uuid=52fa21cb-9aad-40f6-8c56-bb41e00b3705"]}],"mendeley":{"formattedCitation":"[29]","plainTextFormattedCitation":"[29]","previouslyFormattedCitation":"[29]"},"properties":{"noteIndex":0},"schema":"https://github.com/citation-style-language/schema/raw/master/csl-citation.json"}</w:instrText>
      </w:r>
      <w:r w:rsidR="000E5290">
        <w:rPr>
          <w:rFonts w:ascii="Arial" w:hAnsi="Arial" w:cs="Arial"/>
          <w:sz w:val="21"/>
          <w:szCs w:val="21"/>
        </w:rPr>
        <w:fldChar w:fldCharType="separate"/>
      </w:r>
      <w:r w:rsidR="00D3307C" w:rsidRPr="00D3307C">
        <w:rPr>
          <w:rFonts w:ascii="Arial" w:hAnsi="Arial" w:cs="Arial"/>
          <w:noProof/>
          <w:sz w:val="21"/>
          <w:szCs w:val="21"/>
        </w:rPr>
        <w:t>[29]</w:t>
      </w:r>
      <w:r w:rsidR="000E5290">
        <w:rPr>
          <w:rFonts w:ascii="Arial" w:hAnsi="Arial" w:cs="Arial"/>
          <w:sz w:val="21"/>
          <w:szCs w:val="21"/>
        </w:rPr>
        <w:fldChar w:fldCharType="end"/>
      </w:r>
      <w:r w:rsidR="000E5290">
        <w:rPr>
          <w:rFonts w:ascii="Arial" w:hAnsi="Arial" w:cs="Arial"/>
          <w:sz w:val="21"/>
          <w:szCs w:val="21"/>
        </w:rPr>
        <w:t>.</w:t>
      </w:r>
      <w:r w:rsidR="009D6D54">
        <w:rPr>
          <w:rFonts w:ascii="Arial" w:hAnsi="Arial" w:cs="Arial"/>
          <w:sz w:val="21"/>
          <w:szCs w:val="21"/>
        </w:rPr>
        <w:t xml:space="preserve"> </w:t>
      </w:r>
      <w:r w:rsidR="00E26D67">
        <w:rPr>
          <w:rFonts w:ascii="Arial" w:hAnsi="Arial" w:cs="Arial"/>
          <w:sz w:val="21"/>
          <w:szCs w:val="21"/>
        </w:rPr>
        <w:t>As the</w:t>
      </w:r>
      <w:r w:rsidR="00B751C9">
        <w:rPr>
          <w:rFonts w:ascii="Arial" w:hAnsi="Arial" w:cs="Arial"/>
          <w:sz w:val="21"/>
          <w:szCs w:val="21"/>
        </w:rPr>
        <w:t xml:space="preserve">re are genetic differences </w:t>
      </w:r>
      <w:r w:rsidR="00B751C9">
        <w:rPr>
          <w:rFonts w:ascii="Arial" w:hAnsi="Arial" w:cs="Arial"/>
          <w:sz w:val="21"/>
          <w:szCs w:val="21"/>
        </w:rPr>
        <w:lastRenderedPageBreak/>
        <w:t>between the majority ethnicities in Tarawa and Vanuatu</w:t>
      </w:r>
      <w:r w:rsidR="00E26D67">
        <w:rPr>
          <w:rFonts w:ascii="Arial" w:hAnsi="Arial" w:cs="Arial"/>
          <w:sz w:val="21"/>
          <w:szCs w:val="21"/>
        </w:rPr>
        <w:t xml:space="preserve"> </w:t>
      </w:r>
      <w:r w:rsidR="00FA2F15">
        <w:rPr>
          <w:rFonts w:ascii="Arial" w:hAnsi="Arial" w:cs="Arial"/>
          <w:sz w:val="21"/>
          <w:szCs w:val="21"/>
        </w:rPr>
        <w:fldChar w:fldCharType="begin" w:fldLock="1"/>
      </w:r>
      <w:r w:rsidR="004D440E">
        <w:rPr>
          <w:rFonts w:ascii="Arial" w:hAnsi="Arial" w:cs="Arial"/>
          <w:sz w:val="21"/>
          <w:szCs w:val="21"/>
        </w:rPr>
        <w:instrText>ADDIN CSL_CITATION {"citationItems":[{"id":"ITEM-1","itemData":{"DOI":"10.1371/journal.pgen.0040019","ISSN":"1553-7404","PMID":"18208337","abstract":"Human genetic diversity in the Pacific has not been adequately sampled, particularly in Melanesia. As a result, population relationships there have been open to debate. A genome scan of autosomal markers (687 microsatellites and 203 insertions/deletions) on 952 individuals from 41 Pacific populations now provides the basis for understanding the remarkable nature of Melanesian variation, and for a more accurate comparison of these Pacific populations with previously studied groups from other regions. It also shows how textured human population variation can be in particular circumstances. Genetic diversity within individual Pacific populations is shown to be very low, while differentiation among Melanesian groups is high. Melanesian differentiation varies not only between islands, but also by island size and topographical complexity. The greatest distinctions are among the isolated groups in large island interiors, which are also the most internally homogeneous. The pattern loosely tracks language distinctions. Papuan-speaking groups are the most differentiated, and Austronesian or Oceanic-speaking groups, which tend to live along the coastlines, are more intermixed. A small \"Austronesian\" genetic signature (always &lt;20%) was detected in less than half the Melanesian groups that speak Austronesian languages, and is entirely lacking in Papuan-speaking groups. Although the Polynesians are also distinctive, they tend to cluster with Micronesians, Taiwan Aborigines, and East Asians, and not Melanesians. These findings contribute to a resolution to the debates over Polynesian origins and their past interactions with Melanesians. With regard to genetics, the earlier studies had heavily relied on the evidence from single locus mitochondrial DNA or Y chromosome variation. Neither of these provided an unequivocal signal of phylogenetic relations or population intermixture proportions in the Pacific. Our analysis indicates the ancestors of Polynesians moved through Melanesia relatively rapidly and only intermixed to a very modest degree with the indigenous populations there.","author":[{"dropping-particle":"","family":"Friedlaender","given":"Jonathan S","non-dropping-particle":"","parse-names":false,"suffix":""},{"dropping-particle":"","family":"Friedlaender","given":"Françoise R","non-dropping-particle":"","parse-names":false,"suffix":""},{"dropping-particle":"","family":"Reed","given":"Floyd A","non-dropping-particle":"","parse-names":false,"suffix":""},{"dropping-particle":"","family":"Kidd","given":"Kenneth K","non-dropping-particle":"","parse-names":false,"suffix":""},{"dropping-particle":"","family":"Kidd","given":"Judith R","non-dropping-particle":"","parse-names":false,"suffix":""},{"dropping-particle":"","family":"Chambers","given":"Geoffrey K","non-dropping-particle":"","parse-names":false,"suffix":""},{"dropping-particle":"","family":"Lea","given":"Rodney A","non-dropping-particle":"","parse-names":false,"suffix":""},{"dropping-particle":"","family":"Loo","given":"Jun-Hun","non-dropping-particle":"","parse-names":false,"suffix":""},{"dropping-particle":"","family":"Koki","given":"George","non-dropping-particle":"","parse-names":false,"suffix":""},{"dropping-particle":"","family":"Hodgson","given":"Jason A","non-dropping-particle":"","parse-names":false,"suffix":""},{"dropping-particle":"","family":"Merriwether","given":"D Andrew","non-dropping-particle":"","parse-names":false,"suffix":""},{"dropping-particle":"","family":"Weber","given":"James L","non-dropping-particle":"","parse-names":false,"suffix":""}],"container-title":"PLoS genetics","id":"ITEM-1","issue":"1","issued":{"date-parts":[["2008","1","18"]]},"page":"e19","title":"The genetic structure of Pacific Islanders.","type":"article-journal","volume":"4"},"uris":["http://www.mendeley.com/documents/?uuid=2ed6e523-bbd8-4fdf-b3fa-975e503a1d53"]}],"mendeley":{"formattedCitation":"[30]","plainTextFormattedCitation":"[30]","previouslyFormattedCitation":"[30]"},"properties":{"noteIndex":0},"schema":"https://github.com/citation-style-language/schema/raw/master/csl-citation.json"}</w:instrText>
      </w:r>
      <w:r w:rsidR="00FA2F15">
        <w:rPr>
          <w:rFonts w:ascii="Arial" w:hAnsi="Arial" w:cs="Arial"/>
          <w:sz w:val="21"/>
          <w:szCs w:val="21"/>
        </w:rPr>
        <w:fldChar w:fldCharType="separate"/>
      </w:r>
      <w:r w:rsidR="00D3307C" w:rsidRPr="00D3307C">
        <w:rPr>
          <w:rFonts w:ascii="Arial" w:hAnsi="Arial" w:cs="Arial"/>
          <w:noProof/>
          <w:sz w:val="21"/>
          <w:szCs w:val="21"/>
        </w:rPr>
        <w:t>[30]</w:t>
      </w:r>
      <w:r w:rsidR="00FA2F15">
        <w:rPr>
          <w:rFonts w:ascii="Arial" w:hAnsi="Arial" w:cs="Arial"/>
          <w:sz w:val="21"/>
          <w:szCs w:val="21"/>
        </w:rPr>
        <w:fldChar w:fldCharType="end"/>
      </w:r>
      <w:r w:rsidR="00E26D67">
        <w:rPr>
          <w:rFonts w:ascii="Arial" w:hAnsi="Arial" w:cs="Arial"/>
          <w:sz w:val="21"/>
          <w:szCs w:val="21"/>
        </w:rPr>
        <w:t>, t</w:t>
      </w:r>
      <w:r w:rsidR="009D6D54">
        <w:rPr>
          <w:rFonts w:ascii="Arial" w:hAnsi="Arial" w:cs="Arial"/>
          <w:sz w:val="21"/>
          <w:szCs w:val="21"/>
        </w:rPr>
        <w:t>hresholds were set in</w:t>
      </w:r>
      <w:r w:rsidR="001610D4">
        <w:rPr>
          <w:rFonts w:ascii="Arial" w:hAnsi="Arial" w:cs="Arial"/>
          <w:sz w:val="21"/>
          <w:szCs w:val="21"/>
        </w:rPr>
        <w:t xml:space="preserve">dependently </w:t>
      </w:r>
      <w:r w:rsidR="00BD1756">
        <w:rPr>
          <w:rFonts w:ascii="Arial" w:hAnsi="Arial" w:cs="Arial"/>
          <w:sz w:val="21"/>
          <w:szCs w:val="21"/>
        </w:rPr>
        <w:t>(0.568</w:t>
      </w:r>
      <w:r w:rsidR="00B751C9">
        <w:rPr>
          <w:rFonts w:ascii="Arial" w:hAnsi="Arial" w:cs="Arial"/>
          <w:sz w:val="21"/>
          <w:szCs w:val="21"/>
        </w:rPr>
        <w:t xml:space="preserve"> and </w:t>
      </w:r>
      <w:r w:rsidR="00BD1756">
        <w:rPr>
          <w:rFonts w:ascii="Arial" w:hAnsi="Arial" w:cs="Arial"/>
          <w:sz w:val="21"/>
          <w:szCs w:val="21"/>
        </w:rPr>
        <w:t>0.703</w:t>
      </w:r>
      <w:r w:rsidR="00B751C9">
        <w:rPr>
          <w:rFonts w:ascii="Arial" w:hAnsi="Arial" w:cs="Arial"/>
          <w:sz w:val="21"/>
          <w:szCs w:val="21"/>
        </w:rPr>
        <w:t>, respectively</w:t>
      </w:r>
      <w:r w:rsidR="00BD1756">
        <w:rPr>
          <w:rFonts w:ascii="Arial" w:hAnsi="Arial" w:cs="Arial"/>
          <w:sz w:val="21"/>
          <w:szCs w:val="21"/>
        </w:rPr>
        <w:t>)</w:t>
      </w:r>
      <w:r w:rsidR="009D6D54">
        <w:rPr>
          <w:rFonts w:ascii="Arial" w:hAnsi="Arial" w:cs="Arial"/>
          <w:sz w:val="21"/>
          <w:szCs w:val="21"/>
        </w:rPr>
        <w:t xml:space="preserve">. </w:t>
      </w:r>
    </w:p>
    <w:p w14:paraId="7B8B7CD7" w14:textId="6493A4E0" w:rsidR="007B23AC" w:rsidRDefault="007B23AC" w:rsidP="008B5BE3">
      <w:pPr>
        <w:spacing w:line="480" w:lineRule="auto"/>
        <w:jc w:val="both"/>
        <w:rPr>
          <w:rFonts w:ascii="Arial" w:hAnsi="Arial" w:cs="Arial"/>
          <w:sz w:val="21"/>
          <w:szCs w:val="21"/>
        </w:rPr>
      </w:pPr>
    </w:p>
    <w:p w14:paraId="0F29214F" w14:textId="0FCB175D" w:rsidR="007B23AC" w:rsidRPr="00F466ED" w:rsidRDefault="007B23AC" w:rsidP="008B5BE3">
      <w:pPr>
        <w:spacing w:line="480" w:lineRule="auto"/>
        <w:jc w:val="both"/>
        <w:rPr>
          <w:rFonts w:ascii="Arial" w:hAnsi="Arial" w:cs="Arial"/>
          <w:sz w:val="21"/>
          <w:szCs w:val="21"/>
          <w:u w:val="single"/>
        </w:rPr>
      </w:pPr>
      <w:r w:rsidRPr="00F466ED">
        <w:rPr>
          <w:rFonts w:ascii="Arial" w:hAnsi="Arial" w:cs="Arial"/>
          <w:sz w:val="21"/>
          <w:szCs w:val="21"/>
          <w:u w:val="single"/>
        </w:rPr>
        <w:t>Data analysis</w:t>
      </w:r>
    </w:p>
    <w:p w14:paraId="241C9A72" w14:textId="77777777" w:rsidR="002023AA" w:rsidRDefault="002023AA" w:rsidP="008B5BE3">
      <w:pPr>
        <w:spacing w:line="480" w:lineRule="auto"/>
        <w:jc w:val="both"/>
        <w:rPr>
          <w:rFonts w:ascii="Arial" w:hAnsi="Arial" w:cs="Arial"/>
          <w:bCs/>
          <w:sz w:val="21"/>
          <w:szCs w:val="21"/>
        </w:rPr>
      </w:pPr>
    </w:p>
    <w:p w14:paraId="11F4FA14" w14:textId="3086F2E3" w:rsidR="002023AA" w:rsidRDefault="002023AA" w:rsidP="008B5BE3">
      <w:pPr>
        <w:spacing w:line="480" w:lineRule="auto"/>
        <w:jc w:val="both"/>
        <w:rPr>
          <w:rFonts w:ascii="Arial" w:hAnsi="Arial" w:cs="Arial"/>
          <w:sz w:val="21"/>
          <w:szCs w:val="21"/>
        </w:rPr>
      </w:pPr>
      <w:r>
        <w:rPr>
          <w:rFonts w:ascii="Arial" w:hAnsi="Arial" w:cs="Arial"/>
          <w:sz w:val="21"/>
          <w:szCs w:val="21"/>
        </w:rPr>
        <w:t>Seroconversion rates (SCRs) in children aged 1–9 years were estimated from age-specific seroprevalence curves using a simple reversible catalytic model (RCM) as described elsewhere</w:t>
      </w:r>
      <w:r w:rsidR="00E26D67">
        <w:rPr>
          <w:rFonts w:ascii="Arial" w:hAnsi="Arial" w:cs="Arial"/>
          <w:sz w:val="21"/>
          <w:szCs w:val="21"/>
        </w:rPr>
        <w:t xml:space="preserve"> </w:t>
      </w:r>
      <w:r w:rsidR="00B751C9">
        <w:rPr>
          <w:rFonts w:ascii="Arial" w:hAnsi="Arial" w:cs="Arial"/>
          <w:sz w:val="21"/>
          <w:szCs w:val="21"/>
        </w:rPr>
        <w:t>using</w:t>
      </w:r>
      <w:r w:rsidR="00E26D67">
        <w:rPr>
          <w:rFonts w:ascii="Arial" w:hAnsi="Arial" w:cs="Arial"/>
          <w:sz w:val="21"/>
          <w:szCs w:val="21"/>
        </w:rPr>
        <w:t xml:space="preserve"> parameters as recommended by the authors</w:t>
      </w:r>
      <w:r>
        <w:rPr>
          <w:rFonts w:ascii="Arial" w:hAnsi="Arial" w:cs="Arial"/>
          <w:sz w:val="21"/>
          <w:szCs w:val="21"/>
        </w:rPr>
        <w:t xml:space="preserve"> </w:t>
      </w:r>
      <w:r>
        <w:rPr>
          <w:rFonts w:ascii="Arial" w:hAnsi="Arial" w:cs="Arial"/>
          <w:sz w:val="21"/>
          <w:szCs w:val="21"/>
        </w:rPr>
        <w:fldChar w:fldCharType="begin" w:fldLock="1"/>
      </w:r>
      <w:r w:rsidR="004D440E">
        <w:rPr>
          <w:rFonts w:ascii="Arial" w:hAnsi="Arial" w:cs="Arial"/>
          <w:sz w:val="21"/>
          <w:szCs w:val="21"/>
        </w:rPr>
        <w:instrText>ADDIN CSL_CITATION {"citationItems":[{"id":"ITEM-1","itemData":{"DOI":"10.1038/s41467-018-07852-0","ISSN":"20411723","abstract":"Robust surveillance methods are needed for trachoma control and recrudescence monitoring, but existing methods have limitations. Here, we analyse data from nine trachoma-endemic populations and provide operational thresholds for interpretation of serological data in low-transmission and post-elimination settings. Analyses with sero-catalytic and antibody acquisition models provide insights into transmission history within each population. To accurately estimate sero-conversion rates (SCR) for trachoma in populations with high-seroprevalence in adults, the model accounts for secondary exposure to Chlamydia trachomatis due to urogenital infection. We estimate the population half-life of sero-reversion for anti-Pgp3 antibodies to be 26 (95% credible interval (CrI): 21-34) years. We show SCRs below 0.015 (95% confidence interval (CI): 0.0-0.049) per year correspond to a prevalence of trachomatous inflammation-follicular below 5%, the current threshold for elimination of active trachoma as a public health problem. As global trachoma prevalence declines, we may need cross-sectional serological survey data to inform programmatic decisions.","author":[{"dropping-particle":"","family":"Pinsent","given":"Amy","non-dropping-particle":"","parse-names":false,"suffix":""},{"dropping-particle":"","family":"Solomon","given":"Anthony W.","non-dropping-particle":"","parse-names":false,"suffix":""},{"dropping-particle":"","family":"Bailey","given":"Robin L.","non-dropping-particle":"","parse-names":false,"suffix":""},{"dropping-particle":"","family":"Bid","given":"Rhiannon","non-dropping-particle":"","parse-names":false,"suffix":""},{"dropping-particle":"","family":"Cama","given":"Anaseini","non-dropping-particle":"","parse-names":false,"suffix":""},{"dropping-particle":"","family":"Dean","given":"Deborah","non-dropping-particle":"","parse-names":false,"suffix":""},{"dropping-particle":"","family":"Goodhew","given":"Brook","non-dropping-particle":"","parse-names":false,"suffix":""},{"dropping-particle":"","family":"Gwyn","given":"Sarah E.","non-dropping-particle":"","parse-names":false,"suffix":""},{"dropping-particle":"","family":"Jack","given":"Kelvin R.","non-dropping-particle":"","parse-names":false,"suffix":""},{"dropping-particle":"","family":"Kandel","given":"Ram Prasad","non-dropping-particle":"","parse-names":false,"suffix":""},{"dropping-particle":"","family":"Kama","given":"Mike","non-dropping-particle":"","parse-names":false,"suffix":""},{"dropping-particle":"","family":"Massae","given":"Patrick","non-dropping-particle":"","parse-names":false,"suffix":""},{"dropping-particle":"","family":"Macleod","given":"Colin","non-dropping-particle":"","parse-names":false,"suffix":""},{"dropping-particle":"","family":"Mabey","given":"David C.W.","non-dropping-particle":"","parse-names":false,"suffix":""},{"dropping-particle":"","family":"Migchelsen","given":"Stephanie","non-dropping-particle":"","parse-names":false,"suffix":""},{"dropping-particle":"","family":"Müller","given":"Andreas","non-dropping-particle":"","parse-names":false,"suffix":""},{"dropping-particle":"","family":"Sandi","given":"Frank","non-dropping-particle":"","parse-names":false,"suffix":""},{"dropping-particle":"","family":"Sokana","given":"Oliver","non-dropping-particle":"","parse-names":false,"suffix":""},{"dropping-particle":"","family":"Taoaba","given":"Raebwebwe","non-dropping-particle":"","parse-names":false,"suffix":""},{"dropping-particle":"","family":"Tekeraoi","given":"Rabebe","non-dropping-particle":"","parse-names":false,"suffix":""},{"dropping-particle":"","family":"Martin","given":"Diana L.","non-dropping-particle":"","parse-names":false,"suffix":""},{"dropping-particle":"","family":"White","given":"Michael T.","non-dropping-particle":"","parse-names":false,"suffix":""}],"container-title":"Nature Communications","id":"ITEM-1","issue":"1","issued":{"date-parts":[["2018"]]},"page":"25-28","publisher":"Springer US","title":"The utility of serology for elimination surveillance of trachoma","type":"article-journal","volume":"9"},"uris":["http://www.mendeley.com/documents/?uuid=1840a32e-2ca9-43c1-9931-b256a2126932"]}],"mendeley":{"formattedCitation":"[31]","plainTextFormattedCitation":"[31]","previouslyFormattedCitation":"[31]"},"properties":{"noteIndex":0},"schema":"https://github.com/citation-style-language/schema/raw/master/csl-citation.json"}</w:instrText>
      </w:r>
      <w:r>
        <w:rPr>
          <w:rFonts w:ascii="Arial" w:hAnsi="Arial" w:cs="Arial"/>
          <w:sz w:val="21"/>
          <w:szCs w:val="21"/>
        </w:rPr>
        <w:fldChar w:fldCharType="separate"/>
      </w:r>
      <w:r w:rsidR="00D3307C" w:rsidRPr="00D3307C">
        <w:rPr>
          <w:rFonts w:ascii="Arial" w:hAnsi="Arial" w:cs="Arial"/>
          <w:noProof/>
          <w:sz w:val="21"/>
          <w:szCs w:val="21"/>
        </w:rPr>
        <w:t>[31]</w:t>
      </w:r>
      <w:r>
        <w:rPr>
          <w:rFonts w:ascii="Arial" w:hAnsi="Arial" w:cs="Arial"/>
          <w:sz w:val="21"/>
          <w:szCs w:val="21"/>
        </w:rPr>
        <w:fldChar w:fldCharType="end"/>
      </w:r>
      <w:r>
        <w:rPr>
          <w:rFonts w:ascii="Arial" w:hAnsi="Arial" w:cs="Arial"/>
          <w:sz w:val="21"/>
          <w:szCs w:val="21"/>
        </w:rPr>
        <w:t xml:space="preserve">. Based on the epidemiological context, we used a RCM in which the SCR was assumed to be constant for all individuals aged between 1–9 years because of the lack of recent interventions against trachoma. </w:t>
      </w:r>
      <w:r w:rsidR="00FA2F15">
        <w:rPr>
          <w:rFonts w:ascii="Arial" w:hAnsi="Arial" w:cs="Arial"/>
          <w:sz w:val="21"/>
          <w:szCs w:val="21"/>
        </w:rPr>
        <w:t>Because of the low seroprevalence, t</w:t>
      </w:r>
      <w:r>
        <w:rPr>
          <w:rFonts w:ascii="Arial" w:hAnsi="Arial" w:cs="Arial"/>
          <w:sz w:val="21"/>
          <w:szCs w:val="21"/>
        </w:rPr>
        <w:t xml:space="preserve">he </w:t>
      </w:r>
      <w:proofErr w:type="spellStart"/>
      <w:r>
        <w:rPr>
          <w:rFonts w:ascii="Arial" w:hAnsi="Arial" w:cs="Arial"/>
          <w:sz w:val="21"/>
          <w:szCs w:val="21"/>
        </w:rPr>
        <w:t>seroreversion</w:t>
      </w:r>
      <w:proofErr w:type="spellEnd"/>
      <w:r>
        <w:rPr>
          <w:rFonts w:ascii="Arial" w:hAnsi="Arial" w:cs="Arial"/>
          <w:sz w:val="21"/>
          <w:szCs w:val="21"/>
        </w:rPr>
        <w:t xml:space="preserve"> rate (SRR) was assumed to be 0 events per person per year, as demonstrated for seroepidemiological studies of malaria </w:t>
      </w:r>
      <w:r>
        <w:rPr>
          <w:rFonts w:ascii="Arial" w:hAnsi="Arial" w:cs="Arial"/>
          <w:sz w:val="21"/>
          <w:szCs w:val="21"/>
        </w:rPr>
        <w:fldChar w:fldCharType="begin" w:fldLock="1"/>
      </w:r>
      <w:r w:rsidR="004D440E">
        <w:rPr>
          <w:rFonts w:ascii="Arial" w:hAnsi="Arial" w:cs="Arial"/>
          <w:sz w:val="21"/>
          <w:szCs w:val="21"/>
        </w:rPr>
        <w:instrText>ADDIN CSL_CITATION {"citationItems":[{"id":"ITEM-1","itemData":{"DOI":"10.1186/s12936-015-0661-z","ISSN":"14752875","abstract":"Background: In the last decade, several epidemiological studies have demonstrated the potential of using seroprevalence (SP) and seroconversion rate (SCR) as informative indicators of malaria burden in low transmission settings or in populations on the cusp of elimination. However, most of studies are designed to control ensuing statistical inference over parasite rates and not on these alternative malaria burden measures. SP is in essence a proportion and, thus, many methods exist for the respective sample size determination. In contrast, designing a study where SCR is the primary endpoint, is not an easy task because precision and statistical power are affected by the age distribution of a given population. Methods: Two sample size calculators for SCR estimation are proposed. The first one consists of transforming the confidence interval for SP into the corresponding one for SCR given a known seroreversion rate (SRR). The second calculator extends the previous one to the most common situation where SRR is unknown. In this situation, data simulation was used together with linear regression in order to study the expected relationship between sample size and precision. Results: The performance of the first sample size calculator was studied in terms of the coverage of the confidence intervals for SCR. The results pointed out to eventual problems of under or over coverage for sample sizes ≤250 in very low and high malaria transmission settings (SCR≤0.0036 and SCR≥0.29, respectively). The correct coverage was obtained for the remaining transmission intensities with sample sizes ≥50. Sample size determination was then carried out for cross-sectional surveys using realistic SCRs from past sero-epidemiological studies and typical age distributions from African and non-African populations. For SCR &lt; 0.058, African studies require a larger sample size than their non-African counterparts in order to obtain the same precision. The opposite happens for the remaining transmission intensities. With respect to the second sample size calculator, simulation unravelled the likelihood of not having enough information to estimate SRR in low transmission settings (SCR ≤ 0.0108). In that case, the respective estimates tend to underestimate the true SCR. This problem is minimized by sample sizes of no less than 500 individuals. The sample sizes determined by this second method highlighted the prior expectation that, when SRR is not known, sample sizes are increased in relati…","author":[{"dropping-particle":"","family":"Sepúlveda","given":"Nuno","non-dropping-particle":"","parse-names":false,"suffix":""},{"dropping-particle":"","family":"Drakeley","given":"Chris","non-dropping-particle":"","parse-names":false,"suffix":""}],"container-title":"Malaria Journal","id":"ITEM-1","issue":"1","issued":{"date-parts":[["2015"]]},"page":"1-13","title":"Sample size determination for estimating antibody seroconversion rate under stable malaria transmission intensity","type":"article-journal","volume":"14"},"uris":["http://www.mendeley.com/documents/?uuid=e5b549ad-8789-48a6-97fb-b3319bab5237"]}],"mendeley":{"formattedCitation":"[32]","plainTextFormattedCitation":"[32]","previouslyFormattedCitation":"[32]"},"properties":{"noteIndex":0},"schema":"https://github.com/citation-style-language/schema/raw/master/csl-citation.json"}</w:instrText>
      </w:r>
      <w:r>
        <w:rPr>
          <w:rFonts w:ascii="Arial" w:hAnsi="Arial" w:cs="Arial"/>
          <w:sz w:val="21"/>
          <w:szCs w:val="21"/>
        </w:rPr>
        <w:fldChar w:fldCharType="separate"/>
      </w:r>
      <w:r w:rsidR="00D3307C" w:rsidRPr="00D3307C">
        <w:rPr>
          <w:rFonts w:ascii="Arial" w:hAnsi="Arial" w:cs="Arial"/>
          <w:noProof/>
          <w:sz w:val="21"/>
          <w:szCs w:val="21"/>
        </w:rPr>
        <w:t>[32]</w:t>
      </w:r>
      <w:r>
        <w:rPr>
          <w:rFonts w:ascii="Arial" w:hAnsi="Arial" w:cs="Arial"/>
          <w:sz w:val="21"/>
          <w:szCs w:val="21"/>
        </w:rPr>
        <w:fldChar w:fldCharType="end"/>
      </w:r>
      <w:r>
        <w:rPr>
          <w:rFonts w:ascii="Arial" w:hAnsi="Arial" w:cs="Arial"/>
          <w:sz w:val="21"/>
          <w:szCs w:val="21"/>
        </w:rPr>
        <w:t xml:space="preserve">. The model deployed corresponded to scenario 1 version 2 of the scenarios tested by Pinsent </w:t>
      </w:r>
      <w:r w:rsidRPr="00677C9F">
        <w:rPr>
          <w:rFonts w:ascii="Arial" w:hAnsi="Arial" w:cs="Arial"/>
          <w:i/>
          <w:iCs/>
          <w:sz w:val="21"/>
          <w:szCs w:val="21"/>
        </w:rPr>
        <w:t>et al</w:t>
      </w:r>
      <w:r>
        <w:rPr>
          <w:rFonts w:ascii="Arial" w:hAnsi="Arial" w:cs="Arial"/>
          <w:sz w:val="21"/>
          <w:szCs w:val="21"/>
        </w:rPr>
        <w:t xml:space="preserve">. </w:t>
      </w:r>
      <w:r>
        <w:rPr>
          <w:rFonts w:ascii="Arial" w:hAnsi="Arial" w:cs="Arial"/>
          <w:sz w:val="21"/>
          <w:szCs w:val="21"/>
        </w:rPr>
        <w:fldChar w:fldCharType="begin" w:fldLock="1"/>
      </w:r>
      <w:r w:rsidR="004D440E">
        <w:rPr>
          <w:rFonts w:ascii="Arial" w:hAnsi="Arial" w:cs="Arial"/>
          <w:sz w:val="21"/>
          <w:szCs w:val="21"/>
        </w:rPr>
        <w:instrText>ADDIN CSL_CITATION {"citationItems":[{"id":"ITEM-1","itemData":{"DOI":"10.1038/s41467-018-07852-0","ISSN":"20411723","abstract":"Robust surveillance methods are needed for trachoma control and recrudescence monitoring, but existing methods have limitations. Here, we analyse data from nine trachoma-endemic populations and provide operational thresholds for interpretation of serological data in low-transmission and post-elimination settings. Analyses with sero-catalytic and antibody acquisition models provide insights into transmission history within each population. To accurately estimate sero-conversion rates (SCR) for trachoma in populations with high-seroprevalence in adults, the model accounts for secondary exposure to Chlamydia trachomatis due to urogenital infection. We estimate the population half-life of sero-reversion for anti-Pgp3 antibodies to be 26 (95% credible interval (CrI): 21-34) years. We show SCRs below 0.015 (95% confidence interval (CI): 0.0-0.049) per year correspond to a prevalence of trachomatous inflammation-follicular below 5%, the current threshold for elimination of active trachoma as a public health problem. As global trachoma prevalence declines, we may need cross-sectional serological survey data to inform programmatic decisions.","author":[{"dropping-particle":"","family":"Pinsent","given":"Amy","non-dropping-particle":"","parse-names":false,"suffix":""},{"dropping-particle":"","family":"Solomon","given":"Anthony W.","non-dropping-particle":"","parse-names":false,"suffix":""},{"dropping-particle":"","family":"Bailey","given":"Robin L.","non-dropping-particle":"","parse-names":false,"suffix":""},{"dropping-particle":"","family":"Bid","given":"Rhiannon","non-dropping-particle":"","parse-names":false,"suffix":""},{"dropping-particle":"","family":"Cama","given":"Anaseini","non-dropping-particle":"","parse-names":false,"suffix":""},{"dropping-particle":"","family":"Dean","given":"Deborah","non-dropping-particle":"","parse-names":false,"suffix":""},{"dropping-particle":"","family":"Goodhew","given":"Brook","non-dropping-particle":"","parse-names":false,"suffix":""},{"dropping-particle":"","family":"Gwyn","given":"Sarah E.","non-dropping-particle":"","parse-names":false,"suffix":""},{"dropping-particle":"","family":"Jack","given":"Kelvin R.","non-dropping-particle":"","parse-names":false,"suffix":""},{"dropping-particle":"","family":"Kandel","given":"Ram Prasad","non-dropping-particle":"","parse-names":false,"suffix":""},{"dropping-particle":"","family":"Kama","given":"Mike","non-dropping-particle":"","parse-names":false,"suffix":""},{"dropping-particle":"","family":"Massae","given":"Patrick","non-dropping-particle":"","parse-names":false,"suffix":""},{"dropping-particle":"","family":"Macleod","given":"Colin","non-dropping-particle":"","parse-names":false,"suffix":""},{"dropping-particle":"","family":"Mabey","given":"David C.W.","non-dropping-particle":"","parse-names":false,"suffix":""},{"dropping-particle":"","family":"Migchelsen","given":"Stephanie","non-dropping-particle":"","parse-names":false,"suffix":""},{"dropping-particle":"","family":"Müller","given":"Andreas","non-dropping-particle":"","parse-names":false,"suffix":""},{"dropping-particle":"","family":"Sandi","given":"Frank","non-dropping-particle":"","parse-names":false,"suffix":""},{"dropping-particle":"","family":"Sokana","given":"Oliver","non-dropping-particle":"","parse-names":false,"suffix":""},{"dropping-particle":"","family":"Taoaba","given":"Raebwebwe","non-dropping-particle":"","parse-names":false,"suffix":""},{"dropping-particle":"","family":"Tekeraoi","given":"Rabebe","non-dropping-particle":"","parse-names":false,"suffix":""},{"dropping-particle":"","family":"Martin","given":"Diana L.","non-dropping-particle":"","parse-names":false,"suffix":""},{"dropping-particle":"","family":"White","given":"Michael T.","non-dropping-particle":"","parse-names":false,"suffix":""}],"container-title":"Nature Communications","id":"ITEM-1","issue":"1","issued":{"date-parts":[["2018"]]},"page":"25-28","publisher":"Springer US","title":"The utility of serology for elimination surveillance of trachoma","type":"article-journal","volume":"9"},"uris":["http://www.mendeley.com/documents/?uuid=1840a32e-2ca9-43c1-9931-b256a2126932"]}],"mendeley":{"formattedCitation":"[31]","plainTextFormattedCitation":"[31]","previouslyFormattedCitation":"[31]"},"properties":{"noteIndex":0},"schema":"https://github.com/citation-style-language/schema/raw/master/csl-citation.json"}</w:instrText>
      </w:r>
      <w:r>
        <w:rPr>
          <w:rFonts w:ascii="Arial" w:hAnsi="Arial" w:cs="Arial"/>
          <w:sz w:val="21"/>
          <w:szCs w:val="21"/>
        </w:rPr>
        <w:fldChar w:fldCharType="separate"/>
      </w:r>
      <w:r w:rsidR="00D3307C" w:rsidRPr="00D3307C">
        <w:rPr>
          <w:rFonts w:ascii="Arial" w:hAnsi="Arial" w:cs="Arial"/>
          <w:noProof/>
          <w:sz w:val="21"/>
          <w:szCs w:val="21"/>
        </w:rPr>
        <w:t>[31]</w:t>
      </w:r>
      <w:r>
        <w:rPr>
          <w:rFonts w:ascii="Arial" w:hAnsi="Arial" w:cs="Arial"/>
          <w:sz w:val="21"/>
          <w:szCs w:val="21"/>
        </w:rPr>
        <w:fldChar w:fldCharType="end"/>
      </w:r>
      <w:r>
        <w:rPr>
          <w:rFonts w:ascii="Arial" w:hAnsi="Arial" w:cs="Arial"/>
          <w:sz w:val="21"/>
          <w:szCs w:val="21"/>
        </w:rPr>
        <w:t xml:space="preserve">. </w:t>
      </w:r>
    </w:p>
    <w:p w14:paraId="787BD876" w14:textId="77777777" w:rsidR="007B23AC" w:rsidRDefault="007B23AC" w:rsidP="008B5BE3">
      <w:pPr>
        <w:spacing w:line="480" w:lineRule="auto"/>
        <w:jc w:val="both"/>
        <w:rPr>
          <w:rFonts w:ascii="Arial" w:hAnsi="Arial" w:cs="Arial"/>
          <w:b/>
          <w:sz w:val="21"/>
          <w:szCs w:val="21"/>
        </w:rPr>
      </w:pPr>
    </w:p>
    <w:p w14:paraId="24DB2F63" w14:textId="5CDD4CB8" w:rsidR="004D0B7A" w:rsidRPr="00205ED0" w:rsidRDefault="007B23AC" w:rsidP="008B5BE3">
      <w:pPr>
        <w:spacing w:line="480" w:lineRule="auto"/>
        <w:jc w:val="both"/>
        <w:rPr>
          <w:rFonts w:ascii="Arial" w:hAnsi="Arial" w:cs="Arial"/>
          <w:bCs/>
          <w:sz w:val="21"/>
          <w:szCs w:val="21"/>
        </w:rPr>
      </w:pPr>
      <w:r>
        <w:rPr>
          <w:rFonts w:ascii="Arial" w:hAnsi="Arial" w:cs="Arial"/>
          <w:bCs/>
          <w:sz w:val="21"/>
          <w:szCs w:val="21"/>
        </w:rPr>
        <w:t>Proportions were compared using</w:t>
      </w:r>
      <w:r w:rsidR="00AB5523">
        <w:rPr>
          <w:rFonts w:ascii="Arial" w:hAnsi="Arial" w:cs="Arial"/>
          <w:bCs/>
          <w:sz w:val="21"/>
          <w:szCs w:val="21"/>
        </w:rPr>
        <w:t xml:space="preserve"> Fisher’s Exact Test.</w:t>
      </w:r>
      <w:r w:rsidR="00205ED0">
        <w:rPr>
          <w:rFonts w:ascii="Arial" w:hAnsi="Arial" w:cs="Arial"/>
          <w:bCs/>
          <w:sz w:val="21"/>
          <w:szCs w:val="21"/>
        </w:rPr>
        <w:t xml:space="preserve"> For small, non-parametric group comparisons (such as comparing the load of infection in those with or without TF in Vanuatu) Mann Whitney U tests were used.</w:t>
      </w:r>
      <w:r w:rsidR="00AB5523">
        <w:rPr>
          <w:rFonts w:ascii="Arial" w:hAnsi="Arial" w:cs="Arial"/>
          <w:bCs/>
          <w:sz w:val="21"/>
          <w:szCs w:val="21"/>
        </w:rPr>
        <w:t xml:space="preserve"> </w:t>
      </w:r>
      <w:r w:rsidR="006051FD">
        <w:rPr>
          <w:rFonts w:ascii="Arial" w:hAnsi="Arial" w:cs="Arial"/>
          <w:bCs/>
          <w:sz w:val="21"/>
          <w:szCs w:val="21"/>
        </w:rPr>
        <w:t>A</w:t>
      </w:r>
      <w:r w:rsidR="00AB5523">
        <w:rPr>
          <w:rFonts w:ascii="Arial" w:hAnsi="Arial" w:cs="Arial"/>
          <w:bCs/>
          <w:sz w:val="21"/>
          <w:szCs w:val="21"/>
        </w:rPr>
        <w:t>ssociation</w:t>
      </w:r>
      <w:r w:rsidR="006051FD">
        <w:rPr>
          <w:rFonts w:ascii="Arial" w:hAnsi="Arial" w:cs="Arial"/>
          <w:bCs/>
          <w:sz w:val="21"/>
          <w:szCs w:val="21"/>
        </w:rPr>
        <w:t>s</w:t>
      </w:r>
      <w:r w:rsidR="00AB5523">
        <w:rPr>
          <w:rFonts w:ascii="Arial" w:hAnsi="Arial" w:cs="Arial"/>
          <w:bCs/>
          <w:sz w:val="21"/>
          <w:szCs w:val="21"/>
        </w:rPr>
        <w:t xml:space="preserve"> </w:t>
      </w:r>
      <w:r w:rsidR="002023AA">
        <w:rPr>
          <w:rFonts w:ascii="Arial" w:hAnsi="Arial" w:cs="Arial"/>
          <w:bCs/>
          <w:sz w:val="21"/>
          <w:szCs w:val="21"/>
        </w:rPr>
        <w:t xml:space="preserve">between </w:t>
      </w:r>
      <w:r w:rsidR="00AB5523">
        <w:rPr>
          <w:rFonts w:ascii="Arial" w:hAnsi="Arial" w:cs="Arial"/>
          <w:bCs/>
          <w:sz w:val="21"/>
          <w:szCs w:val="21"/>
        </w:rPr>
        <w:t>binary dependent variables</w:t>
      </w:r>
      <w:r w:rsidR="006051FD">
        <w:rPr>
          <w:rFonts w:ascii="Arial" w:hAnsi="Arial" w:cs="Arial"/>
          <w:bCs/>
          <w:sz w:val="21"/>
          <w:szCs w:val="21"/>
        </w:rPr>
        <w:t xml:space="preserve"> were tested by logistic regression</w:t>
      </w:r>
      <w:r w:rsidR="002023AA">
        <w:rPr>
          <w:rFonts w:ascii="Arial" w:hAnsi="Arial" w:cs="Arial"/>
          <w:bCs/>
          <w:sz w:val="21"/>
          <w:szCs w:val="21"/>
        </w:rPr>
        <w:t xml:space="preserve"> with age and gender added as </w:t>
      </w:r>
      <w:r w:rsidR="002023AA" w:rsidRPr="002023AA">
        <w:rPr>
          <w:rFonts w:ascii="Arial" w:hAnsi="Arial" w:cs="Arial"/>
          <w:bCs/>
          <w:i/>
          <w:iCs/>
          <w:sz w:val="21"/>
          <w:szCs w:val="21"/>
        </w:rPr>
        <w:t>a priori</w:t>
      </w:r>
      <w:r w:rsidR="002023AA">
        <w:rPr>
          <w:rFonts w:ascii="Arial" w:hAnsi="Arial" w:cs="Arial"/>
          <w:bCs/>
          <w:sz w:val="21"/>
          <w:szCs w:val="21"/>
        </w:rPr>
        <w:t xml:space="preserve"> independent variables</w:t>
      </w:r>
      <w:r w:rsidR="00531080">
        <w:rPr>
          <w:rFonts w:ascii="Arial" w:hAnsi="Arial" w:cs="Arial"/>
          <w:bCs/>
          <w:sz w:val="21"/>
          <w:szCs w:val="21"/>
        </w:rPr>
        <w:t>.</w:t>
      </w:r>
      <w:r w:rsidR="00AB5523">
        <w:rPr>
          <w:rFonts w:ascii="Arial" w:hAnsi="Arial" w:cs="Arial"/>
          <w:bCs/>
          <w:sz w:val="21"/>
          <w:szCs w:val="21"/>
        </w:rPr>
        <w:t xml:space="preserve"> </w:t>
      </w:r>
      <w:r w:rsidR="004D0B7A" w:rsidRPr="00205ED0">
        <w:rPr>
          <w:rFonts w:ascii="Arial" w:hAnsi="Arial" w:cs="Arial"/>
          <w:bCs/>
          <w:sz w:val="21"/>
          <w:szCs w:val="21"/>
        </w:rPr>
        <w:br w:type="page"/>
      </w:r>
    </w:p>
    <w:p w14:paraId="6FE26486" w14:textId="70666FC8" w:rsidR="009D6D54" w:rsidRPr="009D6D54" w:rsidRDefault="009D6D54" w:rsidP="008B5BE3">
      <w:pPr>
        <w:spacing w:line="480" w:lineRule="auto"/>
        <w:jc w:val="both"/>
        <w:rPr>
          <w:rFonts w:ascii="Arial" w:hAnsi="Arial" w:cs="Arial"/>
          <w:b/>
          <w:sz w:val="21"/>
          <w:szCs w:val="21"/>
        </w:rPr>
      </w:pPr>
      <w:r w:rsidRPr="009D6D54">
        <w:rPr>
          <w:rFonts w:ascii="Arial" w:hAnsi="Arial" w:cs="Arial"/>
          <w:b/>
          <w:sz w:val="21"/>
          <w:szCs w:val="21"/>
        </w:rPr>
        <w:lastRenderedPageBreak/>
        <w:t>Results</w:t>
      </w:r>
    </w:p>
    <w:p w14:paraId="0F6025D9" w14:textId="21DE1752" w:rsidR="009D6D54" w:rsidRDefault="009D6D54" w:rsidP="008B5BE3">
      <w:pPr>
        <w:spacing w:line="480" w:lineRule="auto"/>
        <w:jc w:val="both"/>
        <w:rPr>
          <w:rFonts w:ascii="Arial" w:hAnsi="Arial" w:cs="Arial"/>
          <w:sz w:val="21"/>
          <w:szCs w:val="21"/>
        </w:rPr>
      </w:pPr>
    </w:p>
    <w:p w14:paraId="4EB3E7D0" w14:textId="5CF81916" w:rsidR="009D6D54" w:rsidRDefault="000F0EC4" w:rsidP="008B5BE3">
      <w:pPr>
        <w:spacing w:line="480" w:lineRule="auto"/>
        <w:jc w:val="both"/>
        <w:rPr>
          <w:rFonts w:ascii="Arial" w:hAnsi="Arial" w:cs="Arial"/>
          <w:sz w:val="21"/>
          <w:szCs w:val="21"/>
        </w:rPr>
      </w:pPr>
      <w:r>
        <w:rPr>
          <w:rFonts w:ascii="Arial" w:hAnsi="Arial" w:cs="Arial"/>
          <w:sz w:val="21"/>
          <w:szCs w:val="21"/>
          <w:u w:val="single"/>
        </w:rPr>
        <w:t xml:space="preserve">Enrolment and prevalence of </w:t>
      </w:r>
      <w:r w:rsidR="009128DE">
        <w:rPr>
          <w:rFonts w:ascii="Arial" w:hAnsi="Arial" w:cs="Arial"/>
          <w:sz w:val="21"/>
          <w:szCs w:val="21"/>
          <w:u w:val="single"/>
        </w:rPr>
        <w:t>signs of disease</w:t>
      </w:r>
      <w:r w:rsidR="009D6D54">
        <w:rPr>
          <w:rFonts w:ascii="Arial" w:hAnsi="Arial" w:cs="Arial"/>
          <w:sz w:val="21"/>
          <w:szCs w:val="21"/>
        </w:rPr>
        <w:t xml:space="preserve"> </w:t>
      </w:r>
    </w:p>
    <w:p w14:paraId="3F088645" w14:textId="4513C834" w:rsidR="0037612D" w:rsidRDefault="0037612D" w:rsidP="008B5BE3">
      <w:pPr>
        <w:spacing w:line="480" w:lineRule="auto"/>
        <w:jc w:val="both"/>
        <w:rPr>
          <w:rFonts w:ascii="Arial" w:hAnsi="Arial" w:cs="Arial"/>
          <w:sz w:val="21"/>
          <w:szCs w:val="21"/>
        </w:rPr>
      </w:pPr>
    </w:p>
    <w:p w14:paraId="22E234C8" w14:textId="42AAAA33" w:rsidR="00926D83" w:rsidRPr="0050484F" w:rsidRDefault="00513EA5" w:rsidP="008B5BE3">
      <w:pPr>
        <w:spacing w:line="480" w:lineRule="auto"/>
        <w:jc w:val="both"/>
        <w:rPr>
          <w:rFonts w:ascii="Arial" w:hAnsi="Arial" w:cs="Arial"/>
          <w:sz w:val="21"/>
          <w:szCs w:val="21"/>
        </w:rPr>
      </w:pPr>
      <w:r>
        <w:rPr>
          <w:rFonts w:ascii="Arial" w:hAnsi="Arial" w:cs="Arial"/>
          <w:sz w:val="21"/>
          <w:szCs w:val="21"/>
        </w:rPr>
        <w:t>C</w:t>
      </w:r>
      <w:r w:rsidR="0083664B">
        <w:rPr>
          <w:rFonts w:ascii="Arial" w:hAnsi="Arial" w:cs="Arial"/>
          <w:sz w:val="21"/>
          <w:szCs w:val="21"/>
        </w:rPr>
        <w:t xml:space="preserve">luster locations are shown in Figure 1. </w:t>
      </w:r>
      <w:r w:rsidR="00677C9F">
        <w:rPr>
          <w:rFonts w:ascii="Arial" w:hAnsi="Arial" w:cs="Arial"/>
          <w:sz w:val="21"/>
          <w:szCs w:val="21"/>
        </w:rPr>
        <w:t xml:space="preserve">Fewer clusters were visited than originally planned because the sample size was reached early. </w:t>
      </w:r>
      <w:r w:rsidR="004D0B7A">
        <w:rPr>
          <w:rFonts w:ascii="Arial" w:hAnsi="Arial" w:cs="Arial"/>
          <w:sz w:val="21"/>
          <w:szCs w:val="21"/>
        </w:rPr>
        <w:t xml:space="preserve">In Vanuatu 3470 people ≥1 year were recruited from 33 clusters, and in Tarawa 2922 people ≥1 year were recruited from </w:t>
      </w:r>
      <w:r w:rsidR="008B7E59">
        <w:rPr>
          <w:rFonts w:ascii="Arial" w:hAnsi="Arial" w:cs="Arial"/>
          <w:sz w:val="21"/>
          <w:szCs w:val="21"/>
        </w:rPr>
        <w:t>22 clusters.</w:t>
      </w:r>
      <w:r w:rsidR="00677C9F">
        <w:rPr>
          <w:rFonts w:ascii="Arial" w:hAnsi="Arial" w:cs="Arial"/>
          <w:sz w:val="21"/>
          <w:szCs w:val="21"/>
        </w:rPr>
        <w:t xml:space="preserve"> </w:t>
      </w:r>
      <w:r w:rsidR="008601A5">
        <w:rPr>
          <w:rFonts w:ascii="Arial" w:hAnsi="Arial" w:cs="Arial"/>
          <w:sz w:val="21"/>
          <w:szCs w:val="21"/>
        </w:rPr>
        <w:t xml:space="preserve"> A</w:t>
      </w:r>
      <w:r w:rsidR="00C76109">
        <w:rPr>
          <w:rFonts w:ascii="Arial" w:hAnsi="Arial" w:cs="Arial"/>
          <w:sz w:val="21"/>
          <w:szCs w:val="21"/>
        </w:rPr>
        <w:t>ccording to the most recent census data, the median age</w:t>
      </w:r>
      <w:r w:rsidR="008601A5">
        <w:rPr>
          <w:rFonts w:ascii="Arial" w:hAnsi="Arial" w:cs="Arial"/>
          <w:sz w:val="21"/>
          <w:szCs w:val="21"/>
        </w:rPr>
        <w:t xml:space="preserve"> of the target age group (≥1 years)</w:t>
      </w:r>
      <w:r w:rsidR="00C76109">
        <w:rPr>
          <w:rFonts w:ascii="Arial" w:hAnsi="Arial" w:cs="Arial"/>
          <w:sz w:val="21"/>
          <w:szCs w:val="21"/>
        </w:rPr>
        <w:t xml:space="preserve"> in Vanuatu was 21 years </w:t>
      </w:r>
      <w:r w:rsidR="008601A5">
        <w:rPr>
          <w:rFonts w:ascii="Arial" w:hAnsi="Arial" w:cs="Arial"/>
          <w:sz w:val="21"/>
          <w:szCs w:val="21"/>
        </w:rPr>
        <w:t xml:space="preserve">(inter-quartile range [IQR]: 10–37 years) </w:t>
      </w:r>
      <w:r w:rsidR="00C76109">
        <w:rPr>
          <w:rFonts w:ascii="Arial" w:hAnsi="Arial" w:cs="Arial"/>
          <w:sz w:val="21"/>
          <w:szCs w:val="21"/>
        </w:rPr>
        <w:t xml:space="preserve">and </w:t>
      </w:r>
      <w:r w:rsidR="00DB6C64">
        <w:rPr>
          <w:rFonts w:ascii="Arial" w:hAnsi="Arial" w:cs="Arial"/>
          <w:sz w:val="21"/>
          <w:szCs w:val="21"/>
        </w:rPr>
        <w:t xml:space="preserve">of the population </w:t>
      </w:r>
      <w:r w:rsidR="008601A5">
        <w:rPr>
          <w:rFonts w:ascii="Arial" w:hAnsi="Arial" w:cs="Arial"/>
          <w:sz w:val="21"/>
          <w:szCs w:val="21"/>
        </w:rPr>
        <w:t xml:space="preserve">52% were male. The median age in our sample from Vanuatu was 20 years (IQR: 7–39 years) and 47% were male. In Kiribati, the most recent census suggested the median age in the target population was 22 years (IQR: 11–39) </w:t>
      </w:r>
      <w:r w:rsidR="00DB6C64">
        <w:rPr>
          <w:rFonts w:ascii="Arial" w:hAnsi="Arial" w:cs="Arial"/>
          <w:sz w:val="21"/>
          <w:szCs w:val="21"/>
        </w:rPr>
        <w:t xml:space="preserve">and 51% were male. The median age in our sample from Kiribati was 19 years (IQR: 6–38 years) and 40% were male. The age and gender distributions of both surveys were, therefore, similar to each other. </w:t>
      </w:r>
      <w:r w:rsidR="002023AA">
        <w:rPr>
          <w:rFonts w:ascii="Arial" w:hAnsi="Arial" w:cs="Arial"/>
          <w:sz w:val="21"/>
          <w:szCs w:val="21"/>
        </w:rPr>
        <w:t>A</w:t>
      </w:r>
      <w:r w:rsidR="00DB6C64">
        <w:rPr>
          <w:rFonts w:ascii="Arial" w:hAnsi="Arial" w:cs="Arial"/>
          <w:sz w:val="21"/>
          <w:szCs w:val="21"/>
        </w:rPr>
        <w:t>dult males (the lowest risk group for trachoma and trachoma-associated pathology)</w:t>
      </w:r>
      <w:r w:rsidR="002023AA">
        <w:rPr>
          <w:rFonts w:ascii="Arial" w:hAnsi="Arial" w:cs="Arial"/>
          <w:sz w:val="21"/>
          <w:szCs w:val="21"/>
        </w:rPr>
        <w:t xml:space="preserve"> were under-represented in both surveys</w:t>
      </w:r>
      <w:r w:rsidR="00DB6C64">
        <w:rPr>
          <w:rFonts w:ascii="Arial" w:hAnsi="Arial" w:cs="Arial"/>
          <w:sz w:val="21"/>
          <w:szCs w:val="21"/>
        </w:rPr>
        <w:t xml:space="preserve">. </w:t>
      </w:r>
      <w:r w:rsidR="00926D83">
        <w:rPr>
          <w:rFonts w:ascii="Arial" w:hAnsi="Arial" w:cs="Arial"/>
          <w:sz w:val="21"/>
          <w:szCs w:val="21"/>
        </w:rPr>
        <w:t xml:space="preserve">The prevalence of TF, TI and TT is shown in Table </w:t>
      </w:r>
      <w:r w:rsidR="003E3709">
        <w:rPr>
          <w:rFonts w:ascii="Arial" w:hAnsi="Arial" w:cs="Arial"/>
          <w:sz w:val="21"/>
          <w:szCs w:val="21"/>
        </w:rPr>
        <w:t>1</w:t>
      </w:r>
      <w:r w:rsidR="00926D83">
        <w:rPr>
          <w:rFonts w:ascii="Arial" w:hAnsi="Arial" w:cs="Arial"/>
          <w:sz w:val="21"/>
          <w:szCs w:val="21"/>
        </w:rPr>
        <w:t>. The peak age-specific TF prevalence in Tarawa was in those aged 13 years (63%) and in those aged 10 years in Vanuatu (21%).</w:t>
      </w:r>
    </w:p>
    <w:p w14:paraId="2923DD24" w14:textId="46A81C2C" w:rsidR="009848D4" w:rsidRPr="00B83CAF" w:rsidRDefault="009848D4" w:rsidP="008B5BE3">
      <w:pPr>
        <w:spacing w:line="480" w:lineRule="auto"/>
        <w:jc w:val="both"/>
        <w:rPr>
          <w:rFonts w:ascii="Arial" w:hAnsi="Arial" w:cs="Arial"/>
          <w:sz w:val="21"/>
          <w:szCs w:val="21"/>
          <w:lang w:val="fr-CH"/>
        </w:rPr>
      </w:pPr>
    </w:p>
    <w:p w14:paraId="3A4D93B5" w14:textId="78829930" w:rsidR="00D26029" w:rsidRDefault="00D26029" w:rsidP="008B5BE3">
      <w:pPr>
        <w:spacing w:line="480" w:lineRule="auto"/>
        <w:jc w:val="both"/>
        <w:rPr>
          <w:rFonts w:ascii="Arial" w:hAnsi="Arial" w:cs="Arial"/>
          <w:sz w:val="21"/>
          <w:szCs w:val="21"/>
          <w:u w:val="single"/>
        </w:rPr>
      </w:pPr>
      <w:r>
        <w:rPr>
          <w:rFonts w:ascii="Arial" w:hAnsi="Arial" w:cs="Arial"/>
          <w:sz w:val="21"/>
          <w:szCs w:val="21"/>
          <w:u w:val="single"/>
        </w:rPr>
        <w:t>Conjunctival scarring</w:t>
      </w:r>
    </w:p>
    <w:p w14:paraId="6E46E379" w14:textId="70402B98" w:rsidR="00D26029" w:rsidRDefault="00D26029" w:rsidP="008B5BE3">
      <w:pPr>
        <w:spacing w:line="480" w:lineRule="auto"/>
        <w:jc w:val="both"/>
        <w:rPr>
          <w:rFonts w:ascii="Arial" w:hAnsi="Arial" w:cs="Arial"/>
          <w:sz w:val="21"/>
          <w:szCs w:val="21"/>
          <w:u w:val="single"/>
        </w:rPr>
      </w:pPr>
    </w:p>
    <w:p w14:paraId="68D55EDA" w14:textId="6D1C118B" w:rsidR="00D26029" w:rsidRDefault="00D26029" w:rsidP="008B5BE3">
      <w:pPr>
        <w:spacing w:line="480" w:lineRule="auto"/>
        <w:jc w:val="both"/>
        <w:rPr>
          <w:rFonts w:ascii="Arial" w:hAnsi="Arial" w:cs="Arial"/>
          <w:sz w:val="21"/>
          <w:szCs w:val="21"/>
        </w:rPr>
      </w:pPr>
      <w:r>
        <w:rPr>
          <w:rFonts w:ascii="Arial" w:hAnsi="Arial" w:cs="Arial"/>
          <w:sz w:val="21"/>
          <w:szCs w:val="21"/>
        </w:rPr>
        <w:t>In Vanuatu</w:t>
      </w:r>
      <w:r w:rsidR="000B6171">
        <w:rPr>
          <w:rFonts w:ascii="Arial" w:hAnsi="Arial" w:cs="Arial"/>
          <w:sz w:val="21"/>
          <w:szCs w:val="21"/>
        </w:rPr>
        <w:t xml:space="preserve"> and </w:t>
      </w:r>
      <w:r w:rsidR="004D0B7A">
        <w:rPr>
          <w:rFonts w:ascii="Arial" w:hAnsi="Arial" w:cs="Arial"/>
          <w:sz w:val="21"/>
          <w:szCs w:val="21"/>
        </w:rPr>
        <w:t>Tarawa</w:t>
      </w:r>
      <w:r>
        <w:rPr>
          <w:rFonts w:ascii="Arial" w:hAnsi="Arial" w:cs="Arial"/>
          <w:sz w:val="21"/>
          <w:szCs w:val="21"/>
        </w:rPr>
        <w:t xml:space="preserve">, </w:t>
      </w:r>
      <w:r w:rsidR="000552CA">
        <w:rPr>
          <w:rFonts w:ascii="Arial" w:hAnsi="Arial" w:cs="Arial"/>
          <w:sz w:val="21"/>
          <w:szCs w:val="21"/>
        </w:rPr>
        <w:t>1871</w:t>
      </w:r>
      <w:r w:rsidR="000B6171">
        <w:rPr>
          <w:rFonts w:ascii="Arial" w:hAnsi="Arial" w:cs="Arial"/>
          <w:sz w:val="21"/>
          <w:szCs w:val="21"/>
        </w:rPr>
        <w:t>/3470 (</w:t>
      </w:r>
      <w:r w:rsidR="000552CA">
        <w:rPr>
          <w:rFonts w:ascii="Arial" w:hAnsi="Arial" w:cs="Arial"/>
          <w:sz w:val="21"/>
          <w:szCs w:val="21"/>
        </w:rPr>
        <w:t>54</w:t>
      </w:r>
      <w:r w:rsidR="000B6171">
        <w:rPr>
          <w:rFonts w:ascii="Arial" w:hAnsi="Arial" w:cs="Arial"/>
          <w:sz w:val="21"/>
          <w:szCs w:val="21"/>
        </w:rPr>
        <w:t xml:space="preserve">%) and </w:t>
      </w:r>
      <w:r w:rsidR="000552CA">
        <w:rPr>
          <w:rFonts w:ascii="Arial" w:hAnsi="Arial" w:cs="Arial"/>
          <w:sz w:val="21"/>
          <w:szCs w:val="21"/>
        </w:rPr>
        <w:t>1891</w:t>
      </w:r>
      <w:r w:rsidR="000B6171">
        <w:rPr>
          <w:rFonts w:ascii="Arial" w:hAnsi="Arial" w:cs="Arial"/>
          <w:sz w:val="21"/>
          <w:szCs w:val="21"/>
        </w:rPr>
        <w:t>/2</w:t>
      </w:r>
      <w:r w:rsidR="0024389F">
        <w:rPr>
          <w:rFonts w:ascii="Arial" w:hAnsi="Arial" w:cs="Arial"/>
          <w:sz w:val="21"/>
          <w:szCs w:val="21"/>
        </w:rPr>
        <w:t>922</w:t>
      </w:r>
      <w:r w:rsidR="000B6171">
        <w:rPr>
          <w:rFonts w:ascii="Arial" w:hAnsi="Arial" w:cs="Arial"/>
          <w:sz w:val="21"/>
          <w:szCs w:val="21"/>
        </w:rPr>
        <w:t xml:space="preserve"> (</w:t>
      </w:r>
      <w:r w:rsidR="000552CA">
        <w:rPr>
          <w:rFonts w:ascii="Arial" w:hAnsi="Arial" w:cs="Arial"/>
          <w:sz w:val="21"/>
          <w:szCs w:val="21"/>
        </w:rPr>
        <w:t>6</w:t>
      </w:r>
      <w:r w:rsidR="00AE7D71">
        <w:rPr>
          <w:rFonts w:ascii="Arial" w:hAnsi="Arial" w:cs="Arial"/>
          <w:sz w:val="21"/>
          <w:szCs w:val="21"/>
        </w:rPr>
        <w:t>5</w:t>
      </w:r>
      <w:r w:rsidR="000B6171">
        <w:rPr>
          <w:rFonts w:ascii="Arial" w:hAnsi="Arial" w:cs="Arial"/>
          <w:sz w:val="21"/>
          <w:szCs w:val="21"/>
        </w:rPr>
        <w:t>%) participants had gradable photographs</w:t>
      </w:r>
      <w:r w:rsidR="00231BE2">
        <w:rPr>
          <w:rFonts w:ascii="Arial" w:hAnsi="Arial" w:cs="Arial"/>
          <w:sz w:val="21"/>
          <w:szCs w:val="21"/>
        </w:rPr>
        <w:t xml:space="preserve">. </w:t>
      </w:r>
      <w:r w:rsidR="0050484F">
        <w:rPr>
          <w:rFonts w:ascii="Arial" w:hAnsi="Arial" w:cs="Arial"/>
          <w:sz w:val="21"/>
          <w:szCs w:val="21"/>
        </w:rPr>
        <w:t xml:space="preserve">The age-specific prevalence of conjunctival scarring is shown in figure 2. </w:t>
      </w:r>
      <w:r w:rsidR="00231BE2">
        <w:rPr>
          <w:rFonts w:ascii="Arial" w:hAnsi="Arial" w:cs="Arial"/>
          <w:sz w:val="21"/>
          <w:szCs w:val="21"/>
        </w:rPr>
        <w:t>A</w:t>
      </w:r>
      <w:r w:rsidR="000B6171">
        <w:rPr>
          <w:rFonts w:ascii="Arial" w:hAnsi="Arial" w:cs="Arial"/>
          <w:sz w:val="21"/>
          <w:szCs w:val="21"/>
        </w:rPr>
        <w:t xml:space="preserve"> larger proportion of photographs from Kiribati had evidence of scarring</w:t>
      </w:r>
      <w:r w:rsidR="00075237">
        <w:rPr>
          <w:rFonts w:ascii="Arial" w:hAnsi="Arial" w:cs="Arial"/>
          <w:sz w:val="21"/>
          <w:szCs w:val="21"/>
        </w:rPr>
        <w:t xml:space="preserve"> of any severity</w:t>
      </w:r>
      <w:r w:rsidR="000B6171">
        <w:rPr>
          <w:rFonts w:ascii="Arial" w:hAnsi="Arial" w:cs="Arial"/>
          <w:sz w:val="21"/>
          <w:szCs w:val="21"/>
        </w:rPr>
        <w:t xml:space="preserve"> than in Vanuatu (</w:t>
      </w:r>
      <w:r w:rsidR="006E67AD">
        <w:rPr>
          <w:rFonts w:ascii="Arial" w:hAnsi="Arial" w:cs="Arial"/>
          <w:sz w:val="21"/>
          <w:szCs w:val="21"/>
        </w:rPr>
        <w:t>2</w:t>
      </w:r>
      <w:r w:rsidR="00B17196">
        <w:rPr>
          <w:rFonts w:ascii="Arial" w:hAnsi="Arial" w:cs="Arial"/>
          <w:sz w:val="21"/>
          <w:szCs w:val="21"/>
        </w:rPr>
        <w:t>7</w:t>
      </w:r>
      <w:r w:rsidR="000B6171">
        <w:rPr>
          <w:rFonts w:ascii="Arial" w:hAnsi="Arial" w:cs="Arial"/>
          <w:sz w:val="21"/>
          <w:szCs w:val="21"/>
        </w:rPr>
        <w:t xml:space="preserve"> versus </w:t>
      </w:r>
      <w:r w:rsidR="00B17196">
        <w:rPr>
          <w:rFonts w:ascii="Arial" w:hAnsi="Arial" w:cs="Arial"/>
          <w:sz w:val="21"/>
          <w:szCs w:val="21"/>
        </w:rPr>
        <w:t>7</w:t>
      </w:r>
      <w:r w:rsidR="000B6171">
        <w:rPr>
          <w:rFonts w:ascii="Arial" w:hAnsi="Arial" w:cs="Arial"/>
          <w:sz w:val="21"/>
          <w:szCs w:val="21"/>
        </w:rPr>
        <w:t xml:space="preserve">%, </w:t>
      </w:r>
      <w:r w:rsidR="005A4AE7">
        <w:rPr>
          <w:rFonts w:ascii="Arial" w:hAnsi="Arial" w:cs="Arial"/>
          <w:sz w:val="21"/>
          <w:szCs w:val="21"/>
        </w:rPr>
        <w:t>Fisher’s Exact</w:t>
      </w:r>
      <w:r w:rsidR="00B366DB">
        <w:rPr>
          <w:rFonts w:ascii="Arial" w:hAnsi="Arial" w:cs="Arial"/>
          <w:sz w:val="21"/>
          <w:szCs w:val="21"/>
        </w:rPr>
        <w:t xml:space="preserve"> test</w:t>
      </w:r>
      <w:r w:rsidR="00A654E4">
        <w:rPr>
          <w:rFonts w:ascii="Arial" w:hAnsi="Arial" w:cs="Arial"/>
          <w:sz w:val="21"/>
          <w:szCs w:val="21"/>
        </w:rPr>
        <w:t>,</w:t>
      </w:r>
      <w:r w:rsidR="00B366DB">
        <w:rPr>
          <w:rFonts w:ascii="Arial" w:hAnsi="Arial" w:cs="Arial"/>
          <w:sz w:val="21"/>
          <w:szCs w:val="21"/>
        </w:rPr>
        <w:t xml:space="preserve"> </w:t>
      </w:r>
      <w:r w:rsidR="000B6171">
        <w:rPr>
          <w:rFonts w:ascii="Arial" w:hAnsi="Arial" w:cs="Arial"/>
          <w:sz w:val="21"/>
          <w:szCs w:val="21"/>
        </w:rPr>
        <w:t xml:space="preserve">p </w:t>
      </w:r>
      <w:r w:rsidR="00B17196">
        <w:rPr>
          <w:rFonts w:ascii="Arial" w:hAnsi="Arial" w:cs="Arial"/>
          <w:sz w:val="21"/>
          <w:szCs w:val="21"/>
        </w:rPr>
        <w:t xml:space="preserve">&lt; </w:t>
      </w:r>
      <w:r w:rsidR="00B366DB">
        <w:rPr>
          <w:rFonts w:ascii="Arial" w:hAnsi="Arial" w:cs="Arial"/>
          <w:sz w:val="21"/>
          <w:szCs w:val="21"/>
        </w:rPr>
        <w:t>0.00</w:t>
      </w:r>
      <w:r w:rsidR="00B17196">
        <w:rPr>
          <w:rFonts w:ascii="Arial" w:hAnsi="Arial" w:cs="Arial"/>
          <w:sz w:val="21"/>
          <w:szCs w:val="21"/>
        </w:rPr>
        <w:t>01</w:t>
      </w:r>
      <w:r w:rsidR="000B6171">
        <w:rPr>
          <w:rFonts w:ascii="Arial" w:hAnsi="Arial" w:cs="Arial"/>
          <w:sz w:val="21"/>
          <w:szCs w:val="21"/>
        </w:rPr>
        <w:t>)</w:t>
      </w:r>
      <w:r w:rsidR="00531080">
        <w:rPr>
          <w:rFonts w:ascii="Arial" w:hAnsi="Arial" w:cs="Arial"/>
          <w:sz w:val="21"/>
          <w:szCs w:val="21"/>
        </w:rPr>
        <w:t>, and in older people the difference was similarly marked; the proportion of those aged ≥51 years with any scar was 33% in Vanuatu and 72% in Tarawa (Fisher’s exact test p &lt; 0.0001)</w:t>
      </w:r>
      <w:r w:rsidR="000B6171">
        <w:rPr>
          <w:rFonts w:ascii="Arial" w:hAnsi="Arial" w:cs="Arial"/>
          <w:sz w:val="21"/>
          <w:szCs w:val="21"/>
        </w:rPr>
        <w:t>.</w:t>
      </w:r>
      <w:r w:rsidR="00CE7CF6">
        <w:rPr>
          <w:rFonts w:ascii="Arial" w:hAnsi="Arial" w:cs="Arial"/>
          <w:sz w:val="21"/>
          <w:szCs w:val="21"/>
        </w:rPr>
        <w:t xml:space="preserve"> Scars were more common in older people</w:t>
      </w:r>
      <w:r w:rsidR="00997794">
        <w:rPr>
          <w:rFonts w:ascii="Arial" w:hAnsi="Arial" w:cs="Arial"/>
          <w:sz w:val="21"/>
          <w:szCs w:val="21"/>
        </w:rPr>
        <w:t xml:space="preserve"> (odds ratio [OR]: 1.07, 95% confidence interval</w:t>
      </w:r>
      <w:r w:rsidR="00531080">
        <w:rPr>
          <w:rFonts w:ascii="Arial" w:hAnsi="Arial" w:cs="Arial"/>
          <w:sz w:val="21"/>
          <w:szCs w:val="21"/>
        </w:rPr>
        <w:t xml:space="preserve"> [CI]: 1.06–1.08; p &lt; 0.001), more common in females (OR: 1.4, 95% CI: 1.</w:t>
      </w:r>
      <w:r w:rsidR="00205ED0">
        <w:rPr>
          <w:rFonts w:ascii="Arial" w:hAnsi="Arial" w:cs="Arial"/>
          <w:sz w:val="21"/>
          <w:szCs w:val="21"/>
        </w:rPr>
        <w:t>2</w:t>
      </w:r>
      <w:r w:rsidR="00531080">
        <w:rPr>
          <w:rFonts w:ascii="Arial" w:hAnsi="Arial" w:cs="Arial"/>
          <w:sz w:val="21"/>
          <w:szCs w:val="21"/>
        </w:rPr>
        <w:t>–1.8; p = 0.001)</w:t>
      </w:r>
      <w:r w:rsidR="00CE7CF6">
        <w:rPr>
          <w:rFonts w:ascii="Arial" w:hAnsi="Arial" w:cs="Arial"/>
          <w:sz w:val="21"/>
          <w:szCs w:val="21"/>
        </w:rPr>
        <w:t xml:space="preserve"> and </w:t>
      </w:r>
      <w:r w:rsidR="00531080">
        <w:rPr>
          <w:rFonts w:ascii="Arial" w:hAnsi="Arial" w:cs="Arial"/>
          <w:sz w:val="21"/>
          <w:szCs w:val="21"/>
        </w:rPr>
        <w:t xml:space="preserve">less common in Vanuatu than Tarawa (OR: 0.13, 95% CI: 0.10–0.16; p &lt; 0.001). </w:t>
      </w:r>
    </w:p>
    <w:p w14:paraId="594E8A37" w14:textId="3BBB94B6" w:rsidR="00D26029" w:rsidRDefault="00D26029" w:rsidP="008B5BE3">
      <w:pPr>
        <w:spacing w:line="480" w:lineRule="auto"/>
        <w:jc w:val="both"/>
        <w:rPr>
          <w:rFonts w:ascii="Arial" w:hAnsi="Arial" w:cs="Arial"/>
          <w:sz w:val="21"/>
          <w:szCs w:val="21"/>
        </w:rPr>
      </w:pPr>
    </w:p>
    <w:p w14:paraId="16733A65" w14:textId="2A711118" w:rsidR="00D95E62" w:rsidRDefault="00D95E62" w:rsidP="008B5BE3">
      <w:pPr>
        <w:spacing w:line="480" w:lineRule="auto"/>
        <w:jc w:val="both"/>
        <w:rPr>
          <w:rFonts w:ascii="Arial" w:hAnsi="Arial" w:cs="Arial"/>
          <w:sz w:val="21"/>
          <w:szCs w:val="21"/>
          <w:u w:val="single"/>
        </w:rPr>
      </w:pPr>
      <w:r>
        <w:rPr>
          <w:rFonts w:ascii="Arial" w:hAnsi="Arial" w:cs="Arial"/>
          <w:sz w:val="21"/>
          <w:szCs w:val="21"/>
          <w:u w:val="single"/>
        </w:rPr>
        <w:t xml:space="preserve">Ocular </w:t>
      </w:r>
      <w:r>
        <w:rPr>
          <w:rFonts w:ascii="Arial" w:hAnsi="Arial" w:cs="Arial"/>
          <w:i/>
          <w:sz w:val="21"/>
          <w:szCs w:val="21"/>
          <w:u w:val="single"/>
        </w:rPr>
        <w:t xml:space="preserve">Ct </w:t>
      </w:r>
      <w:r>
        <w:rPr>
          <w:rFonts w:ascii="Arial" w:hAnsi="Arial" w:cs="Arial"/>
          <w:sz w:val="21"/>
          <w:szCs w:val="21"/>
          <w:u w:val="single"/>
        </w:rPr>
        <w:t>infection</w:t>
      </w:r>
    </w:p>
    <w:p w14:paraId="4EA97F1D" w14:textId="577E5A9E" w:rsidR="00D95E62" w:rsidRDefault="00D95E62" w:rsidP="008B5BE3">
      <w:pPr>
        <w:spacing w:line="480" w:lineRule="auto"/>
        <w:jc w:val="both"/>
        <w:rPr>
          <w:rFonts w:ascii="Arial" w:hAnsi="Arial" w:cs="Arial"/>
          <w:sz w:val="21"/>
          <w:szCs w:val="21"/>
          <w:u w:val="single"/>
        </w:rPr>
      </w:pPr>
    </w:p>
    <w:p w14:paraId="05EF615F" w14:textId="3640B25A" w:rsidR="00D95E62" w:rsidRDefault="00DC20C0" w:rsidP="008B5BE3">
      <w:pPr>
        <w:spacing w:line="480" w:lineRule="auto"/>
        <w:jc w:val="both"/>
        <w:rPr>
          <w:rFonts w:ascii="Arial" w:hAnsi="Arial" w:cs="Arial"/>
          <w:sz w:val="21"/>
          <w:szCs w:val="21"/>
        </w:rPr>
      </w:pPr>
      <w:r>
        <w:rPr>
          <w:rFonts w:ascii="Arial" w:hAnsi="Arial" w:cs="Arial"/>
          <w:sz w:val="21"/>
          <w:szCs w:val="21"/>
        </w:rPr>
        <w:t>All field control</w:t>
      </w:r>
      <w:r w:rsidR="00620CAE">
        <w:rPr>
          <w:rFonts w:ascii="Arial" w:hAnsi="Arial" w:cs="Arial"/>
          <w:sz w:val="21"/>
          <w:szCs w:val="21"/>
        </w:rPr>
        <w:t xml:space="preserve"> swab</w:t>
      </w:r>
      <w:r>
        <w:rPr>
          <w:rFonts w:ascii="Arial" w:hAnsi="Arial" w:cs="Arial"/>
          <w:sz w:val="21"/>
          <w:szCs w:val="21"/>
        </w:rPr>
        <w:t>s tested negative</w:t>
      </w:r>
      <w:r w:rsidR="00B73086">
        <w:rPr>
          <w:rFonts w:ascii="Arial" w:hAnsi="Arial" w:cs="Arial"/>
          <w:sz w:val="21"/>
          <w:szCs w:val="21"/>
        </w:rPr>
        <w:t xml:space="preserve"> for both </w:t>
      </w:r>
      <w:r w:rsidR="00B73086">
        <w:rPr>
          <w:rFonts w:ascii="Arial" w:hAnsi="Arial" w:cs="Arial"/>
          <w:i/>
          <w:iCs/>
          <w:sz w:val="21"/>
          <w:szCs w:val="21"/>
        </w:rPr>
        <w:t xml:space="preserve">Ct </w:t>
      </w:r>
      <w:r w:rsidR="00B73086">
        <w:rPr>
          <w:rFonts w:ascii="Arial" w:hAnsi="Arial" w:cs="Arial"/>
          <w:sz w:val="21"/>
          <w:szCs w:val="21"/>
        </w:rPr>
        <w:t xml:space="preserve">and human </w:t>
      </w:r>
      <w:r w:rsidR="00620CAE">
        <w:rPr>
          <w:rFonts w:ascii="Arial" w:hAnsi="Arial" w:cs="Arial"/>
          <w:sz w:val="21"/>
          <w:szCs w:val="21"/>
        </w:rPr>
        <w:t xml:space="preserve">DNA </w:t>
      </w:r>
      <w:r w:rsidR="00B73086">
        <w:rPr>
          <w:rFonts w:ascii="Arial" w:hAnsi="Arial" w:cs="Arial"/>
          <w:sz w:val="21"/>
          <w:szCs w:val="21"/>
        </w:rPr>
        <w:t>targets</w:t>
      </w:r>
      <w:r>
        <w:rPr>
          <w:rFonts w:ascii="Arial" w:hAnsi="Arial" w:cs="Arial"/>
          <w:sz w:val="21"/>
          <w:szCs w:val="21"/>
        </w:rPr>
        <w:t xml:space="preserve">. </w:t>
      </w:r>
      <w:r w:rsidR="00FB4EF6">
        <w:rPr>
          <w:rFonts w:ascii="Arial" w:hAnsi="Arial" w:cs="Arial"/>
          <w:sz w:val="21"/>
          <w:szCs w:val="21"/>
        </w:rPr>
        <w:t>I</w:t>
      </w:r>
      <w:r w:rsidR="00D95E62">
        <w:rPr>
          <w:rFonts w:ascii="Arial" w:hAnsi="Arial" w:cs="Arial"/>
          <w:sz w:val="21"/>
          <w:szCs w:val="21"/>
        </w:rPr>
        <w:t xml:space="preserve">n Vanuatu, </w:t>
      </w:r>
      <w:r w:rsidR="00FB4EF6">
        <w:rPr>
          <w:rFonts w:ascii="Arial" w:hAnsi="Arial" w:cs="Arial"/>
          <w:sz w:val="21"/>
          <w:szCs w:val="21"/>
        </w:rPr>
        <w:t>1040</w:t>
      </w:r>
      <w:r w:rsidR="00D95E62">
        <w:rPr>
          <w:rFonts w:ascii="Arial" w:hAnsi="Arial" w:cs="Arial"/>
          <w:sz w:val="21"/>
          <w:szCs w:val="21"/>
        </w:rPr>
        <w:t>/1112 (</w:t>
      </w:r>
      <w:r w:rsidR="00FB4EF6">
        <w:rPr>
          <w:rFonts w:ascii="Arial" w:hAnsi="Arial" w:cs="Arial"/>
          <w:sz w:val="21"/>
          <w:szCs w:val="21"/>
        </w:rPr>
        <w:t>94</w:t>
      </w:r>
      <w:r w:rsidR="00D95E62">
        <w:rPr>
          <w:rFonts w:ascii="Arial" w:hAnsi="Arial" w:cs="Arial"/>
          <w:sz w:val="21"/>
          <w:szCs w:val="21"/>
        </w:rPr>
        <w:t xml:space="preserve">%) children aged 1–9 years had swabs </w:t>
      </w:r>
      <w:r w:rsidR="00BF7F14">
        <w:rPr>
          <w:rFonts w:ascii="Arial" w:hAnsi="Arial" w:cs="Arial"/>
          <w:sz w:val="21"/>
          <w:szCs w:val="21"/>
        </w:rPr>
        <w:t>which wer</w:t>
      </w:r>
      <w:r>
        <w:rPr>
          <w:rFonts w:ascii="Arial" w:hAnsi="Arial" w:cs="Arial"/>
          <w:sz w:val="21"/>
          <w:szCs w:val="21"/>
        </w:rPr>
        <w:t>e</w:t>
      </w:r>
      <w:r w:rsidR="00D95E62">
        <w:rPr>
          <w:rFonts w:ascii="Arial" w:hAnsi="Arial" w:cs="Arial"/>
          <w:sz w:val="21"/>
          <w:szCs w:val="21"/>
        </w:rPr>
        <w:t xml:space="preserve"> positive </w:t>
      </w:r>
      <w:r w:rsidR="00BF7F14">
        <w:rPr>
          <w:rFonts w:ascii="Arial" w:hAnsi="Arial" w:cs="Arial"/>
          <w:sz w:val="21"/>
          <w:szCs w:val="21"/>
        </w:rPr>
        <w:t xml:space="preserve">for the </w:t>
      </w:r>
      <w:r w:rsidR="00D95E62">
        <w:rPr>
          <w:rFonts w:ascii="Arial" w:hAnsi="Arial" w:cs="Arial"/>
          <w:sz w:val="21"/>
          <w:szCs w:val="21"/>
        </w:rPr>
        <w:t>endogenous control</w:t>
      </w:r>
      <w:r w:rsidR="00BF7F14">
        <w:rPr>
          <w:rFonts w:ascii="Arial" w:hAnsi="Arial" w:cs="Arial"/>
          <w:sz w:val="21"/>
          <w:szCs w:val="21"/>
        </w:rPr>
        <w:t xml:space="preserve"> target</w:t>
      </w:r>
      <w:r w:rsidR="00FB4EF6">
        <w:rPr>
          <w:rFonts w:ascii="Arial" w:hAnsi="Arial" w:cs="Arial"/>
          <w:sz w:val="21"/>
          <w:szCs w:val="21"/>
        </w:rPr>
        <w:t>; however, contamination was detected in the extraction controls for 141 samples</w:t>
      </w:r>
      <w:r w:rsidR="008257CC">
        <w:rPr>
          <w:rFonts w:ascii="Arial" w:hAnsi="Arial" w:cs="Arial"/>
          <w:sz w:val="21"/>
          <w:szCs w:val="21"/>
        </w:rPr>
        <w:t xml:space="preserve"> suggesting reagent contamination during extraction</w:t>
      </w:r>
      <w:r w:rsidR="00620CAE">
        <w:rPr>
          <w:rFonts w:ascii="Arial" w:hAnsi="Arial" w:cs="Arial"/>
          <w:sz w:val="21"/>
          <w:szCs w:val="21"/>
        </w:rPr>
        <w:t>; these</w:t>
      </w:r>
      <w:r w:rsidR="00FB4EF6">
        <w:rPr>
          <w:rFonts w:ascii="Arial" w:hAnsi="Arial" w:cs="Arial"/>
          <w:sz w:val="21"/>
          <w:szCs w:val="21"/>
        </w:rPr>
        <w:t xml:space="preserve"> were removed from the analysis. Therefore</w:t>
      </w:r>
      <w:r w:rsidR="008257CC">
        <w:rPr>
          <w:rFonts w:ascii="Arial" w:hAnsi="Arial" w:cs="Arial"/>
          <w:sz w:val="21"/>
          <w:szCs w:val="21"/>
        </w:rPr>
        <w:t>,</w:t>
      </w:r>
      <w:r w:rsidR="00FB4EF6">
        <w:rPr>
          <w:rFonts w:ascii="Arial" w:hAnsi="Arial" w:cs="Arial"/>
          <w:sz w:val="21"/>
          <w:szCs w:val="21"/>
        </w:rPr>
        <w:t xml:space="preserve"> </w:t>
      </w:r>
      <w:r w:rsidR="00620CAE">
        <w:rPr>
          <w:rFonts w:ascii="Arial" w:hAnsi="Arial" w:cs="Arial"/>
          <w:sz w:val="21"/>
          <w:szCs w:val="21"/>
        </w:rPr>
        <w:t xml:space="preserve">results for </w:t>
      </w:r>
      <w:r w:rsidR="00FB4EF6">
        <w:rPr>
          <w:rFonts w:ascii="Arial" w:hAnsi="Arial" w:cs="Arial"/>
          <w:sz w:val="21"/>
          <w:szCs w:val="21"/>
        </w:rPr>
        <w:t>899</w:t>
      </w:r>
      <w:r>
        <w:rPr>
          <w:rFonts w:ascii="Arial" w:hAnsi="Arial" w:cs="Arial"/>
          <w:sz w:val="21"/>
          <w:szCs w:val="21"/>
        </w:rPr>
        <w:t xml:space="preserve"> </w:t>
      </w:r>
      <w:r w:rsidR="00620CAE">
        <w:rPr>
          <w:rFonts w:ascii="Arial" w:hAnsi="Arial" w:cs="Arial"/>
          <w:sz w:val="21"/>
          <w:szCs w:val="21"/>
        </w:rPr>
        <w:t>children were included</w:t>
      </w:r>
      <w:r w:rsidR="00D95E62">
        <w:rPr>
          <w:rFonts w:ascii="Arial" w:hAnsi="Arial" w:cs="Arial"/>
          <w:sz w:val="21"/>
          <w:szCs w:val="21"/>
        </w:rPr>
        <w:t>.</w:t>
      </w:r>
      <w:r w:rsidR="00075237">
        <w:rPr>
          <w:rFonts w:ascii="Arial" w:hAnsi="Arial" w:cs="Arial"/>
          <w:sz w:val="21"/>
          <w:szCs w:val="21"/>
        </w:rPr>
        <w:t xml:space="preserve"> </w:t>
      </w:r>
      <w:r w:rsidR="00D95E62">
        <w:rPr>
          <w:rFonts w:ascii="Arial" w:hAnsi="Arial" w:cs="Arial"/>
          <w:sz w:val="21"/>
          <w:szCs w:val="21"/>
        </w:rPr>
        <w:t xml:space="preserve">Of these, 16/899 (1.8%) had evidence of </w:t>
      </w:r>
      <w:r w:rsidR="00D95E62">
        <w:rPr>
          <w:rFonts w:ascii="Arial" w:hAnsi="Arial" w:cs="Arial"/>
          <w:i/>
          <w:sz w:val="21"/>
          <w:szCs w:val="21"/>
        </w:rPr>
        <w:t xml:space="preserve">Ct </w:t>
      </w:r>
      <w:r w:rsidR="00D95E62">
        <w:rPr>
          <w:rFonts w:ascii="Arial" w:hAnsi="Arial" w:cs="Arial"/>
          <w:sz w:val="21"/>
          <w:szCs w:val="21"/>
        </w:rPr>
        <w:t>infection. The age-adjusted prevalence of infection was 1.5% (95% confidence interval</w:t>
      </w:r>
      <w:r w:rsidR="003A6E21">
        <w:rPr>
          <w:rFonts w:ascii="Arial" w:hAnsi="Arial" w:cs="Arial"/>
          <w:sz w:val="21"/>
          <w:szCs w:val="21"/>
        </w:rPr>
        <w:t xml:space="preserve"> [CI]</w:t>
      </w:r>
      <w:r w:rsidR="00D95E62">
        <w:rPr>
          <w:rFonts w:ascii="Arial" w:hAnsi="Arial" w:cs="Arial"/>
          <w:sz w:val="21"/>
          <w:szCs w:val="21"/>
        </w:rPr>
        <w:t xml:space="preserve">: 0.8–2.2%). There was no association between ocular </w:t>
      </w:r>
      <w:r w:rsidR="00D95E62">
        <w:rPr>
          <w:rFonts w:ascii="Arial" w:hAnsi="Arial" w:cs="Arial"/>
          <w:i/>
          <w:sz w:val="21"/>
          <w:szCs w:val="21"/>
        </w:rPr>
        <w:t xml:space="preserve">Ct </w:t>
      </w:r>
      <w:r w:rsidR="00D95E62">
        <w:rPr>
          <w:rFonts w:ascii="Arial" w:hAnsi="Arial" w:cs="Arial"/>
          <w:sz w:val="21"/>
          <w:szCs w:val="21"/>
        </w:rPr>
        <w:t>infection and active trachoma (</w:t>
      </w:r>
      <w:r w:rsidR="00B57163">
        <w:rPr>
          <w:rFonts w:ascii="Arial" w:hAnsi="Arial" w:cs="Arial"/>
          <w:sz w:val="21"/>
          <w:szCs w:val="21"/>
        </w:rPr>
        <w:t xml:space="preserve">logistic regression </w:t>
      </w:r>
      <w:r w:rsidR="00531080">
        <w:rPr>
          <w:rFonts w:ascii="Arial" w:hAnsi="Arial" w:cs="Arial"/>
          <w:sz w:val="21"/>
          <w:szCs w:val="21"/>
        </w:rPr>
        <w:t xml:space="preserve">adjusted for age and gender </w:t>
      </w:r>
      <w:r w:rsidR="00B57163">
        <w:rPr>
          <w:rFonts w:ascii="Arial" w:hAnsi="Arial" w:cs="Arial"/>
          <w:sz w:val="21"/>
          <w:szCs w:val="21"/>
        </w:rPr>
        <w:t>p = 0.71, odds ratio [OR]: 1.</w:t>
      </w:r>
      <w:r w:rsidR="00205ED0">
        <w:rPr>
          <w:rFonts w:ascii="Arial" w:hAnsi="Arial" w:cs="Arial"/>
          <w:sz w:val="21"/>
          <w:szCs w:val="21"/>
        </w:rPr>
        <w:t>3</w:t>
      </w:r>
      <w:r w:rsidR="00B57163">
        <w:rPr>
          <w:rFonts w:ascii="Arial" w:hAnsi="Arial" w:cs="Arial"/>
          <w:sz w:val="21"/>
          <w:szCs w:val="21"/>
        </w:rPr>
        <w:t xml:space="preserve"> [95% CI: 0.3–4.0]</w:t>
      </w:r>
      <w:r w:rsidR="00D95E62">
        <w:rPr>
          <w:rFonts w:ascii="Arial" w:hAnsi="Arial" w:cs="Arial"/>
          <w:sz w:val="21"/>
          <w:szCs w:val="21"/>
        </w:rPr>
        <w:t xml:space="preserve">; Table </w:t>
      </w:r>
      <w:r w:rsidR="00376242">
        <w:rPr>
          <w:rFonts w:ascii="Arial" w:hAnsi="Arial" w:cs="Arial"/>
          <w:sz w:val="21"/>
          <w:szCs w:val="21"/>
        </w:rPr>
        <w:t>3</w:t>
      </w:r>
      <w:r w:rsidR="00D95E62">
        <w:rPr>
          <w:rFonts w:ascii="Arial" w:hAnsi="Arial" w:cs="Arial"/>
          <w:sz w:val="21"/>
          <w:szCs w:val="21"/>
        </w:rPr>
        <w:t xml:space="preserve">). The median load of infection in those with </w:t>
      </w:r>
      <w:r w:rsidR="00D95E62">
        <w:rPr>
          <w:rFonts w:ascii="Arial" w:hAnsi="Arial" w:cs="Arial"/>
          <w:i/>
          <w:sz w:val="21"/>
          <w:szCs w:val="21"/>
        </w:rPr>
        <w:t xml:space="preserve">Ct </w:t>
      </w:r>
      <w:r w:rsidR="00BF7F14">
        <w:rPr>
          <w:rFonts w:ascii="Arial" w:hAnsi="Arial" w:cs="Arial"/>
          <w:sz w:val="21"/>
          <w:szCs w:val="21"/>
        </w:rPr>
        <w:t>infection</w:t>
      </w:r>
      <w:r w:rsidR="00D95E62">
        <w:rPr>
          <w:rFonts w:ascii="Arial" w:hAnsi="Arial" w:cs="Arial"/>
          <w:sz w:val="21"/>
          <w:szCs w:val="21"/>
        </w:rPr>
        <w:t xml:space="preserve"> was low</w:t>
      </w:r>
      <w:r w:rsidR="00BF7F14">
        <w:rPr>
          <w:rFonts w:ascii="Arial" w:hAnsi="Arial" w:cs="Arial"/>
          <w:sz w:val="21"/>
          <w:szCs w:val="21"/>
        </w:rPr>
        <w:t xml:space="preserve"> (</w:t>
      </w:r>
      <w:r w:rsidR="00D95E62">
        <w:rPr>
          <w:rFonts w:ascii="Arial" w:hAnsi="Arial" w:cs="Arial"/>
          <w:sz w:val="21"/>
          <w:szCs w:val="21"/>
        </w:rPr>
        <w:t xml:space="preserve">96 </w:t>
      </w:r>
      <w:r w:rsidR="00BF7F14">
        <w:rPr>
          <w:rFonts w:ascii="Arial" w:hAnsi="Arial" w:cs="Arial"/>
          <w:sz w:val="21"/>
          <w:szCs w:val="21"/>
        </w:rPr>
        <w:t xml:space="preserve">plasmid </w:t>
      </w:r>
      <w:r w:rsidR="00D95E62">
        <w:rPr>
          <w:rFonts w:ascii="Arial" w:hAnsi="Arial" w:cs="Arial"/>
          <w:sz w:val="21"/>
          <w:szCs w:val="21"/>
        </w:rPr>
        <w:t>copies</w:t>
      </w:r>
      <w:r w:rsidR="00BF7F14">
        <w:rPr>
          <w:rFonts w:ascii="Arial" w:hAnsi="Arial" w:cs="Arial"/>
          <w:sz w:val="21"/>
          <w:szCs w:val="21"/>
        </w:rPr>
        <w:t>/</w:t>
      </w:r>
      <w:r w:rsidR="00D95E62">
        <w:rPr>
          <w:rFonts w:ascii="Arial" w:hAnsi="Arial" w:cs="Arial"/>
          <w:sz w:val="21"/>
          <w:szCs w:val="21"/>
        </w:rPr>
        <w:t>swab</w:t>
      </w:r>
      <w:r w:rsidR="00BF7F14">
        <w:rPr>
          <w:rFonts w:ascii="Arial" w:hAnsi="Arial" w:cs="Arial"/>
          <w:sz w:val="21"/>
          <w:szCs w:val="21"/>
        </w:rPr>
        <w:t xml:space="preserve">, </w:t>
      </w:r>
      <w:r w:rsidR="00D95E62">
        <w:rPr>
          <w:rFonts w:ascii="Arial" w:hAnsi="Arial" w:cs="Arial"/>
          <w:sz w:val="21"/>
          <w:szCs w:val="21"/>
        </w:rPr>
        <w:t xml:space="preserve">range: 66–8160 </w:t>
      </w:r>
      <w:r w:rsidR="00BF7F14">
        <w:rPr>
          <w:rFonts w:ascii="Arial" w:hAnsi="Arial" w:cs="Arial"/>
          <w:sz w:val="21"/>
          <w:szCs w:val="21"/>
        </w:rPr>
        <w:t xml:space="preserve">plasmid </w:t>
      </w:r>
      <w:r w:rsidR="00D95E62">
        <w:rPr>
          <w:rFonts w:ascii="Arial" w:hAnsi="Arial" w:cs="Arial"/>
          <w:sz w:val="21"/>
          <w:szCs w:val="21"/>
        </w:rPr>
        <w:t>copies/swab).</w:t>
      </w:r>
    </w:p>
    <w:p w14:paraId="25674C7F" w14:textId="13754FE1" w:rsidR="00D95E62" w:rsidRPr="00F96A1E" w:rsidRDefault="00D95E62" w:rsidP="008B5BE3">
      <w:pPr>
        <w:spacing w:line="480" w:lineRule="auto"/>
        <w:jc w:val="both"/>
        <w:rPr>
          <w:rFonts w:ascii="Arial" w:hAnsi="Arial" w:cs="Arial"/>
          <w:sz w:val="21"/>
          <w:szCs w:val="21"/>
        </w:rPr>
      </w:pPr>
    </w:p>
    <w:p w14:paraId="31CC1AF5" w14:textId="75999CDD" w:rsidR="00BF7F14" w:rsidRPr="00F96A1E" w:rsidRDefault="00BF7F14" w:rsidP="008B5BE3">
      <w:pPr>
        <w:spacing w:line="480" w:lineRule="auto"/>
        <w:jc w:val="both"/>
        <w:rPr>
          <w:rFonts w:ascii="Arial" w:hAnsi="Arial" w:cs="Arial"/>
          <w:sz w:val="21"/>
          <w:szCs w:val="21"/>
        </w:rPr>
      </w:pPr>
      <w:r w:rsidRPr="00F96A1E">
        <w:rPr>
          <w:rFonts w:ascii="Arial" w:hAnsi="Arial" w:cs="Arial"/>
          <w:sz w:val="21"/>
          <w:szCs w:val="21"/>
        </w:rPr>
        <w:t xml:space="preserve">In Tarawa, 1009/1059 (95%) of children aged 1–9 years had swabs which were positive for the endogenous control target. Of these, 293 (29.0%) </w:t>
      </w:r>
      <w:r w:rsidR="00F96A1E">
        <w:rPr>
          <w:rFonts w:ascii="Arial" w:hAnsi="Arial" w:cs="Arial"/>
          <w:sz w:val="21"/>
          <w:szCs w:val="21"/>
        </w:rPr>
        <w:t>had evidence of</w:t>
      </w:r>
      <w:r w:rsidRPr="00F96A1E">
        <w:rPr>
          <w:rFonts w:ascii="Arial" w:hAnsi="Arial" w:cs="Arial"/>
          <w:i/>
          <w:sz w:val="21"/>
          <w:szCs w:val="21"/>
        </w:rPr>
        <w:t xml:space="preserve"> Ct</w:t>
      </w:r>
      <w:r w:rsidRPr="00F96A1E">
        <w:rPr>
          <w:rFonts w:ascii="Arial" w:hAnsi="Arial" w:cs="Arial"/>
          <w:sz w:val="21"/>
          <w:szCs w:val="21"/>
        </w:rPr>
        <w:t xml:space="preserve"> plasmid DNA. </w:t>
      </w:r>
      <w:r w:rsidR="00980E6F">
        <w:rPr>
          <w:rFonts w:ascii="Arial" w:hAnsi="Arial" w:cs="Arial"/>
          <w:sz w:val="21"/>
          <w:szCs w:val="21"/>
        </w:rPr>
        <w:t xml:space="preserve">When adjusted for age and gender </w:t>
      </w:r>
      <w:r w:rsidR="003A6E21">
        <w:rPr>
          <w:rFonts w:ascii="Arial" w:hAnsi="Arial" w:cs="Arial"/>
          <w:sz w:val="21"/>
          <w:szCs w:val="21"/>
        </w:rPr>
        <w:t>i</w:t>
      </w:r>
      <w:r w:rsidR="00980E6F">
        <w:rPr>
          <w:rFonts w:ascii="Arial" w:hAnsi="Arial" w:cs="Arial"/>
          <w:sz w:val="21"/>
          <w:szCs w:val="21"/>
        </w:rPr>
        <w:t>n one</w:t>
      </w:r>
      <w:r w:rsidR="003A6E21">
        <w:rPr>
          <w:rFonts w:ascii="Arial" w:hAnsi="Arial" w:cs="Arial"/>
          <w:sz w:val="21"/>
          <w:szCs w:val="21"/>
        </w:rPr>
        <w:t>-</w:t>
      </w:r>
      <w:r w:rsidR="00980E6F">
        <w:rPr>
          <w:rFonts w:ascii="Arial" w:hAnsi="Arial" w:cs="Arial"/>
          <w:sz w:val="21"/>
          <w:szCs w:val="21"/>
        </w:rPr>
        <w:t xml:space="preserve">year bands, the </w:t>
      </w:r>
      <w:r w:rsidR="003A6E21">
        <w:rPr>
          <w:rFonts w:ascii="Arial" w:hAnsi="Arial" w:cs="Arial"/>
          <w:sz w:val="21"/>
          <w:szCs w:val="21"/>
        </w:rPr>
        <w:t xml:space="preserve">adjusted prevalence of infection was 27.4% (95% CI: 24.7–30.1%). </w:t>
      </w:r>
      <w:r w:rsidR="00205ED0">
        <w:rPr>
          <w:rFonts w:ascii="Arial" w:hAnsi="Arial" w:cs="Arial"/>
          <w:sz w:val="21"/>
          <w:szCs w:val="21"/>
        </w:rPr>
        <w:t xml:space="preserve">Prevalence of ocular </w:t>
      </w:r>
      <w:r w:rsidR="00205ED0">
        <w:rPr>
          <w:rFonts w:ascii="Arial" w:hAnsi="Arial" w:cs="Arial"/>
          <w:i/>
          <w:iCs/>
          <w:sz w:val="21"/>
          <w:szCs w:val="21"/>
        </w:rPr>
        <w:t xml:space="preserve">Ct </w:t>
      </w:r>
      <w:r w:rsidR="00205ED0">
        <w:rPr>
          <w:rFonts w:ascii="Arial" w:hAnsi="Arial" w:cs="Arial"/>
          <w:sz w:val="21"/>
          <w:szCs w:val="21"/>
        </w:rPr>
        <w:t xml:space="preserve">infection was higher in children with active trachoma </w:t>
      </w:r>
      <w:r w:rsidRPr="00F96A1E">
        <w:rPr>
          <w:rFonts w:ascii="Arial" w:hAnsi="Arial" w:cs="Arial"/>
          <w:sz w:val="21"/>
          <w:szCs w:val="21"/>
        </w:rPr>
        <w:t>(</w:t>
      </w:r>
      <w:r w:rsidR="00360063">
        <w:rPr>
          <w:rFonts w:ascii="Arial" w:hAnsi="Arial" w:cs="Arial"/>
          <w:sz w:val="21"/>
          <w:szCs w:val="21"/>
        </w:rPr>
        <w:t>logistic regression</w:t>
      </w:r>
      <w:r w:rsidR="00205ED0">
        <w:rPr>
          <w:rFonts w:ascii="Arial" w:hAnsi="Arial" w:cs="Arial"/>
          <w:sz w:val="21"/>
          <w:szCs w:val="21"/>
        </w:rPr>
        <w:t xml:space="preserve"> adjusted for age and gender</w:t>
      </w:r>
      <w:r w:rsidR="00360063">
        <w:rPr>
          <w:rFonts w:ascii="Arial" w:hAnsi="Arial" w:cs="Arial"/>
          <w:sz w:val="21"/>
          <w:szCs w:val="21"/>
        </w:rPr>
        <w:t xml:space="preserve"> p </w:t>
      </w:r>
      <w:r w:rsidR="00B57163">
        <w:rPr>
          <w:rFonts w:ascii="Arial" w:hAnsi="Arial" w:cs="Arial"/>
          <w:sz w:val="21"/>
          <w:szCs w:val="21"/>
        </w:rPr>
        <w:t>&lt; 0.0001, OR: 4.3 [95% CI: 3.2–5.8]</w:t>
      </w:r>
      <w:r w:rsidRPr="00F96A1E">
        <w:rPr>
          <w:rFonts w:ascii="Arial" w:hAnsi="Arial" w:cs="Arial"/>
          <w:sz w:val="21"/>
          <w:szCs w:val="21"/>
        </w:rPr>
        <w:t xml:space="preserve">; Table 2). The median load of detected </w:t>
      </w:r>
      <w:r w:rsidRPr="00F96A1E">
        <w:rPr>
          <w:rFonts w:ascii="Arial" w:hAnsi="Arial" w:cs="Arial"/>
          <w:i/>
          <w:sz w:val="21"/>
          <w:szCs w:val="21"/>
        </w:rPr>
        <w:t xml:space="preserve">Ct </w:t>
      </w:r>
      <w:r w:rsidRPr="00F96A1E">
        <w:rPr>
          <w:rFonts w:ascii="Arial" w:hAnsi="Arial" w:cs="Arial"/>
          <w:sz w:val="21"/>
          <w:szCs w:val="21"/>
        </w:rPr>
        <w:t xml:space="preserve">infections was </w:t>
      </w:r>
      <w:r w:rsidR="00075237">
        <w:rPr>
          <w:rFonts w:ascii="Arial" w:hAnsi="Arial" w:cs="Arial"/>
          <w:sz w:val="21"/>
          <w:szCs w:val="21"/>
        </w:rPr>
        <w:t>high (</w:t>
      </w:r>
      <w:r w:rsidR="00075237" w:rsidRPr="00075237">
        <w:rPr>
          <w:rFonts w:ascii="Arial" w:hAnsi="Arial" w:cs="Arial"/>
          <w:sz w:val="21"/>
          <w:szCs w:val="21"/>
        </w:rPr>
        <w:t>16</w:t>
      </w:r>
      <w:r w:rsidR="00075237">
        <w:rPr>
          <w:rFonts w:ascii="Arial" w:hAnsi="Arial" w:cs="Arial"/>
          <w:sz w:val="21"/>
          <w:szCs w:val="21"/>
        </w:rPr>
        <w:t>,</w:t>
      </w:r>
      <w:r w:rsidR="00075237" w:rsidRPr="00075237">
        <w:rPr>
          <w:rFonts w:ascii="Arial" w:hAnsi="Arial" w:cs="Arial"/>
          <w:sz w:val="21"/>
          <w:szCs w:val="21"/>
        </w:rPr>
        <w:t>758</w:t>
      </w:r>
      <w:r w:rsidR="00075237">
        <w:rPr>
          <w:rFonts w:ascii="Arial" w:hAnsi="Arial" w:cs="Arial"/>
          <w:sz w:val="21"/>
          <w:szCs w:val="21"/>
        </w:rPr>
        <w:t xml:space="preserve"> plasmid copies/swab, range: 54–5,000,000 plasmid copies/swab). The load of infection was higher in those </w:t>
      </w:r>
      <w:r w:rsidR="00360063">
        <w:rPr>
          <w:rFonts w:ascii="Arial" w:hAnsi="Arial" w:cs="Arial"/>
          <w:sz w:val="21"/>
          <w:szCs w:val="21"/>
        </w:rPr>
        <w:t>with active trachoma in the right eye (</w:t>
      </w:r>
      <w:r w:rsidR="00620CAE">
        <w:rPr>
          <w:rFonts w:ascii="Arial" w:hAnsi="Arial" w:cs="Arial"/>
          <w:sz w:val="21"/>
          <w:szCs w:val="21"/>
        </w:rPr>
        <w:t xml:space="preserve">the eye from which swabs were taken; </w:t>
      </w:r>
      <w:r w:rsidR="00360063">
        <w:rPr>
          <w:rFonts w:ascii="Arial" w:hAnsi="Arial" w:cs="Arial"/>
          <w:sz w:val="21"/>
          <w:szCs w:val="21"/>
        </w:rPr>
        <w:t xml:space="preserve">linear regression </w:t>
      </w:r>
      <w:r w:rsidR="00B57163">
        <w:rPr>
          <w:rFonts w:ascii="Arial" w:hAnsi="Arial" w:cs="Arial"/>
          <w:sz w:val="21"/>
          <w:szCs w:val="21"/>
        </w:rPr>
        <w:t xml:space="preserve">p = </w:t>
      </w:r>
      <w:r w:rsidR="00360063">
        <w:rPr>
          <w:rFonts w:ascii="Arial" w:hAnsi="Arial" w:cs="Arial"/>
          <w:sz w:val="21"/>
          <w:szCs w:val="21"/>
        </w:rPr>
        <w:t>0.0001).</w:t>
      </w:r>
      <w:r w:rsidR="00442D02">
        <w:rPr>
          <w:rFonts w:ascii="Arial" w:hAnsi="Arial" w:cs="Arial"/>
          <w:sz w:val="21"/>
          <w:szCs w:val="21"/>
        </w:rPr>
        <w:t xml:space="preserve"> Antibody data were available from 14 cases of infection in Vanuatu and 290 infection cases in Kiribati. In Vanuatu, 3/14 (21%) were seropositive. In Kiribati, 235/290 (81%) were seropositive. </w:t>
      </w:r>
    </w:p>
    <w:p w14:paraId="4954DFA4" w14:textId="77777777" w:rsidR="00CD38A8" w:rsidRPr="00D95E62" w:rsidRDefault="00CD38A8" w:rsidP="008B5BE3">
      <w:pPr>
        <w:spacing w:line="480" w:lineRule="auto"/>
        <w:jc w:val="both"/>
        <w:rPr>
          <w:rFonts w:ascii="Arial" w:hAnsi="Arial" w:cs="Arial"/>
          <w:sz w:val="21"/>
          <w:szCs w:val="21"/>
        </w:rPr>
      </w:pPr>
    </w:p>
    <w:p w14:paraId="0CF11A4C" w14:textId="2E9DF056" w:rsidR="00D95E62" w:rsidRDefault="00B57163" w:rsidP="008B5BE3">
      <w:pPr>
        <w:spacing w:line="480" w:lineRule="auto"/>
        <w:jc w:val="both"/>
        <w:rPr>
          <w:rFonts w:ascii="Arial" w:hAnsi="Arial" w:cs="Arial"/>
          <w:sz w:val="21"/>
          <w:szCs w:val="21"/>
          <w:u w:val="single"/>
        </w:rPr>
      </w:pPr>
      <w:r>
        <w:rPr>
          <w:rFonts w:ascii="Arial" w:hAnsi="Arial" w:cs="Arial"/>
          <w:sz w:val="21"/>
          <w:szCs w:val="21"/>
          <w:u w:val="single"/>
        </w:rPr>
        <w:t>Anti-Pgp3 antibodies</w:t>
      </w:r>
    </w:p>
    <w:p w14:paraId="7C19E1FD" w14:textId="07FFA372" w:rsidR="00B57163" w:rsidRDefault="00B57163" w:rsidP="008B5BE3">
      <w:pPr>
        <w:spacing w:line="480" w:lineRule="auto"/>
        <w:jc w:val="both"/>
        <w:rPr>
          <w:rFonts w:ascii="Arial" w:hAnsi="Arial" w:cs="Arial"/>
          <w:sz w:val="21"/>
          <w:szCs w:val="21"/>
          <w:u w:val="single"/>
        </w:rPr>
      </w:pPr>
    </w:p>
    <w:p w14:paraId="7FA5CFC6" w14:textId="0BF66076" w:rsidR="004070ED" w:rsidRDefault="00B57163" w:rsidP="008B5BE3">
      <w:pPr>
        <w:spacing w:line="480" w:lineRule="auto"/>
        <w:jc w:val="both"/>
        <w:rPr>
          <w:rFonts w:ascii="Arial" w:hAnsi="Arial" w:cs="Arial"/>
          <w:sz w:val="21"/>
          <w:szCs w:val="21"/>
        </w:rPr>
      </w:pPr>
      <w:r>
        <w:rPr>
          <w:rFonts w:ascii="Arial" w:hAnsi="Arial" w:cs="Arial"/>
          <w:sz w:val="21"/>
          <w:szCs w:val="21"/>
        </w:rPr>
        <w:t xml:space="preserve">In Vanuatu, </w:t>
      </w:r>
      <w:r w:rsidR="00FC513F">
        <w:rPr>
          <w:rFonts w:ascii="Arial" w:hAnsi="Arial" w:cs="Arial"/>
          <w:sz w:val="21"/>
          <w:szCs w:val="21"/>
        </w:rPr>
        <w:t>3</w:t>
      </w:r>
      <w:r w:rsidR="005919EB">
        <w:rPr>
          <w:rFonts w:ascii="Arial" w:hAnsi="Arial" w:cs="Arial"/>
          <w:sz w:val="21"/>
          <w:szCs w:val="21"/>
        </w:rPr>
        <w:t>4</w:t>
      </w:r>
      <w:r w:rsidR="00A6248F">
        <w:rPr>
          <w:rFonts w:ascii="Arial" w:hAnsi="Arial" w:cs="Arial"/>
          <w:sz w:val="21"/>
          <w:szCs w:val="21"/>
        </w:rPr>
        <w:t>01</w:t>
      </w:r>
      <w:r w:rsidR="00FC513F">
        <w:rPr>
          <w:rFonts w:ascii="Arial" w:hAnsi="Arial" w:cs="Arial"/>
          <w:sz w:val="21"/>
          <w:szCs w:val="21"/>
        </w:rPr>
        <w:t>/3470 (</w:t>
      </w:r>
      <w:r w:rsidR="005919EB">
        <w:rPr>
          <w:rFonts w:ascii="Arial" w:hAnsi="Arial" w:cs="Arial"/>
          <w:sz w:val="21"/>
          <w:szCs w:val="21"/>
        </w:rPr>
        <w:t>98</w:t>
      </w:r>
      <w:r w:rsidR="00FC513F">
        <w:rPr>
          <w:rFonts w:ascii="Arial" w:hAnsi="Arial" w:cs="Arial"/>
          <w:sz w:val="21"/>
          <w:szCs w:val="21"/>
        </w:rPr>
        <w:t xml:space="preserve">%) dried blood spots were tested for anti-Pgp3 antibodies, of which </w:t>
      </w:r>
      <w:r w:rsidR="005919EB">
        <w:rPr>
          <w:rFonts w:ascii="Arial" w:hAnsi="Arial" w:cs="Arial"/>
          <w:sz w:val="21"/>
          <w:szCs w:val="21"/>
        </w:rPr>
        <w:t>1084</w:t>
      </w:r>
      <w:r w:rsidR="00FC513F">
        <w:rPr>
          <w:rFonts w:ascii="Arial" w:hAnsi="Arial" w:cs="Arial"/>
          <w:sz w:val="21"/>
          <w:szCs w:val="21"/>
        </w:rPr>
        <w:t xml:space="preserve"> were from children aged 1–9 years. In Tarawa, 2805/2922 (96%) dried blood spots were tested for anti-Pgp3 antibodies, of which 1015 were from children aged 1–9 years. </w:t>
      </w:r>
      <w:r w:rsidR="001A7DA0">
        <w:rPr>
          <w:rFonts w:ascii="Arial" w:hAnsi="Arial" w:cs="Arial"/>
          <w:sz w:val="21"/>
          <w:szCs w:val="21"/>
        </w:rPr>
        <w:t xml:space="preserve">We did not collect data on the reasons that DBS were missing from some individuals. </w:t>
      </w:r>
      <w:r w:rsidR="000477C2">
        <w:rPr>
          <w:rFonts w:ascii="Arial" w:hAnsi="Arial" w:cs="Arial"/>
          <w:sz w:val="21"/>
          <w:szCs w:val="21"/>
        </w:rPr>
        <w:t xml:space="preserve">In Vanuatu, the anti-Pgp3 seroprevalence in those aged 1–9 years </w:t>
      </w:r>
      <w:r w:rsidR="00BF359A">
        <w:rPr>
          <w:rFonts w:ascii="Arial" w:hAnsi="Arial" w:cs="Arial"/>
          <w:sz w:val="21"/>
          <w:szCs w:val="21"/>
        </w:rPr>
        <w:t xml:space="preserve">was </w:t>
      </w:r>
      <w:r w:rsidR="00A6248F">
        <w:rPr>
          <w:rFonts w:ascii="Arial" w:hAnsi="Arial" w:cs="Arial"/>
          <w:sz w:val="21"/>
          <w:szCs w:val="21"/>
        </w:rPr>
        <w:t>8</w:t>
      </w:r>
      <w:r w:rsidR="007744D3">
        <w:rPr>
          <w:rFonts w:ascii="Arial" w:hAnsi="Arial" w:cs="Arial"/>
          <w:sz w:val="21"/>
          <w:szCs w:val="21"/>
        </w:rPr>
        <w:t>8/</w:t>
      </w:r>
      <w:r w:rsidR="00A6248F">
        <w:rPr>
          <w:rFonts w:ascii="Arial" w:hAnsi="Arial" w:cs="Arial"/>
          <w:sz w:val="21"/>
          <w:szCs w:val="21"/>
        </w:rPr>
        <w:t>1084</w:t>
      </w:r>
      <w:r w:rsidR="007744D3">
        <w:rPr>
          <w:rFonts w:ascii="Arial" w:hAnsi="Arial" w:cs="Arial"/>
          <w:sz w:val="21"/>
          <w:szCs w:val="21"/>
        </w:rPr>
        <w:t xml:space="preserve"> (8%)</w:t>
      </w:r>
      <w:r w:rsidR="004070ED">
        <w:rPr>
          <w:rFonts w:ascii="Arial" w:hAnsi="Arial" w:cs="Arial"/>
          <w:sz w:val="21"/>
          <w:szCs w:val="21"/>
        </w:rPr>
        <w:t xml:space="preserve"> </w:t>
      </w:r>
      <w:r w:rsidR="001F336C">
        <w:rPr>
          <w:rFonts w:ascii="Arial" w:hAnsi="Arial" w:cs="Arial"/>
          <w:sz w:val="21"/>
          <w:szCs w:val="21"/>
        </w:rPr>
        <w:t>but increased rapidly</w:t>
      </w:r>
      <w:r w:rsidR="007744D3">
        <w:rPr>
          <w:rFonts w:ascii="Arial" w:hAnsi="Arial" w:cs="Arial"/>
          <w:sz w:val="21"/>
          <w:szCs w:val="21"/>
        </w:rPr>
        <w:t xml:space="preserve"> </w:t>
      </w:r>
      <w:r w:rsidR="001F336C">
        <w:rPr>
          <w:rFonts w:ascii="Arial" w:hAnsi="Arial" w:cs="Arial"/>
          <w:sz w:val="21"/>
          <w:szCs w:val="21"/>
        </w:rPr>
        <w:t xml:space="preserve">between the ages of 16–25 years. The </w:t>
      </w:r>
      <w:r w:rsidR="008257CC">
        <w:rPr>
          <w:rFonts w:ascii="Arial" w:hAnsi="Arial" w:cs="Arial"/>
          <w:sz w:val="21"/>
          <w:szCs w:val="21"/>
        </w:rPr>
        <w:t xml:space="preserve">anti-Pgp3 </w:t>
      </w:r>
      <w:r w:rsidR="008257CC">
        <w:rPr>
          <w:rFonts w:ascii="Arial" w:hAnsi="Arial" w:cs="Arial"/>
          <w:sz w:val="21"/>
          <w:szCs w:val="21"/>
        </w:rPr>
        <w:lastRenderedPageBreak/>
        <w:t>seroprevalence</w:t>
      </w:r>
      <w:r w:rsidR="004070ED">
        <w:rPr>
          <w:rFonts w:ascii="Arial" w:hAnsi="Arial" w:cs="Arial"/>
          <w:sz w:val="21"/>
          <w:szCs w:val="21"/>
        </w:rPr>
        <w:t xml:space="preserve"> in those aged ≥18 years was 5</w:t>
      </w:r>
      <w:r w:rsidR="009F63E4">
        <w:rPr>
          <w:rFonts w:ascii="Arial" w:hAnsi="Arial" w:cs="Arial"/>
          <w:sz w:val="21"/>
          <w:szCs w:val="21"/>
        </w:rPr>
        <w:t>0</w:t>
      </w:r>
      <w:r w:rsidR="004070ED">
        <w:rPr>
          <w:rFonts w:ascii="Arial" w:hAnsi="Arial" w:cs="Arial"/>
          <w:sz w:val="21"/>
          <w:szCs w:val="21"/>
        </w:rPr>
        <w:t xml:space="preserve">%. </w:t>
      </w:r>
      <w:r w:rsidR="001F336C">
        <w:rPr>
          <w:rFonts w:ascii="Arial" w:hAnsi="Arial" w:cs="Arial"/>
          <w:sz w:val="21"/>
          <w:szCs w:val="21"/>
        </w:rPr>
        <w:t>In Tarawa, the anti-Pgp3 seroprevalence in those aged 1–9 years was 600/1015 (59%) and</w:t>
      </w:r>
      <w:r w:rsidR="008A7A5F">
        <w:rPr>
          <w:rFonts w:ascii="Arial" w:hAnsi="Arial" w:cs="Arial"/>
          <w:sz w:val="21"/>
          <w:szCs w:val="21"/>
        </w:rPr>
        <w:t xml:space="preserve"> increases rapidly throughout the childhood years.</w:t>
      </w:r>
      <w:r w:rsidR="001F336C">
        <w:rPr>
          <w:rFonts w:ascii="Arial" w:hAnsi="Arial" w:cs="Arial"/>
          <w:sz w:val="21"/>
          <w:szCs w:val="21"/>
        </w:rPr>
        <w:t xml:space="preserve"> </w:t>
      </w:r>
      <w:r w:rsidR="008A7A5F">
        <w:rPr>
          <w:rFonts w:ascii="Arial" w:hAnsi="Arial" w:cs="Arial"/>
          <w:sz w:val="21"/>
          <w:szCs w:val="21"/>
        </w:rPr>
        <w:t>T</w:t>
      </w:r>
      <w:r w:rsidR="001F336C">
        <w:rPr>
          <w:rFonts w:ascii="Arial" w:hAnsi="Arial" w:cs="Arial"/>
          <w:sz w:val="21"/>
          <w:szCs w:val="21"/>
        </w:rPr>
        <w:t xml:space="preserve">he </w:t>
      </w:r>
      <w:r w:rsidR="008257CC">
        <w:rPr>
          <w:rFonts w:ascii="Arial" w:hAnsi="Arial" w:cs="Arial"/>
          <w:sz w:val="21"/>
          <w:szCs w:val="21"/>
        </w:rPr>
        <w:t>anti-Pgp3 seroprevalence</w:t>
      </w:r>
      <w:r w:rsidR="001F336C">
        <w:rPr>
          <w:rFonts w:ascii="Arial" w:hAnsi="Arial" w:cs="Arial"/>
          <w:sz w:val="21"/>
          <w:szCs w:val="21"/>
        </w:rPr>
        <w:t xml:space="preserve"> in those aged </w:t>
      </w:r>
      <w:r w:rsidR="004070ED">
        <w:rPr>
          <w:rFonts w:ascii="Arial" w:hAnsi="Arial" w:cs="Arial"/>
          <w:sz w:val="21"/>
          <w:szCs w:val="21"/>
        </w:rPr>
        <w:t>≥</w:t>
      </w:r>
      <w:r w:rsidR="001F336C">
        <w:rPr>
          <w:rFonts w:ascii="Arial" w:hAnsi="Arial" w:cs="Arial"/>
          <w:sz w:val="21"/>
          <w:szCs w:val="21"/>
        </w:rPr>
        <w:t>18 years was 90%.</w:t>
      </w:r>
    </w:p>
    <w:p w14:paraId="6364C9CA" w14:textId="77777777" w:rsidR="004070ED" w:rsidRDefault="004070ED" w:rsidP="008B5BE3">
      <w:pPr>
        <w:spacing w:line="480" w:lineRule="auto"/>
        <w:jc w:val="both"/>
        <w:rPr>
          <w:rFonts w:ascii="Arial" w:hAnsi="Arial" w:cs="Arial"/>
          <w:sz w:val="21"/>
          <w:szCs w:val="21"/>
        </w:rPr>
      </w:pPr>
    </w:p>
    <w:p w14:paraId="21D09877" w14:textId="3CFE0E7F" w:rsidR="007744D3" w:rsidRDefault="0085265D" w:rsidP="008B5BE3">
      <w:pPr>
        <w:spacing w:line="480" w:lineRule="auto"/>
        <w:jc w:val="both"/>
        <w:rPr>
          <w:rFonts w:ascii="Arial" w:hAnsi="Arial" w:cs="Arial"/>
          <w:sz w:val="21"/>
          <w:szCs w:val="21"/>
        </w:rPr>
      </w:pPr>
      <w:r>
        <w:rPr>
          <w:rFonts w:ascii="Arial" w:hAnsi="Arial" w:cs="Arial"/>
          <w:sz w:val="21"/>
          <w:szCs w:val="21"/>
        </w:rPr>
        <w:t>From the RCM, t</w:t>
      </w:r>
      <w:r w:rsidR="007744D3">
        <w:rPr>
          <w:rFonts w:ascii="Arial" w:hAnsi="Arial" w:cs="Arial"/>
          <w:sz w:val="21"/>
          <w:szCs w:val="21"/>
        </w:rPr>
        <w:t xml:space="preserve">he </w:t>
      </w:r>
      <w:r w:rsidR="001D44D0">
        <w:rPr>
          <w:rFonts w:ascii="Arial" w:hAnsi="Arial" w:cs="Arial"/>
          <w:sz w:val="21"/>
          <w:szCs w:val="21"/>
        </w:rPr>
        <w:t>SCR</w:t>
      </w:r>
      <w:r w:rsidR="007744D3">
        <w:rPr>
          <w:rFonts w:ascii="Arial" w:hAnsi="Arial" w:cs="Arial"/>
          <w:sz w:val="21"/>
          <w:szCs w:val="21"/>
        </w:rPr>
        <w:t xml:space="preserve"> </w:t>
      </w:r>
      <w:r w:rsidR="006E2E21">
        <w:rPr>
          <w:rFonts w:ascii="Arial" w:hAnsi="Arial" w:cs="Arial"/>
          <w:sz w:val="21"/>
          <w:szCs w:val="21"/>
        </w:rPr>
        <w:t xml:space="preserve">in Vanuatu </w:t>
      </w:r>
      <w:r>
        <w:rPr>
          <w:rFonts w:ascii="Arial" w:hAnsi="Arial" w:cs="Arial"/>
          <w:sz w:val="21"/>
          <w:szCs w:val="21"/>
        </w:rPr>
        <w:t xml:space="preserve">was estimated at </w:t>
      </w:r>
      <w:r w:rsidR="009550FF">
        <w:rPr>
          <w:rFonts w:ascii="Arial" w:hAnsi="Arial" w:cs="Arial"/>
          <w:sz w:val="21"/>
          <w:szCs w:val="21"/>
        </w:rPr>
        <w:t>0.018 (95% credible interval</w:t>
      </w:r>
      <w:r w:rsidR="00874204">
        <w:rPr>
          <w:rFonts w:ascii="Arial" w:hAnsi="Arial" w:cs="Arial"/>
          <w:sz w:val="21"/>
          <w:szCs w:val="21"/>
        </w:rPr>
        <w:t xml:space="preserve"> [</w:t>
      </w:r>
      <w:proofErr w:type="spellStart"/>
      <w:r w:rsidR="00874204">
        <w:rPr>
          <w:rFonts w:ascii="Arial" w:hAnsi="Arial" w:cs="Arial"/>
          <w:sz w:val="21"/>
          <w:szCs w:val="21"/>
        </w:rPr>
        <w:t>CrI</w:t>
      </w:r>
      <w:proofErr w:type="spellEnd"/>
      <w:r w:rsidR="00874204">
        <w:rPr>
          <w:rFonts w:ascii="Arial" w:hAnsi="Arial" w:cs="Arial"/>
          <w:sz w:val="21"/>
          <w:szCs w:val="21"/>
        </w:rPr>
        <w:t>]</w:t>
      </w:r>
      <w:r w:rsidR="009550FF">
        <w:rPr>
          <w:rFonts w:ascii="Arial" w:hAnsi="Arial" w:cs="Arial"/>
          <w:sz w:val="21"/>
          <w:szCs w:val="21"/>
        </w:rPr>
        <w:t>:</w:t>
      </w:r>
      <w:r w:rsidR="00874204">
        <w:rPr>
          <w:rFonts w:ascii="Arial" w:hAnsi="Arial" w:cs="Arial"/>
          <w:sz w:val="21"/>
          <w:szCs w:val="21"/>
        </w:rPr>
        <w:t xml:space="preserve"> 0.014–0.022)</w:t>
      </w:r>
      <w:r w:rsidR="009550FF">
        <w:rPr>
          <w:rFonts w:ascii="Arial" w:hAnsi="Arial" w:cs="Arial"/>
          <w:sz w:val="21"/>
          <w:szCs w:val="21"/>
        </w:rPr>
        <w:t xml:space="preserve"> seroconversion events per </w:t>
      </w:r>
      <w:r w:rsidR="007C3569">
        <w:rPr>
          <w:rFonts w:ascii="Arial" w:hAnsi="Arial" w:cs="Arial"/>
          <w:sz w:val="21"/>
          <w:szCs w:val="21"/>
        </w:rPr>
        <w:t xml:space="preserve">1–9-year-old </w:t>
      </w:r>
      <w:r w:rsidR="009550FF">
        <w:rPr>
          <w:rFonts w:ascii="Arial" w:hAnsi="Arial" w:cs="Arial"/>
          <w:sz w:val="21"/>
          <w:szCs w:val="21"/>
        </w:rPr>
        <w:t>per year</w:t>
      </w:r>
      <w:r w:rsidR="007744D3">
        <w:rPr>
          <w:rFonts w:ascii="Arial" w:hAnsi="Arial" w:cs="Arial"/>
          <w:sz w:val="21"/>
          <w:szCs w:val="21"/>
        </w:rPr>
        <w:t xml:space="preserve">. </w:t>
      </w:r>
      <w:r w:rsidR="008A7A5F">
        <w:rPr>
          <w:rFonts w:ascii="Arial" w:hAnsi="Arial" w:cs="Arial"/>
          <w:sz w:val="21"/>
          <w:szCs w:val="21"/>
        </w:rPr>
        <w:t>In Tarawa, t</w:t>
      </w:r>
      <w:r w:rsidR="007744D3">
        <w:rPr>
          <w:rFonts w:ascii="Arial" w:hAnsi="Arial" w:cs="Arial"/>
          <w:sz w:val="21"/>
          <w:szCs w:val="21"/>
        </w:rPr>
        <w:t xml:space="preserve">he </w:t>
      </w:r>
      <w:r w:rsidR="00E45669">
        <w:rPr>
          <w:rFonts w:ascii="Arial" w:hAnsi="Arial" w:cs="Arial"/>
          <w:sz w:val="21"/>
          <w:szCs w:val="21"/>
        </w:rPr>
        <w:t>SCR</w:t>
      </w:r>
      <w:r w:rsidR="007744D3">
        <w:rPr>
          <w:rFonts w:ascii="Arial" w:hAnsi="Arial" w:cs="Arial"/>
          <w:sz w:val="21"/>
          <w:szCs w:val="21"/>
        </w:rPr>
        <w:t xml:space="preserve"> in those aged 1–9 years was</w:t>
      </w:r>
      <w:r w:rsidR="00BD1756">
        <w:rPr>
          <w:rFonts w:ascii="Arial" w:hAnsi="Arial" w:cs="Arial"/>
          <w:sz w:val="21"/>
          <w:szCs w:val="21"/>
        </w:rPr>
        <w:t xml:space="preserve"> 0.197 </w:t>
      </w:r>
      <w:r w:rsidR="00E45669">
        <w:rPr>
          <w:rFonts w:ascii="Arial" w:hAnsi="Arial" w:cs="Arial"/>
          <w:sz w:val="21"/>
          <w:szCs w:val="21"/>
        </w:rPr>
        <w:t xml:space="preserve">(95% </w:t>
      </w:r>
      <w:proofErr w:type="spellStart"/>
      <w:r w:rsidR="00E45669">
        <w:rPr>
          <w:rFonts w:ascii="Arial" w:hAnsi="Arial" w:cs="Arial"/>
          <w:sz w:val="21"/>
          <w:szCs w:val="21"/>
        </w:rPr>
        <w:t>CrI</w:t>
      </w:r>
      <w:proofErr w:type="spellEnd"/>
      <w:r w:rsidR="00E45669">
        <w:rPr>
          <w:rFonts w:ascii="Arial" w:hAnsi="Arial" w:cs="Arial"/>
          <w:sz w:val="21"/>
          <w:szCs w:val="21"/>
        </w:rPr>
        <w:t xml:space="preserve">: 0.181–0.214) seroconversion events per </w:t>
      </w:r>
      <w:r w:rsidR="007C3569">
        <w:rPr>
          <w:rFonts w:ascii="Arial" w:hAnsi="Arial" w:cs="Arial"/>
          <w:sz w:val="21"/>
          <w:szCs w:val="21"/>
        </w:rPr>
        <w:t xml:space="preserve">1–9-year-old </w:t>
      </w:r>
      <w:r w:rsidR="00E45669">
        <w:rPr>
          <w:rFonts w:ascii="Arial" w:hAnsi="Arial" w:cs="Arial"/>
          <w:sz w:val="21"/>
          <w:szCs w:val="21"/>
        </w:rPr>
        <w:t>per year</w:t>
      </w:r>
      <w:r w:rsidR="007744D3">
        <w:rPr>
          <w:rFonts w:ascii="Arial" w:hAnsi="Arial" w:cs="Arial"/>
          <w:sz w:val="21"/>
          <w:szCs w:val="21"/>
        </w:rPr>
        <w:t>.</w:t>
      </w:r>
      <w:r>
        <w:rPr>
          <w:rFonts w:ascii="Arial" w:hAnsi="Arial" w:cs="Arial"/>
          <w:sz w:val="21"/>
          <w:szCs w:val="21"/>
        </w:rPr>
        <w:t xml:space="preserve"> </w:t>
      </w:r>
      <w:r w:rsidR="00F74BFA">
        <w:rPr>
          <w:rFonts w:ascii="Arial" w:hAnsi="Arial" w:cs="Arial"/>
          <w:sz w:val="21"/>
          <w:szCs w:val="21"/>
        </w:rPr>
        <w:t xml:space="preserve">The mean difference between parameter estimates for the two study sites is 0.180 (95% </w:t>
      </w:r>
      <w:proofErr w:type="spellStart"/>
      <w:r w:rsidR="00F74BFA">
        <w:rPr>
          <w:rFonts w:ascii="Arial" w:hAnsi="Arial" w:cs="Arial"/>
          <w:sz w:val="21"/>
          <w:szCs w:val="21"/>
        </w:rPr>
        <w:t>CrI</w:t>
      </w:r>
      <w:proofErr w:type="spellEnd"/>
      <w:r w:rsidR="00F74BFA">
        <w:rPr>
          <w:rFonts w:ascii="Arial" w:hAnsi="Arial" w:cs="Arial"/>
          <w:sz w:val="21"/>
          <w:szCs w:val="21"/>
        </w:rPr>
        <w:t xml:space="preserve">: 0.162–0.197); as the credible </w:t>
      </w:r>
      <w:r w:rsidR="00A43F02">
        <w:rPr>
          <w:rFonts w:ascii="Arial" w:hAnsi="Arial" w:cs="Arial"/>
          <w:sz w:val="21"/>
          <w:szCs w:val="21"/>
        </w:rPr>
        <w:t>interval</w:t>
      </w:r>
      <w:r w:rsidR="00F74BFA">
        <w:rPr>
          <w:rFonts w:ascii="Arial" w:hAnsi="Arial" w:cs="Arial"/>
          <w:sz w:val="21"/>
          <w:szCs w:val="21"/>
        </w:rPr>
        <w:t xml:space="preserve"> does not include zero we would consider these to be significantly different. </w:t>
      </w:r>
      <w:r>
        <w:rPr>
          <w:rFonts w:ascii="Arial" w:hAnsi="Arial" w:cs="Arial"/>
          <w:sz w:val="21"/>
          <w:szCs w:val="21"/>
        </w:rPr>
        <w:t>The age-specific sero</w:t>
      </w:r>
      <w:r w:rsidR="004070ED">
        <w:rPr>
          <w:rFonts w:ascii="Arial" w:hAnsi="Arial" w:cs="Arial"/>
          <w:sz w:val="21"/>
          <w:szCs w:val="21"/>
        </w:rPr>
        <w:t xml:space="preserve">prevalence in each EU </w:t>
      </w:r>
      <w:r>
        <w:rPr>
          <w:rFonts w:ascii="Arial" w:hAnsi="Arial" w:cs="Arial"/>
          <w:sz w:val="21"/>
          <w:szCs w:val="21"/>
        </w:rPr>
        <w:t>is shown in Figure 3.</w:t>
      </w:r>
      <w:r w:rsidR="007744D3">
        <w:rPr>
          <w:rFonts w:ascii="Arial" w:hAnsi="Arial" w:cs="Arial"/>
          <w:sz w:val="21"/>
          <w:szCs w:val="21"/>
        </w:rPr>
        <w:t xml:space="preserve"> In Vanuatu, there was no association between active trachoma in either eye and anti-Pgp3 antibody level</w:t>
      </w:r>
      <w:r w:rsidR="007C3569">
        <w:rPr>
          <w:rFonts w:ascii="Arial" w:hAnsi="Arial" w:cs="Arial"/>
          <w:sz w:val="21"/>
          <w:szCs w:val="21"/>
        </w:rPr>
        <w:t>,</w:t>
      </w:r>
      <w:r w:rsidR="007744D3">
        <w:rPr>
          <w:rFonts w:ascii="Arial" w:hAnsi="Arial" w:cs="Arial"/>
          <w:sz w:val="21"/>
          <w:szCs w:val="21"/>
        </w:rPr>
        <w:t xml:space="preserve"> whereas in Tarawa </w:t>
      </w:r>
      <w:r w:rsidR="00F466ED">
        <w:rPr>
          <w:rFonts w:ascii="Arial" w:hAnsi="Arial" w:cs="Arial"/>
          <w:sz w:val="21"/>
          <w:szCs w:val="21"/>
        </w:rPr>
        <w:t xml:space="preserve">anti-Pgp3 antibody levels were significantly higher in children with active trachoma </w:t>
      </w:r>
      <w:r w:rsidR="007744D3">
        <w:rPr>
          <w:rFonts w:ascii="Arial" w:hAnsi="Arial" w:cs="Arial"/>
          <w:sz w:val="21"/>
          <w:szCs w:val="21"/>
        </w:rPr>
        <w:t>(</w:t>
      </w:r>
      <w:r w:rsidR="008A7A5F">
        <w:rPr>
          <w:rFonts w:ascii="Arial" w:hAnsi="Arial" w:cs="Arial"/>
          <w:sz w:val="21"/>
          <w:szCs w:val="21"/>
        </w:rPr>
        <w:t xml:space="preserve">logistic regression adjusted for age and gender </w:t>
      </w:r>
      <w:r w:rsidR="007744D3">
        <w:rPr>
          <w:rFonts w:ascii="Arial" w:hAnsi="Arial" w:cs="Arial"/>
          <w:sz w:val="21"/>
          <w:szCs w:val="21"/>
        </w:rPr>
        <w:t>p = 0.9</w:t>
      </w:r>
      <w:r w:rsidR="008A7A5F">
        <w:rPr>
          <w:rFonts w:ascii="Arial" w:hAnsi="Arial" w:cs="Arial"/>
          <w:sz w:val="21"/>
          <w:szCs w:val="21"/>
        </w:rPr>
        <w:t>3</w:t>
      </w:r>
      <w:r w:rsidR="007744D3">
        <w:rPr>
          <w:rFonts w:ascii="Arial" w:hAnsi="Arial" w:cs="Arial"/>
          <w:sz w:val="21"/>
          <w:szCs w:val="21"/>
        </w:rPr>
        <w:t xml:space="preserve"> and p &lt; 0.0001, respectively).</w:t>
      </w:r>
    </w:p>
    <w:p w14:paraId="1B37FED2" w14:textId="38A11EF7" w:rsidR="00293591" w:rsidRPr="00751A46" w:rsidRDefault="00293591" w:rsidP="008B5BE3">
      <w:pPr>
        <w:spacing w:line="480" w:lineRule="auto"/>
        <w:jc w:val="both"/>
        <w:rPr>
          <w:rFonts w:ascii="Arial" w:hAnsi="Arial" w:cs="Arial"/>
          <w:sz w:val="18"/>
          <w:szCs w:val="18"/>
        </w:rPr>
      </w:pPr>
    </w:p>
    <w:p w14:paraId="7F73CF9A" w14:textId="77777777" w:rsidR="0050484F" w:rsidRDefault="0050484F" w:rsidP="008B5BE3">
      <w:pPr>
        <w:spacing w:line="480" w:lineRule="auto"/>
        <w:jc w:val="both"/>
        <w:rPr>
          <w:rFonts w:ascii="Arial" w:hAnsi="Arial" w:cs="Arial"/>
          <w:b/>
          <w:sz w:val="21"/>
          <w:szCs w:val="21"/>
        </w:rPr>
      </w:pPr>
    </w:p>
    <w:p w14:paraId="523232F1" w14:textId="61150BD5" w:rsidR="00AA20B7" w:rsidRDefault="00AA20B7" w:rsidP="008B5BE3">
      <w:pPr>
        <w:spacing w:line="480" w:lineRule="auto"/>
        <w:jc w:val="both"/>
        <w:rPr>
          <w:rFonts w:ascii="Arial" w:hAnsi="Arial" w:cs="Arial"/>
          <w:b/>
          <w:sz w:val="21"/>
          <w:szCs w:val="21"/>
        </w:rPr>
      </w:pPr>
      <w:r w:rsidRPr="00336051">
        <w:rPr>
          <w:rFonts w:ascii="Arial" w:hAnsi="Arial" w:cs="Arial"/>
          <w:b/>
          <w:sz w:val="21"/>
          <w:szCs w:val="21"/>
        </w:rPr>
        <w:t>Discussion</w:t>
      </w:r>
    </w:p>
    <w:p w14:paraId="6AD93B03" w14:textId="77777777" w:rsidR="00AA20B7" w:rsidRDefault="00AA20B7" w:rsidP="008B5BE3">
      <w:pPr>
        <w:spacing w:line="480" w:lineRule="auto"/>
        <w:jc w:val="both"/>
        <w:rPr>
          <w:rFonts w:ascii="Arial" w:hAnsi="Arial" w:cs="Arial"/>
          <w:b/>
          <w:sz w:val="21"/>
          <w:szCs w:val="21"/>
        </w:rPr>
      </w:pPr>
    </w:p>
    <w:p w14:paraId="34BB714F" w14:textId="1C3ED8AF" w:rsidR="00367774" w:rsidRDefault="00367774" w:rsidP="008B5BE3">
      <w:pPr>
        <w:spacing w:line="480" w:lineRule="auto"/>
        <w:jc w:val="both"/>
        <w:rPr>
          <w:rFonts w:ascii="Arial" w:hAnsi="Arial" w:cs="Arial"/>
          <w:sz w:val="21"/>
          <w:szCs w:val="21"/>
        </w:rPr>
      </w:pPr>
      <w:r>
        <w:rPr>
          <w:rFonts w:ascii="Arial" w:hAnsi="Arial" w:cs="Arial"/>
          <w:sz w:val="21"/>
          <w:szCs w:val="21"/>
        </w:rPr>
        <w:t>As the trachoma elimination programme continues and emphasis shifts towards peri-</w:t>
      </w:r>
      <w:r w:rsidR="001676CD">
        <w:rPr>
          <w:rFonts w:ascii="Arial" w:hAnsi="Arial" w:cs="Arial"/>
          <w:sz w:val="21"/>
          <w:szCs w:val="21"/>
        </w:rPr>
        <w:t xml:space="preserve">elimination </w:t>
      </w:r>
      <w:r w:rsidR="0061359C">
        <w:rPr>
          <w:rFonts w:ascii="Arial" w:hAnsi="Arial" w:cs="Arial"/>
          <w:sz w:val="21"/>
          <w:szCs w:val="21"/>
        </w:rPr>
        <w:t xml:space="preserve">surveys </w:t>
      </w:r>
      <w:r>
        <w:rPr>
          <w:rFonts w:ascii="Arial" w:hAnsi="Arial" w:cs="Arial"/>
          <w:sz w:val="21"/>
          <w:szCs w:val="21"/>
        </w:rPr>
        <w:t xml:space="preserve">and post-elimination surveillance, more specific </w:t>
      </w:r>
      <w:r w:rsidR="001676CD">
        <w:rPr>
          <w:rFonts w:ascii="Arial" w:hAnsi="Arial" w:cs="Arial"/>
          <w:sz w:val="21"/>
          <w:szCs w:val="21"/>
        </w:rPr>
        <w:t>diagnostics</w:t>
      </w:r>
      <w:r>
        <w:rPr>
          <w:rFonts w:ascii="Arial" w:hAnsi="Arial" w:cs="Arial"/>
          <w:sz w:val="21"/>
          <w:szCs w:val="21"/>
        </w:rPr>
        <w:t xml:space="preserve"> </w:t>
      </w:r>
      <w:r w:rsidR="001676CD">
        <w:rPr>
          <w:rFonts w:ascii="Arial" w:hAnsi="Arial" w:cs="Arial"/>
          <w:sz w:val="21"/>
          <w:szCs w:val="21"/>
        </w:rPr>
        <w:t>may</w:t>
      </w:r>
      <w:r>
        <w:rPr>
          <w:rFonts w:ascii="Arial" w:hAnsi="Arial" w:cs="Arial"/>
          <w:sz w:val="21"/>
          <w:szCs w:val="21"/>
        </w:rPr>
        <w:t xml:space="preserve"> be </w:t>
      </w:r>
      <w:r w:rsidR="001676CD">
        <w:rPr>
          <w:rFonts w:ascii="Arial" w:hAnsi="Arial" w:cs="Arial"/>
          <w:sz w:val="21"/>
          <w:szCs w:val="21"/>
        </w:rPr>
        <w:t>required</w:t>
      </w:r>
      <w:r>
        <w:rPr>
          <w:rFonts w:ascii="Arial" w:hAnsi="Arial" w:cs="Arial"/>
          <w:sz w:val="21"/>
          <w:szCs w:val="21"/>
        </w:rPr>
        <w:t xml:space="preserve"> to evaluate need for intervention</w:t>
      </w:r>
      <w:r w:rsidR="0061359C">
        <w:rPr>
          <w:rFonts w:ascii="Arial" w:hAnsi="Arial" w:cs="Arial"/>
          <w:sz w:val="21"/>
          <w:szCs w:val="21"/>
        </w:rPr>
        <w:t>s</w:t>
      </w:r>
      <w:r>
        <w:rPr>
          <w:rFonts w:ascii="Arial" w:hAnsi="Arial" w:cs="Arial"/>
          <w:sz w:val="21"/>
          <w:szCs w:val="21"/>
        </w:rPr>
        <w:t xml:space="preserve">. </w:t>
      </w:r>
      <w:r w:rsidR="001676CD">
        <w:rPr>
          <w:rFonts w:ascii="Arial" w:hAnsi="Arial" w:cs="Arial"/>
          <w:sz w:val="21"/>
          <w:szCs w:val="21"/>
        </w:rPr>
        <w:t>In this study, t</w:t>
      </w:r>
      <w:r w:rsidR="00AA20B7">
        <w:rPr>
          <w:rFonts w:ascii="Arial" w:hAnsi="Arial" w:cs="Arial"/>
          <w:sz w:val="21"/>
          <w:szCs w:val="21"/>
        </w:rPr>
        <w:t>wo trachoma</w:t>
      </w:r>
      <w:r w:rsidR="003C429A">
        <w:rPr>
          <w:rFonts w:ascii="Arial" w:hAnsi="Arial" w:cs="Arial"/>
          <w:sz w:val="21"/>
          <w:szCs w:val="21"/>
        </w:rPr>
        <w:t>-</w:t>
      </w:r>
      <w:r w:rsidR="00AA20B7">
        <w:rPr>
          <w:rFonts w:ascii="Arial" w:hAnsi="Arial" w:cs="Arial"/>
          <w:sz w:val="21"/>
          <w:szCs w:val="21"/>
        </w:rPr>
        <w:t xml:space="preserve">endemic </w:t>
      </w:r>
      <w:r w:rsidR="0061359C">
        <w:rPr>
          <w:rFonts w:ascii="Arial" w:hAnsi="Arial" w:cs="Arial"/>
          <w:sz w:val="21"/>
          <w:szCs w:val="21"/>
        </w:rPr>
        <w:t xml:space="preserve">populations </w:t>
      </w:r>
      <w:r w:rsidR="00580422">
        <w:rPr>
          <w:rFonts w:ascii="Arial" w:hAnsi="Arial" w:cs="Arial"/>
          <w:sz w:val="21"/>
          <w:szCs w:val="21"/>
        </w:rPr>
        <w:t xml:space="preserve">were </w:t>
      </w:r>
      <w:r w:rsidR="00AE7D71">
        <w:rPr>
          <w:rFonts w:ascii="Arial" w:hAnsi="Arial" w:cs="Arial"/>
          <w:sz w:val="21"/>
          <w:szCs w:val="21"/>
        </w:rPr>
        <w:t xml:space="preserve">surveyed </w:t>
      </w:r>
      <w:r w:rsidR="00AA20B7">
        <w:rPr>
          <w:rFonts w:ascii="Arial" w:hAnsi="Arial" w:cs="Arial"/>
          <w:sz w:val="21"/>
          <w:szCs w:val="21"/>
        </w:rPr>
        <w:t xml:space="preserve">using a range of potential </w:t>
      </w:r>
      <w:r w:rsidR="003C429A">
        <w:rPr>
          <w:rFonts w:ascii="Arial" w:hAnsi="Arial" w:cs="Arial"/>
          <w:sz w:val="21"/>
          <w:szCs w:val="21"/>
        </w:rPr>
        <w:t>tools</w:t>
      </w:r>
      <w:r w:rsidR="00AA20B7">
        <w:rPr>
          <w:rFonts w:ascii="Arial" w:hAnsi="Arial" w:cs="Arial"/>
          <w:sz w:val="21"/>
          <w:szCs w:val="21"/>
        </w:rPr>
        <w:t xml:space="preserve"> for monitoring trachoma </w:t>
      </w:r>
      <w:r w:rsidR="006E2E21">
        <w:rPr>
          <w:rFonts w:ascii="Arial" w:hAnsi="Arial" w:cs="Arial"/>
          <w:sz w:val="21"/>
          <w:szCs w:val="21"/>
        </w:rPr>
        <w:t xml:space="preserve">and assessing the need for </w:t>
      </w:r>
      <w:r w:rsidR="001E137D">
        <w:rPr>
          <w:rFonts w:ascii="Arial" w:hAnsi="Arial" w:cs="Arial"/>
          <w:sz w:val="21"/>
          <w:szCs w:val="21"/>
        </w:rPr>
        <w:t>MDA</w:t>
      </w:r>
      <w:r w:rsidR="00AA20B7">
        <w:rPr>
          <w:rFonts w:ascii="Arial" w:hAnsi="Arial" w:cs="Arial"/>
          <w:sz w:val="21"/>
          <w:szCs w:val="21"/>
        </w:rPr>
        <w:t xml:space="preserve">. </w:t>
      </w:r>
    </w:p>
    <w:p w14:paraId="25D24EA7" w14:textId="77777777" w:rsidR="00367774" w:rsidRDefault="00367774" w:rsidP="008B5BE3">
      <w:pPr>
        <w:spacing w:line="480" w:lineRule="auto"/>
        <w:jc w:val="both"/>
        <w:rPr>
          <w:rFonts w:ascii="Arial" w:hAnsi="Arial" w:cs="Arial"/>
          <w:sz w:val="21"/>
          <w:szCs w:val="21"/>
        </w:rPr>
      </w:pPr>
    </w:p>
    <w:p w14:paraId="10DA5586" w14:textId="4D9E6269" w:rsidR="003C429A" w:rsidRDefault="00F86D35" w:rsidP="008B5BE3">
      <w:pPr>
        <w:spacing w:line="480" w:lineRule="auto"/>
        <w:jc w:val="both"/>
        <w:rPr>
          <w:rFonts w:ascii="Arial" w:hAnsi="Arial" w:cs="Arial"/>
          <w:sz w:val="21"/>
          <w:szCs w:val="21"/>
        </w:rPr>
      </w:pPr>
      <w:r>
        <w:rPr>
          <w:rFonts w:ascii="Arial" w:hAnsi="Arial" w:cs="Arial"/>
          <w:sz w:val="21"/>
          <w:szCs w:val="21"/>
        </w:rPr>
        <w:t xml:space="preserve">The clinical data collected in both </w:t>
      </w:r>
      <w:r w:rsidR="0061359C">
        <w:rPr>
          <w:rFonts w:ascii="Arial" w:hAnsi="Arial" w:cs="Arial"/>
          <w:sz w:val="21"/>
          <w:szCs w:val="21"/>
        </w:rPr>
        <w:t>locations</w:t>
      </w:r>
      <w:r w:rsidR="00DB6C64">
        <w:rPr>
          <w:rFonts w:ascii="Arial" w:hAnsi="Arial" w:cs="Arial"/>
          <w:sz w:val="21"/>
          <w:szCs w:val="21"/>
        </w:rPr>
        <w:t xml:space="preserve"> for this study</w:t>
      </w:r>
      <w:r w:rsidR="0061359C">
        <w:rPr>
          <w:rFonts w:ascii="Arial" w:hAnsi="Arial" w:cs="Arial"/>
          <w:sz w:val="21"/>
          <w:szCs w:val="21"/>
        </w:rPr>
        <w:t xml:space="preserve"> </w:t>
      </w:r>
      <w:r w:rsidR="00293591">
        <w:rPr>
          <w:rFonts w:ascii="Arial" w:hAnsi="Arial" w:cs="Arial"/>
          <w:sz w:val="21"/>
          <w:szCs w:val="21"/>
        </w:rPr>
        <w:t xml:space="preserve">are broadly </w:t>
      </w:r>
      <w:r w:rsidR="00DB6C64">
        <w:rPr>
          <w:rFonts w:ascii="Arial" w:hAnsi="Arial" w:cs="Arial"/>
          <w:sz w:val="21"/>
          <w:szCs w:val="21"/>
        </w:rPr>
        <w:t xml:space="preserve">similar </w:t>
      </w:r>
      <w:r w:rsidR="00293591">
        <w:rPr>
          <w:rFonts w:ascii="Arial" w:hAnsi="Arial" w:cs="Arial"/>
          <w:sz w:val="21"/>
          <w:szCs w:val="21"/>
        </w:rPr>
        <w:t>to</w:t>
      </w:r>
      <w:r>
        <w:rPr>
          <w:rFonts w:ascii="Arial" w:hAnsi="Arial" w:cs="Arial"/>
          <w:sz w:val="21"/>
          <w:szCs w:val="21"/>
        </w:rPr>
        <w:t xml:space="preserve"> the pre-treatment </w:t>
      </w:r>
      <w:r w:rsidR="0061359C">
        <w:rPr>
          <w:rFonts w:ascii="Arial" w:hAnsi="Arial" w:cs="Arial"/>
          <w:sz w:val="21"/>
          <w:szCs w:val="21"/>
        </w:rPr>
        <w:t>data generated</w:t>
      </w:r>
      <w:r>
        <w:rPr>
          <w:rFonts w:ascii="Arial" w:hAnsi="Arial" w:cs="Arial"/>
          <w:sz w:val="21"/>
          <w:szCs w:val="21"/>
        </w:rPr>
        <w:t xml:space="preserve"> by the respective national programmes in each country</w:t>
      </w:r>
      <w:r w:rsidR="00DB6C64">
        <w:rPr>
          <w:rFonts w:ascii="Arial" w:hAnsi="Arial" w:cs="Arial"/>
          <w:sz w:val="21"/>
          <w:szCs w:val="21"/>
        </w:rPr>
        <w:t xml:space="preserve">. All </w:t>
      </w:r>
      <w:r w:rsidR="006A427C">
        <w:rPr>
          <w:rFonts w:ascii="Arial" w:hAnsi="Arial" w:cs="Arial"/>
          <w:sz w:val="21"/>
          <w:szCs w:val="21"/>
        </w:rPr>
        <w:t>pre-treatment</w:t>
      </w:r>
      <w:r w:rsidR="00DB6C64">
        <w:rPr>
          <w:rFonts w:ascii="Arial" w:hAnsi="Arial" w:cs="Arial"/>
          <w:sz w:val="21"/>
          <w:szCs w:val="21"/>
        </w:rPr>
        <w:t xml:space="preserve"> studies</w:t>
      </w:r>
      <w:r w:rsidR="006A427C">
        <w:rPr>
          <w:rFonts w:ascii="Arial" w:hAnsi="Arial" w:cs="Arial"/>
          <w:sz w:val="21"/>
          <w:szCs w:val="21"/>
        </w:rPr>
        <w:t xml:space="preserve"> (those presented here and the national programme studies)</w:t>
      </w:r>
      <w:r w:rsidR="00DB6C64">
        <w:rPr>
          <w:rFonts w:ascii="Arial" w:hAnsi="Arial" w:cs="Arial"/>
          <w:sz w:val="21"/>
          <w:szCs w:val="21"/>
        </w:rPr>
        <w:t xml:space="preserve"> followed a similar study design, had similar sample sizes and had similar age and gender profiles. </w:t>
      </w:r>
      <w:r w:rsidR="006A427C">
        <w:rPr>
          <w:rFonts w:ascii="Arial" w:hAnsi="Arial" w:cs="Arial"/>
          <w:sz w:val="21"/>
          <w:szCs w:val="21"/>
        </w:rPr>
        <w:t>There was significant difference in the TF prevalence estimate in both study sites</w:t>
      </w:r>
      <w:r>
        <w:rPr>
          <w:rFonts w:ascii="Arial" w:hAnsi="Arial" w:cs="Arial"/>
          <w:sz w:val="21"/>
          <w:szCs w:val="21"/>
        </w:rPr>
        <w:t xml:space="preserve">. In Vanuatu, the </w:t>
      </w:r>
      <w:r w:rsidR="00F74BFA">
        <w:rPr>
          <w:rFonts w:ascii="Arial" w:hAnsi="Arial" w:cs="Arial"/>
          <w:sz w:val="21"/>
          <w:szCs w:val="21"/>
        </w:rPr>
        <w:t xml:space="preserve">national programme </w:t>
      </w:r>
      <w:r>
        <w:rPr>
          <w:rFonts w:ascii="Arial" w:hAnsi="Arial" w:cs="Arial"/>
          <w:sz w:val="21"/>
          <w:szCs w:val="21"/>
        </w:rPr>
        <w:t xml:space="preserve">pre-MDA TF prevalence </w:t>
      </w:r>
      <w:r w:rsidR="0061359C">
        <w:rPr>
          <w:rFonts w:ascii="Arial" w:hAnsi="Arial" w:cs="Arial"/>
          <w:sz w:val="21"/>
          <w:szCs w:val="21"/>
        </w:rPr>
        <w:t xml:space="preserve">estimate </w:t>
      </w:r>
      <w:r>
        <w:rPr>
          <w:rFonts w:ascii="Arial" w:hAnsi="Arial" w:cs="Arial"/>
          <w:sz w:val="21"/>
          <w:szCs w:val="21"/>
        </w:rPr>
        <w:t xml:space="preserve">was 12% </w:t>
      </w:r>
      <w:r w:rsidR="006A427C">
        <w:rPr>
          <w:rFonts w:ascii="Arial" w:hAnsi="Arial" w:cs="Arial"/>
          <w:sz w:val="21"/>
          <w:szCs w:val="21"/>
        </w:rPr>
        <w:t xml:space="preserve">(95% CI: 8.1–16.7%) </w:t>
      </w:r>
      <w:r>
        <w:rPr>
          <w:rFonts w:ascii="Arial" w:hAnsi="Arial" w:cs="Arial"/>
          <w:sz w:val="21"/>
          <w:szCs w:val="21"/>
        </w:rPr>
        <w:t>in October–November 2014</w:t>
      </w:r>
      <w:r w:rsidR="00F74BFA">
        <w:rPr>
          <w:rFonts w:ascii="Arial" w:hAnsi="Arial" w:cs="Arial"/>
          <w:sz w:val="21"/>
          <w:szCs w:val="21"/>
        </w:rPr>
        <w:t xml:space="preserve"> </w:t>
      </w:r>
      <w:r w:rsidR="00F74BFA">
        <w:rPr>
          <w:rFonts w:ascii="Arial" w:hAnsi="Arial" w:cs="Arial"/>
          <w:sz w:val="21"/>
          <w:szCs w:val="21"/>
        </w:rPr>
        <w:fldChar w:fldCharType="begin" w:fldLock="1"/>
      </w:r>
      <w:r w:rsidR="005C6653">
        <w:rPr>
          <w:rFonts w:ascii="Arial" w:hAnsi="Arial" w:cs="Arial"/>
          <w:sz w:val="21"/>
          <w:szCs w:val="21"/>
        </w:rPr>
        <w:instrText>ADDIN CSL_CITATION {"citationItems":[{"id":"ITEM-1","itemData":{"DOI":"http://dx.doi.org/10.1371/journal.pntd.0005267","abstract":"Yaws and trachoma are targeted for eradication and elimination as public health problems. In trachoma-endemic populations mass administration of azithromycin can simultaneously treat yaws. We conducted a population-based prevalence survey in the five northernmost provinces of Vanuatu, where trachoma and yaws are suspected to be co-endemic. Clinical signs of trachoma were evaluated using the WHO simplified grading system, and skin examination with a serological rapid diagnostic test used to identify yaws. We enrolled 1004 households in 59 villages over 16 islands, and examined 3650 individuals of all ages for trachoma. The overall adjusted prevalence of trachomatous inflammation-follicular (TF) in 1-9 year-olds was 12.0% (95% Confidence Interval: 8.1-16.7%), and the overall adjusted prevalence of TT in those aged 15 years and greater was 0.04% (95% CI 0-0.14%). In multivariate analysis, the odds of children having TF was 2.6 (95% CI = 1.5-4.4) times higher in households with unimproved latrines, and independently associated with the number of children in the household (OR 1.3, 95% CI = 1.0-1.6 for each additional child). We examined the skin of 821 children aged 5-14 years. Two children had yaws, giving an estimated prevalence of active yaws in those aged 5-14 years of 0.2% (95% CI = 0.03-0.9%). Mass treatment with azithromycin is recommended in these provinces. Given the apparent low burden of yaws, integration of yaws and trachoma control programmes is likely to be useful and cost-effective to national programmes.","author":[{"dropping-particle":"","family":"Taleo","given":"Fasihah","non-dropping-particle":"","parse-names":false,"suffix":""},{"dropping-particle":"","family":"Macleod","given":"Colin K","non-dropping-particle":"","parse-names":false,"suffix":""},{"dropping-particle":"","family":"Marks","given":"Michael","non-dropping-particle":"","parse-names":false,"suffix":""},{"dropping-particle":"","family":"Sokana","given":"Oliver","non-dropping-particle":"","parse-names":false,"suffix":""},{"dropping-particle":"","family":"Last","given":"Anna R","non-dropping-particle":"","parse-names":false,"suffix":""},{"dropping-particle":"","family":"Willis","given":"Rebecca","non-dropping-particle":"","parse-names":false,"suffix":""},{"dropping-particle":"","family":"Garae","given":"Mackline","non-dropping-particle":"","parse-names":false,"suffix":""},{"dropping-particle":"","family":"Bong","given":"Annie","non-dropping-particle":"","parse-names":false,"suffix":""},{"dropping-particle":"","family":"Chu","given":"Brian K","non-dropping-particle":"","parse-names":false,"suffix":""},{"dropping-particle":"","family":"Courtright","given":"Paul","non-dropping-particle":"","parse-names":false,"suffix":""},{"dropping-particle":"","family":"Kool","given":"Jacob","non-dropping-particle":"","parse-names":false,"suffix":""},{"dropping-particle":"","family":"Taleo","given":"George","non-dropping-particle":"","parse-names":false,"suffix":""},{"dropping-particle":"","family":"Rory","given":"Jean Jacque","non-dropping-particle":"","parse-names":false,"suffix":""},{"dropping-particle":"","family":"Solomon","given":"Anthony W","non-dropping-particle":"","parse-names":false,"suffix":""}],"container-title":"PLoS Neglected Tropical Diseases","id":"ITEM-1","issue":"1","issued":{"date-parts":[["2017"]]},"page":"e0005267","title":"Integrated mapping of yaws and trachoma in the five northern-most provinces of Vanuatu","type":"article-journal","volume":"11"},"uris":["http://www.mendeley.com/documents/?uuid=5b3fcb21-e7a1-4efb-aaa9-66a44398717f"]}],"mendeley":{"formattedCitation":"[13]","plainTextFormattedCitation":"[13]","previouslyFormattedCitation":"[13]"},"properties":{"noteIndex":0},"schema":"https://github.com/citation-style-language/schema/raw/master/csl-citation.json"}</w:instrText>
      </w:r>
      <w:r w:rsidR="00F74BFA">
        <w:rPr>
          <w:rFonts w:ascii="Arial" w:hAnsi="Arial" w:cs="Arial"/>
          <w:sz w:val="21"/>
          <w:szCs w:val="21"/>
        </w:rPr>
        <w:fldChar w:fldCharType="separate"/>
      </w:r>
      <w:r w:rsidR="005C6653" w:rsidRPr="005C6653">
        <w:rPr>
          <w:rFonts w:ascii="Arial" w:hAnsi="Arial" w:cs="Arial"/>
          <w:noProof/>
          <w:sz w:val="21"/>
          <w:szCs w:val="21"/>
        </w:rPr>
        <w:t>[13]</w:t>
      </w:r>
      <w:r w:rsidR="00F74BFA">
        <w:rPr>
          <w:rFonts w:ascii="Arial" w:hAnsi="Arial" w:cs="Arial"/>
          <w:sz w:val="21"/>
          <w:szCs w:val="21"/>
        </w:rPr>
        <w:fldChar w:fldCharType="end"/>
      </w:r>
      <w:r>
        <w:rPr>
          <w:rFonts w:ascii="Arial" w:hAnsi="Arial" w:cs="Arial"/>
          <w:sz w:val="21"/>
          <w:szCs w:val="21"/>
        </w:rPr>
        <w:t xml:space="preserve">, whereas in this survey, carried out in June–July 2016, it </w:t>
      </w:r>
      <w:r w:rsidR="00751A46">
        <w:rPr>
          <w:rFonts w:ascii="Arial" w:hAnsi="Arial" w:cs="Arial"/>
          <w:sz w:val="21"/>
          <w:szCs w:val="21"/>
        </w:rPr>
        <w:t>i</w:t>
      </w:r>
      <w:r w:rsidR="00D266CD">
        <w:rPr>
          <w:rFonts w:ascii="Arial" w:hAnsi="Arial" w:cs="Arial"/>
          <w:sz w:val="21"/>
          <w:szCs w:val="21"/>
        </w:rPr>
        <w:t xml:space="preserve">s </w:t>
      </w:r>
      <w:r>
        <w:rPr>
          <w:rFonts w:ascii="Arial" w:hAnsi="Arial" w:cs="Arial"/>
          <w:sz w:val="21"/>
          <w:szCs w:val="21"/>
        </w:rPr>
        <w:t xml:space="preserve">higher </w:t>
      </w:r>
      <w:r w:rsidR="00D266CD">
        <w:rPr>
          <w:rFonts w:ascii="Arial" w:hAnsi="Arial" w:cs="Arial"/>
          <w:sz w:val="21"/>
          <w:szCs w:val="21"/>
        </w:rPr>
        <w:t xml:space="preserve">at </w:t>
      </w:r>
      <w:r>
        <w:rPr>
          <w:rFonts w:ascii="Arial" w:hAnsi="Arial" w:cs="Arial"/>
          <w:sz w:val="21"/>
          <w:szCs w:val="21"/>
        </w:rPr>
        <w:t>16.5%</w:t>
      </w:r>
      <w:r w:rsidR="006A427C">
        <w:rPr>
          <w:rFonts w:ascii="Arial" w:hAnsi="Arial" w:cs="Arial"/>
          <w:sz w:val="21"/>
          <w:szCs w:val="21"/>
        </w:rPr>
        <w:t xml:space="preserve"> (95% CI: 14.3–18.7%)</w:t>
      </w:r>
      <w:r>
        <w:rPr>
          <w:rFonts w:ascii="Arial" w:hAnsi="Arial" w:cs="Arial"/>
          <w:sz w:val="21"/>
          <w:szCs w:val="21"/>
        </w:rPr>
        <w:t xml:space="preserve">. </w:t>
      </w:r>
      <w:r w:rsidR="006A427C">
        <w:rPr>
          <w:rFonts w:ascii="Arial" w:hAnsi="Arial" w:cs="Arial"/>
          <w:sz w:val="21"/>
          <w:szCs w:val="21"/>
        </w:rPr>
        <w:t>In South Tarawa, the</w:t>
      </w:r>
      <w:r w:rsidR="00F74BFA">
        <w:rPr>
          <w:rFonts w:ascii="Arial" w:hAnsi="Arial" w:cs="Arial"/>
          <w:sz w:val="21"/>
          <w:szCs w:val="21"/>
        </w:rPr>
        <w:t xml:space="preserve"> national programme</w:t>
      </w:r>
      <w:r w:rsidR="006A427C">
        <w:rPr>
          <w:rFonts w:ascii="Arial" w:hAnsi="Arial" w:cs="Arial"/>
          <w:sz w:val="21"/>
          <w:szCs w:val="21"/>
        </w:rPr>
        <w:t xml:space="preserve"> pre-MDA </w:t>
      </w:r>
      <w:r w:rsidR="006A427C">
        <w:rPr>
          <w:rFonts w:ascii="Arial" w:hAnsi="Arial" w:cs="Arial"/>
          <w:sz w:val="21"/>
          <w:szCs w:val="21"/>
        </w:rPr>
        <w:lastRenderedPageBreak/>
        <w:t>TF prevalence was 21.3% in 2012</w:t>
      </w:r>
      <w:r w:rsidR="00F74BFA">
        <w:rPr>
          <w:rFonts w:ascii="Arial" w:hAnsi="Arial" w:cs="Arial"/>
          <w:sz w:val="21"/>
          <w:szCs w:val="21"/>
        </w:rPr>
        <w:t xml:space="preserve"> </w:t>
      </w:r>
      <w:r w:rsidR="00F74BFA">
        <w:rPr>
          <w:rFonts w:ascii="Arial" w:hAnsi="Arial" w:cs="Arial"/>
          <w:sz w:val="21"/>
          <w:szCs w:val="21"/>
        </w:rPr>
        <w:fldChar w:fldCharType="begin" w:fldLock="1"/>
      </w:r>
      <w:r w:rsidR="005C6653">
        <w:rPr>
          <w:rFonts w:ascii="Arial" w:hAnsi="Arial" w:cs="Arial"/>
          <w:sz w:val="21"/>
          <w:szCs w:val="21"/>
        </w:rPr>
        <w:instrText>ADDIN CSL_CITATION {"citationItems":[{"id":"ITEM-1","itemData":{"author":[{"dropping-particle":"","family":"International Agency for the Prevention of Blindness","given":"","non-dropping-particle":"","parse-names":false,"suffix":""}],"id":"ITEM-1","issued":{"date-parts":[["2013"]]},"publisher-place":"Melbourne, Australia","title":"Trachoma Mapping in the Pacific","type":"report"},"uris":["http://www.mendeley.com/documents/?uuid=136439f5-0c5c-465c-9e35-538caa37e9ed"]}],"mendeley":{"formattedCitation":"[15]","plainTextFormattedCitation":"[15]","previouslyFormattedCitation":"[15]"},"properties":{"noteIndex":0},"schema":"https://github.com/citation-style-language/schema/raw/master/csl-citation.json"}</w:instrText>
      </w:r>
      <w:r w:rsidR="00F74BFA">
        <w:rPr>
          <w:rFonts w:ascii="Arial" w:hAnsi="Arial" w:cs="Arial"/>
          <w:sz w:val="21"/>
          <w:szCs w:val="21"/>
        </w:rPr>
        <w:fldChar w:fldCharType="separate"/>
      </w:r>
      <w:r w:rsidR="005C6653" w:rsidRPr="005C6653">
        <w:rPr>
          <w:rFonts w:ascii="Arial" w:hAnsi="Arial" w:cs="Arial"/>
          <w:noProof/>
          <w:sz w:val="21"/>
          <w:szCs w:val="21"/>
        </w:rPr>
        <w:t>[15]</w:t>
      </w:r>
      <w:r w:rsidR="00F74BFA">
        <w:rPr>
          <w:rFonts w:ascii="Arial" w:hAnsi="Arial" w:cs="Arial"/>
          <w:sz w:val="21"/>
          <w:szCs w:val="21"/>
        </w:rPr>
        <w:fldChar w:fldCharType="end"/>
      </w:r>
      <w:r w:rsidR="006A427C">
        <w:rPr>
          <w:rFonts w:ascii="Arial" w:hAnsi="Arial" w:cs="Arial"/>
          <w:sz w:val="21"/>
          <w:szCs w:val="21"/>
        </w:rPr>
        <w:t xml:space="preserve">. In this survey of South and North Tarawa, the prevalence was higher at 38.2%. </w:t>
      </w:r>
      <w:r>
        <w:rPr>
          <w:rFonts w:ascii="Arial" w:hAnsi="Arial" w:cs="Arial"/>
          <w:sz w:val="21"/>
          <w:szCs w:val="21"/>
        </w:rPr>
        <w:t xml:space="preserve">This could suggest </w:t>
      </w:r>
      <w:r w:rsidR="00070E65">
        <w:rPr>
          <w:rFonts w:ascii="Arial" w:hAnsi="Arial" w:cs="Arial"/>
          <w:sz w:val="21"/>
          <w:szCs w:val="21"/>
        </w:rPr>
        <w:t>a</w:t>
      </w:r>
      <w:r w:rsidR="00F74BFA">
        <w:rPr>
          <w:rFonts w:ascii="Arial" w:hAnsi="Arial" w:cs="Arial"/>
          <w:sz w:val="21"/>
          <w:szCs w:val="21"/>
        </w:rPr>
        <w:t xml:space="preserve"> sustained</w:t>
      </w:r>
      <w:r>
        <w:rPr>
          <w:rFonts w:ascii="Arial" w:hAnsi="Arial" w:cs="Arial"/>
          <w:sz w:val="21"/>
          <w:szCs w:val="21"/>
        </w:rPr>
        <w:t xml:space="preserve"> increase in TF prevalence </w:t>
      </w:r>
      <w:r w:rsidR="006A427C">
        <w:rPr>
          <w:rFonts w:ascii="Arial" w:hAnsi="Arial" w:cs="Arial"/>
          <w:sz w:val="21"/>
          <w:szCs w:val="21"/>
        </w:rPr>
        <w:t>in both areas</w:t>
      </w:r>
      <w:r>
        <w:rPr>
          <w:rFonts w:ascii="Arial" w:hAnsi="Arial" w:cs="Arial"/>
          <w:sz w:val="21"/>
          <w:szCs w:val="21"/>
        </w:rPr>
        <w:t>, seasonal variation in TF prevalence or an artefact of</w:t>
      </w:r>
      <w:r w:rsidR="00D266CD">
        <w:rPr>
          <w:rFonts w:ascii="Arial" w:hAnsi="Arial" w:cs="Arial"/>
          <w:sz w:val="21"/>
          <w:szCs w:val="21"/>
        </w:rPr>
        <w:t xml:space="preserve"> </w:t>
      </w:r>
      <w:r w:rsidR="006A427C">
        <w:rPr>
          <w:rFonts w:ascii="Arial" w:hAnsi="Arial" w:cs="Arial"/>
          <w:sz w:val="21"/>
          <w:szCs w:val="21"/>
        </w:rPr>
        <w:t>sampling variation</w:t>
      </w:r>
      <w:r>
        <w:rPr>
          <w:rFonts w:ascii="Arial" w:hAnsi="Arial" w:cs="Arial"/>
          <w:sz w:val="21"/>
          <w:szCs w:val="21"/>
        </w:rPr>
        <w:t xml:space="preserve">. </w:t>
      </w:r>
      <w:r w:rsidR="00D41B6A">
        <w:rPr>
          <w:rFonts w:ascii="Arial" w:hAnsi="Arial" w:cs="Arial"/>
          <w:sz w:val="21"/>
          <w:szCs w:val="21"/>
        </w:rPr>
        <w:t>Both estimates</w:t>
      </w:r>
      <w:r w:rsidR="006A427C">
        <w:rPr>
          <w:rFonts w:ascii="Arial" w:hAnsi="Arial" w:cs="Arial"/>
          <w:sz w:val="21"/>
          <w:szCs w:val="21"/>
        </w:rPr>
        <w:t xml:space="preserve"> of</w:t>
      </w:r>
      <w:r w:rsidR="00D41B6A">
        <w:rPr>
          <w:rFonts w:ascii="Arial" w:hAnsi="Arial" w:cs="Arial"/>
          <w:sz w:val="21"/>
          <w:szCs w:val="21"/>
        </w:rPr>
        <w:t xml:space="preserve"> </w:t>
      </w:r>
      <w:r w:rsidR="006A427C">
        <w:rPr>
          <w:rFonts w:ascii="Arial" w:hAnsi="Arial" w:cs="Arial"/>
          <w:sz w:val="21"/>
          <w:szCs w:val="21"/>
        </w:rPr>
        <w:t xml:space="preserve">TT prevalence in the ≥15-year-old age group in Vanuatu </w:t>
      </w:r>
      <w:r w:rsidR="00D41B6A">
        <w:rPr>
          <w:rFonts w:ascii="Arial" w:hAnsi="Arial" w:cs="Arial"/>
          <w:sz w:val="21"/>
          <w:szCs w:val="21"/>
        </w:rPr>
        <w:t xml:space="preserve">suggest TT to be below the target threshold for elimination as a public health problem. In Tarawa, </w:t>
      </w:r>
      <w:r w:rsidR="006A427C">
        <w:rPr>
          <w:rFonts w:ascii="Arial" w:hAnsi="Arial" w:cs="Arial"/>
          <w:sz w:val="21"/>
          <w:szCs w:val="21"/>
        </w:rPr>
        <w:t>both estimates of TT prevalence were above the target threshold.</w:t>
      </w:r>
      <w:r w:rsidR="007F2E66">
        <w:rPr>
          <w:rFonts w:ascii="Arial" w:hAnsi="Arial" w:cs="Arial"/>
          <w:sz w:val="21"/>
          <w:szCs w:val="21"/>
        </w:rPr>
        <w:t xml:space="preserve"> </w:t>
      </w:r>
      <w:r w:rsidR="00293591">
        <w:rPr>
          <w:rFonts w:ascii="Arial" w:hAnsi="Arial" w:cs="Arial"/>
          <w:sz w:val="21"/>
          <w:szCs w:val="21"/>
        </w:rPr>
        <w:t>Therefore, according to clinical signs alone</w:t>
      </w:r>
      <w:r w:rsidR="00DE6A53">
        <w:rPr>
          <w:rFonts w:ascii="Arial" w:hAnsi="Arial" w:cs="Arial"/>
          <w:sz w:val="21"/>
          <w:szCs w:val="21"/>
        </w:rPr>
        <w:t>,</w:t>
      </w:r>
      <w:r w:rsidR="00293591">
        <w:rPr>
          <w:rFonts w:ascii="Arial" w:hAnsi="Arial" w:cs="Arial"/>
          <w:sz w:val="21"/>
          <w:szCs w:val="21"/>
        </w:rPr>
        <w:t xml:space="preserve"> implementation of the A, F and E components of the SAFE strategy </w:t>
      </w:r>
      <w:r w:rsidR="00DE6A53">
        <w:rPr>
          <w:rFonts w:ascii="Arial" w:hAnsi="Arial" w:cs="Arial"/>
          <w:sz w:val="21"/>
          <w:szCs w:val="21"/>
        </w:rPr>
        <w:t xml:space="preserve">is </w:t>
      </w:r>
      <w:r w:rsidR="00293591">
        <w:rPr>
          <w:rFonts w:ascii="Arial" w:hAnsi="Arial" w:cs="Arial"/>
          <w:sz w:val="21"/>
          <w:szCs w:val="21"/>
        </w:rPr>
        <w:t xml:space="preserve">warranted in both </w:t>
      </w:r>
      <w:r w:rsidR="008D7D70">
        <w:rPr>
          <w:rFonts w:ascii="Arial" w:hAnsi="Arial" w:cs="Arial"/>
          <w:sz w:val="21"/>
          <w:szCs w:val="21"/>
        </w:rPr>
        <w:t xml:space="preserve">populations </w:t>
      </w:r>
      <w:r w:rsidR="00293591">
        <w:rPr>
          <w:rFonts w:ascii="Arial" w:hAnsi="Arial" w:cs="Arial"/>
          <w:sz w:val="21"/>
          <w:szCs w:val="21"/>
        </w:rPr>
        <w:t>and the S component is needed in Tarawa.</w:t>
      </w:r>
    </w:p>
    <w:p w14:paraId="13E485D9" w14:textId="1A44BF08" w:rsidR="003C429A" w:rsidRDefault="003C429A" w:rsidP="008B5BE3">
      <w:pPr>
        <w:spacing w:line="480" w:lineRule="auto"/>
        <w:jc w:val="both"/>
        <w:rPr>
          <w:rFonts w:ascii="Arial" w:hAnsi="Arial" w:cs="Arial"/>
          <w:sz w:val="21"/>
          <w:szCs w:val="21"/>
        </w:rPr>
      </w:pPr>
    </w:p>
    <w:p w14:paraId="7589103C" w14:textId="01333C4C" w:rsidR="00B82A9E" w:rsidRDefault="003044C1" w:rsidP="008B5BE3">
      <w:pPr>
        <w:spacing w:line="480" w:lineRule="auto"/>
        <w:jc w:val="both"/>
        <w:rPr>
          <w:rFonts w:ascii="Arial" w:hAnsi="Arial" w:cs="Arial"/>
          <w:sz w:val="21"/>
          <w:szCs w:val="21"/>
        </w:rPr>
      </w:pPr>
      <w:r>
        <w:rPr>
          <w:rFonts w:ascii="Arial" w:hAnsi="Arial" w:cs="Arial"/>
          <w:sz w:val="21"/>
          <w:szCs w:val="21"/>
        </w:rPr>
        <w:t xml:space="preserve">The </w:t>
      </w:r>
      <w:r w:rsidR="009012FB">
        <w:rPr>
          <w:rFonts w:ascii="Arial" w:hAnsi="Arial" w:cs="Arial"/>
          <w:sz w:val="21"/>
          <w:szCs w:val="21"/>
        </w:rPr>
        <w:t xml:space="preserve">scarring and infection data collected </w:t>
      </w:r>
      <w:r w:rsidR="00FB4EF6">
        <w:rPr>
          <w:rFonts w:ascii="Arial" w:hAnsi="Arial" w:cs="Arial"/>
          <w:sz w:val="21"/>
          <w:szCs w:val="21"/>
        </w:rPr>
        <w:t>provide a more detailed</w:t>
      </w:r>
      <w:r w:rsidR="009012FB">
        <w:rPr>
          <w:rFonts w:ascii="Arial" w:hAnsi="Arial" w:cs="Arial"/>
          <w:sz w:val="21"/>
          <w:szCs w:val="21"/>
        </w:rPr>
        <w:t xml:space="preserve"> impression of trachoma in each EU.</w:t>
      </w:r>
      <w:r w:rsidR="0060343B">
        <w:rPr>
          <w:rFonts w:ascii="Arial" w:hAnsi="Arial" w:cs="Arial"/>
          <w:sz w:val="21"/>
          <w:szCs w:val="21"/>
        </w:rPr>
        <w:t xml:space="preserve"> C</w:t>
      </w:r>
      <w:r w:rsidR="00293591">
        <w:rPr>
          <w:rFonts w:ascii="Arial" w:hAnsi="Arial" w:cs="Arial"/>
          <w:sz w:val="21"/>
          <w:szCs w:val="21"/>
        </w:rPr>
        <w:t>onjunctival scarring was more prevalent in Tarawa than in Vanuatu</w:t>
      </w:r>
      <w:r w:rsidR="006E2E21">
        <w:rPr>
          <w:rFonts w:ascii="Arial" w:hAnsi="Arial" w:cs="Arial"/>
          <w:sz w:val="21"/>
          <w:szCs w:val="21"/>
        </w:rPr>
        <w:t>, which probably explains</w:t>
      </w:r>
      <w:r w:rsidR="009012FB">
        <w:rPr>
          <w:rFonts w:ascii="Arial" w:hAnsi="Arial" w:cs="Arial"/>
          <w:sz w:val="21"/>
          <w:szCs w:val="21"/>
        </w:rPr>
        <w:t xml:space="preserve"> the difference in TT prevalence between the </w:t>
      </w:r>
      <w:r w:rsidR="008D7D70">
        <w:rPr>
          <w:rFonts w:ascii="Arial" w:hAnsi="Arial" w:cs="Arial"/>
          <w:sz w:val="21"/>
          <w:szCs w:val="21"/>
        </w:rPr>
        <w:t>two locations</w:t>
      </w:r>
      <w:r w:rsidR="009012FB">
        <w:rPr>
          <w:rFonts w:ascii="Arial" w:hAnsi="Arial" w:cs="Arial"/>
          <w:sz w:val="21"/>
          <w:szCs w:val="21"/>
        </w:rPr>
        <w:t>.</w:t>
      </w:r>
      <w:r w:rsidR="00293591">
        <w:rPr>
          <w:rFonts w:ascii="Arial" w:hAnsi="Arial" w:cs="Arial"/>
          <w:sz w:val="21"/>
          <w:szCs w:val="21"/>
        </w:rPr>
        <w:t xml:space="preserve"> Compared to previous population</w:t>
      </w:r>
      <w:r w:rsidR="00DE6A53">
        <w:rPr>
          <w:rFonts w:ascii="Arial" w:hAnsi="Arial" w:cs="Arial"/>
          <w:sz w:val="21"/>
          <w:szCs w:val="21"/>
        </w:rPr>
        <w:t>-based</w:t>
      </w:r>
      <w:r w:rsidR="00293591">
        <w:rPr>
          <w:rFonts w:ascii="Arial" w:hAnsi="Arial" w:cs="Arial"/>
          <w:sz w:val="21"/>
          <w:szCs w:val="21"/>
        </w:rPr>
        <w:t xml:space="preserve"> </w:t>
      </w:r>
      <w:r w:rsidR="00DE6A53">
        <w:rPr>
          <w:rFonts w:ascii="Arial" w:hAnsi="Arial" w:cs="Arial"/>
          <w:sz w:val="21"/>
          <w:szCs w:val="21"/>
        </w:rPr>
        <w:t xml:space="preserve">estimates </w:t>
      </w:r>
      <w:r w:rsidR="00293591">
        <w:rPr>
          <w:rFonts w:ascii="Arial" w:hAnsi="Arial" w:cs="Arial"/>
          <w:sz w:val="21"/>
          <w:szCs w:val="21"/>
        </w:rPr>
        <w:t xml:space="preserve">of scar prevalence and severity, </w:t>
      </w:r>
      <w:r w:rsidR="00643BA9">
        <w:rPr>
          <w:rFonts w:ascii="Arial" w:hAnsi="Arial" w:cs="Arial"/>
          <w:sz w:val="21"/>
          <w:szCs w:val="21"/>
        </w:rPr>
        <w:t>Tarawa</w:t>
      </w:r>
      <w:r w:rsidR="00293591">
        <w:rPr>
          <w:rFonts w:ascii="Arial" w:hAnsi="Arial" w:cs="Arial"/>
          <w:sz w:val="21"/>
          <w:szCs w:val="21"/>
        </w:rPr>
        <w:t xml:space="preserve"> is similar to </w:t>
      </w:r>
      <w:r w:rsidR="00643BA9">
        <w:rPr>
          <w:rFonts w:ascii="Arial" w:hAnsi="Arial" w:cs="Arial"/>
          <w:sz w:val="21"/>
          <w:szCs w:val="21"/>
        </w:rPr>
        <w:t xml:space="preserve">areas with high ocular </w:t>
      </w:r>
      <w:r w:rsidR="00643BA9">
        <w:rPr>
          <w:rFonts w:ascii="Arial" w:hAnsi="Arial" w:cs="Arial"/>
          <w:i/>
          <w:sz w:val="21"/>
          <w:szCs w:val="21"/>
        </w:rPr>
        <w:t xml:space="preserve">Ct </w:t>
      </w:r>
      <w:r w:rsidR="00643BA9">
        <w:rPr>
          <w:rFonts w:ascii="Arial" w:hAnsi="Arial" w:cs="Arial"/>
          <w:sz w:val="21"/>
          <w:szCs w:val="21"/>
        </w:rPr>
        <w:t xml:space="preserve">infection prevalence </w:t>
      </w:r>
      <w:r w:rsidR="008257CC">
        <w:rPr>
          <w:rFonts w:ascii="Arial" w:hAnsi="Arial" w:cs="Arial"/>
          <w:sz w:val="21"/>
          <w:szCs w:val="21"/>
        </w:rPr>
        <w:fldChar w:fldCharType="begin" w:fldLock="1"/>
      </w:r>
      <w:r w:rsidR="004D440E">
        <w:rPr>
          <w:rFonts w:ascii="Arial" w:hAnsi="Arial" w:cs="Arial"/>
          <w:sz w:val="21"/>
          <w:szCs w:val="21"/>
        </w:rPr>
        <w:instrText>ADDIN CSL_CITATION {"citationItems":[{"id":"ITEM-1","itemData":{"DOI":"10.1371/journal.pntd.0002900","ISBN":"1935-2735","author":[{"dropping-particle":"","family":"Last","given":"Anna R","non-dropping-particle":"","parse-names":false,"suffix":""},{"dropping-particle":"","family":"Burr","given":"Sarah E","non-dropping-particle":"","parse-names":false,"suffix":""},{"dropping-particle":"","family":"Weiss","given":"Helen A","non-dropping-particle":"","parse-names":false,"suffix":""},{"dropping-particle":"","family":"Harding-Esch","given":"Emma M","non-dropping-particle":"","parse-names":false,"suffix":""},{"dropping-particle":"","family":"Cassama","given":"Eunice","non-dropping-particle":"","parse-names":false,"suffix":""},{"dropping-particle":"","family":"Nabicassa","given":"Meno","non-dropping-particle":"","parse-names":false,"suffix":""},{"dropping-particle":"","family":"Mabey","given":"David C","non-dropping-particle":"","parse-names":false,"suffix":""},{"dropping-particle":"","family":"Holland","given":"Martin J","non-dropping-particle":"","parse-names":false,"suffix":""},{"dropping-particle":"","family":"Bailey","given":"Robin L","non-dropping-particle":"","parse-names":false,"suffix":""}],"container-title":"PLoS Neglected Tropical Diseases","id":"ITEM-1","issue":"6","issued":{"date-parts":[["2014"]]},"note":"Times Cited: 6\nMabey, David/0000-0002-0031-8276\n0\n6","title":"Risk Factors for Active Trachoma and Ocular Chlamydia trachomatis Infection in Treatment-Naive Trachoma-Hyperendemic Communities of the Bijagos Archipelago, Guinea Bissau","type":"article-journal","volume":"8"},"uris":["http://www.mendeley.com/documents/?uuid=d5a008ff-a834-4801-a0f9-339521eb3e4c"]}],"mendeley":{"formattedCitation":"[33]","plainTextFormattedCitation":"[33]","previouslyFormattedCitation":"[33]"},"properties":{"noteIndex":0},"schema":"https://github.com/citation-style-language/schema/raw/master/csl-citation.json"}</w:instrText>
      </w:r>
      <w:r w:rsidR="008257CC">
        <w:rPr>
          <w:rFonts w:ascii="Arial" w:hAnsi="Arial" w:cs="Arial"/>
          <w:sz w:val="21"/>
          <w:szCs w:val="21"/>
        </w:rPr>
        <w:fldChar w:fldCharType="separate"/>
      </w:r>
      <w:r w:rsidR="00D3307C" w:rsidRPr="00D3307C">
        <w:rPr>
          <w:rFonts w:ascii="Arial" w:hAnsi="Arial" w:cs="Arial"/>
          <w:noProof/>
          <w:sz w:val="21"/>
          <w:szCs w:val="21"/>
        </w:rPr>
        <w:t>[33]</w:t>
      </w:r>
      <w:r w:rsidR="008257CC">
        <w:rPr>
          <w:rFonts w:ascii="Arial" w:hAnsi="Arial" w:cs="Arial"/>
          <w:sz w:val="21"/>
          <w:szCs w:val="21"/>
        </w:rPr>
        <w:fldChar w:fldCharType="end"/>
      </w:r>
      <w:r w:rsidR="00643BA9">
        <w:rPr>
          <w:rFonts w:ascii="Arial" w:hAnsi="Arial" w:cs="Arial"/>
          <w:sz w:val="21"/>
          <w:szCs w:val="21"/>
        </w:rPr>
        <w:t xml:space="preserve">, and Vanuatu is similar to areas in Melanesia with low ocular </w:t>
      </w:r>
      <w:r w:rsidR="00643BA9">
        <w:rPr>
          <w:rFonts w:ascii="Arial" w:hAnsi="Arial" w:cs="Arial"/>
          <w:i/>
          <w:sz w:val="21"/>
          <w:szCs w:val="21"/>
        </w:rPr>
        <w:t xml:space="preserve">Ct </w:t>
      </w:r>
      <w:r w:rsidR="00643BA9">
        <w:rPr>
          <w:rFonts w:ascii="Arial" w:hAnsi="Arial" w:cs="Arial"/>
          <w:sz w:val="21"/>
          <w:szCs w:val="21"/>
        </w:rPr>
        <w:t xml:space="preserve">infection prevalence </w:t>
      </w:r>
      <w:r w:rsidR="009044A4">
        <w:rPr>
          <w:rFonts w:ascii="Arial" w:hAnsi="Arial" w:cs="Arial"/>
          <w:sz w:val="21"/>
          <w:szCs w:val="21"/>
        </w:rPr>
        <w:fldChar w:fldCharType="begin" w:fldLock="1"/>
      </w:r>
      <w:r w:rsidR="005C6653">
        <w:rPr>
          <w:rFonts w:ascii="Arial" w:hAnsi="Arial" w:cs="Arial"/>
          <w:sz w:val="21"/>
          <w:szCs w:val="21"/>
        </w:rPr>
        <w:instrText>ADDIN CSL_CITATION {"citationItems":[{"id":"ITEM-1","itemData":{"DOI":"doi: 10.12688/wellcomeopenres.13423.1","author":[{"dropping-particle":"","family":"Butcher","given":"Robert","non-dropping-particle":"","parse-names":false,"suffix":""},{"dropping-particle":"","family":"Sokana","given":"Oliver","non-dropping-particle":"","parse-names":false,"suffix":""},{"dropping-particle":"","family":"Jack","given":"Kelvin","non-dropping-particle":"","parse-names":false,"suffix":""},{"dropping-particle":"","family":"Sui","given":"Leslie","non-dropping-particle":"","parse-names":false,"suffix":""},{"dropping-particle":"","family":"Martin","given":"Diana L","non-dropping-particle":"","parse-names":false,"suffix":""},{"dropping-particle":"","family":"Burton","given":"Matthew J","non-dropping-particle":"","parse-names":false,"suffix":""},{"dropping-particle":"","family":"Solomon","given":"Anthony W","non-dropping-particle":"","parse-names":false,"suffix":""},{"dropping-particle":"","family":"Mabey","given":"David CW","non-dropping-particle":"","parse-names":false,"suffix":""},{"dropping-particle":"","family":"Roberts","given":"Chrissy h.","non-dropping-particle":"","parse-names":false,"suffix":""}],"container-title":"Wellcome Open Research","id":"ITEM-1","issue":"14","issued":{"date-parts":[["2018"]]},"title":"Clinical signs of trachoma are prevalent among Solomon Islanders who have no persistent markers of prior infection with Chlamydia trachomatis.","type":"article-journal","volume":"3"},"uris":["http://www.mendeley.com/documents/?uuid=b76d0abe-f700-4f33-a67a-aabd1a35bc6e"]}],"mendeley":{"formattedCitation":"[18]","plainTextFormattedCitation":"[18]","previouslyFormattedCitation":"[18]"},"properties":{"noteIndex":0},"schema":"https://github.com/citation-style-language/schema/raw/master/csl-citation.json"}</w:instrText>
      </w:r>
      <w:r w:rsidR="009044A4">
        <w:rPr>
          <w:rFonts w:ascii="Arial" w:hAnsi="Arial" w:cs="Arial"/>
          <w:sz w:val="21"/>
          <w:szCs w:val="21"/>
        </w:rPr>
        <w:fldChar w:fldCharType="separate"/>
      </w:r>
      <w:r w:rsidR="005C6653" w:rsidRPr="005C6653">
        <w:rPr>
          <w:rFonts w:ascii="Arial" w:hAnsi="Arial" w:cs="Arial"/>
          <w:noProof/>
          <w:sz w:val="21"/>
          <w:szCs w:val="21"/>
        </w:rPr>
        <w:t>[18]</w:t>
      </w:r>
      <w:r w:rsidR="009044A4">
        <w:rPr>
          <w:rFonts w:ascii="Arial" w:hAnsi="Arial" w:cs="Arial"/>
          <w:sz w:val="21"/>
          <w:szCs w:val="21"/>
        </w:rPr>
        <w:fldChar w:fldCharType="end"/>
      </w:r>
      <w:r w:rsidR="00643BA9">
        <w:rPr>
          <w:rFonts w:ascii="Arial" w:hAnsi="Arial" w:cs="Arial"/>
          <w:sz w:val="21"/>
          <w:szCs w:val="21"/>
        </w:rPr>
        <w:t>.</w:t>
      </w:r>
      <w:r w:rsidR="00D53FB4">
        <w:rPr>
          <w:rFonts w:ascii="Arial" w:hAnsi="Arial" w:cs="Arial"/>
          <w:sz w:val="21"/>
          <w:szCs w:val="21"/>
        </w:rPr>
        <w:t xml:space="preserve"> </w:t>
      </w:r>
    </w:p>
    <w:p w14:paraId="1D291ED3" w14:textId="77777777" w:rsidR="00B82A9E" w:rsidRDefault="00B82A9E" w:rsidP="008B5BE3">
      <w:pPr>
        <w:spacing w:line="480" w:lineRule="auto"/>
        <w:jc w:val="both"/>
        <w:rPr>
          <w:rFonts w:ascii="Arial" w:hAnsi="Arial" w:cs="Arial"/>
          <w:sz w:val="21"/>
          <w:szCs w:val="21"/>
        </w:rPr>
      </w:pPr>
    </w:p>
    <w:p w14:paraId="012EEC2D" w14:textId="11829B1D" w:rsidR="00227909" w:rsidRPr="00A64151" w:rsidRDefault="004070ED" w:rsidP="008B5BE3">
      <w:pPr>
        <w:spacing w:line="480" w:lineRule="auto"/>
        <w:jc w:val="both"/>
        <w:rPr>
          <w:rFonts w:ascii="Arial" w:hAnsi="Arial" w:cs="Arial"/>
          <w:sz w:val="21"/>
          <w:szCs w:val="21"/>
        </w:rPr>
      </w:pPr>
      <w:r>
        <w:rPr>
          <w:rFonts w:ascii="Arial" w:hAnsi="Arial" w:cs="Arial"/>
          <w:sz w:val="21"/>
          <w:szCs w:val="21"/>
        </w:rPr>
        <w:t>O</w:t>
      </w:r>
      <w:r w:rsidR="00643BA9">
        <w:rPr>
          <w:rFonts w:ascii="Arial" w:hAnsi="Arial" w:cs="Arial"/>
          <w:sz w:val="21"/>
          <w:szCs w:val="21"/>
        </w:rPr>
        <w:t xml:space="preserve">cular </w:t>
      </w:r>
      <w:r w:rsidR="00643BA9">
        <w:rPr>
          <w:rFonts w:ascii="Arial" w:hAnsi="Arial" w:cs="Arial"/>
          <w:i/>
          <w:sz w:val="21"/>
          <w:szCs w:val="21"/>
        </w:rPr>
        <w:t xml:space="preserve">Ct </w:t>
      </w:r>
      <w:r w:rsidR="00643BA9">
        <w:rPr>
          <w:rFonts w:ascii="Arial" w:hAnsi="Arial" w:cs="Arial"/>
          <w:sz w:val="21"/>
          <w:szCs w:val="21"/>
        </w:rPr>
        <w:t xml:space="preserve">infection </w:t>
      </w:r>
      <w:r w:rsidR="008D7D70">
        <w:rPr>
          <w:rFonts w:ascii="Arial" w:hAnsi="Arial" w:cs="Arial"/>
          <w:sz w:val="21"/>
          <w:szCs w:val="21"/>
        </w:rPr>
        <w:t>wa</w:t>
      </w:r>
      <w:r w:rsidR="00643BA9">
        <w:rPr>
          <w:rFonts w:ascii="Arial" w:hAnsi="Arial" w:cs="Arial"/>
          <w:sz w:val="21"/>
          <w:szCs w:val="21"/>
        </w:rPr>
        <w:t>s common in Tarawa, with almost 30% of the children</w:t>
      </w:r>
      <w:r w:rsidR="00883261">
        <w:rPr>
          <w:rFonts w:ascii="Arial" w:hAnsi="Arial" w:cs="Arial"/>
          <w:sz w:val="21"/>
          <w:szCs w:val="21"/>
        </w:rPr>
        <w:t xml:space="preserve"> under 10 years old</w:t>
      </w:r>
      <w:r w:rsidR="00643BA9">
        <w:rPr>
          <w:rFonts w:ascii="Arial" w:hAnsi="Arial" w:cs="Arial"/>
          <w:sz w:val="21"/>
          <w:szCs w:val="21"/>
        </w:rPr>
        <w:t xml:space="preserve"> having infection. The relationship between TF and ocular </w:t>
      </w:r>
      <w:r w:rsidR="00643BA9">
        <w:rPr>
          <w:rFonts w:ascii="Arial" w:hAnsi="Arial" w:cs="Arial"/>
          <w:i/>
          <w:sz w:val="21"/>
          <w:szCs w:val="21"/>
        </w:rPr>
        <w:t>Ct</w:t>
      </w:r>
      <w:r w:rsidR="00643BA9">
        <w:rPr>
          <w:rFonts w:ascii="Arial" w:hAnsi="Arial" w:cs="Arial"/>
          <w:sz w:val="21"/>
          <w:szCs w:val="21"/>
        </w:rPr>
        <w:t xml:space="preserve"> infection in Tarawa </w:t>
      </w:r>
      <w:r w:rsidR="00CD30B5">
        <w:rPr>
          <w:rFonts w:ascii="Arial" w:hAnsi="Arial" w:cs="Arial"/>
          <w:sz w:val="21"/>
          <w:szCs w:val="21"/>
        </w:rPr>
        <w:t>resembles</w:t>
      </w:r>
      <w:r w:rsidR="00643BA9">
        <w:rPr>
          <w:rFonts w:ascii="Arial" w:hAnsi="Arial" w:cs="Arial"/>
          <w:sz w:val="21"/>
          <w:szCs w:val="21"/>
        </w:rPr>
        <w:t xml:space="preserve"> trachoma-endemic districts in sub-Saharan Africa</w:t>
      </w:r>
      <w:r w:rsidR="00B82A9E">
        <w:rPr>
          <w:rFonts w:ascii="Arial" w:hAnsi="Arial" w:cs="Arial"/>
          <w:sz w:val="21"/>
          <w:szCs w:val="21"/>
        </w:rPr>
        <w:t xml:space="preserve"> </w:t>
      </w:r>
      <w:r w:rsidR="00B82A9E">
        <w:rPr>
          <w:rFonts w:ascii="Arial" w:hAnsi="Arial" w:cs="Arial"/>
          <w:sz w:val="21"/>
          <w:szCs w:val="21"/>
        </w:rPr>
        <w:fldChar w:fldCharType="begin" w:fldLock="1"/>
      </w:r>
      <w:r w:rsidR="004D440E">
        <w:rPr>
          <w:rFonts w:ascii="Arial" w:hAnsi="Arial" w:cs="Arial"/>
          <w:sz w:val="21"/>
          <w:szCs w:val="21"/>
        </w:rPr>
        <w:instrText>ADDIN CSL_CITATION {"citationItems":[{"id":"ITEM-1","itemData":{"DOI":"10.1371/journal.pntd.0005080","ISSN":"1935-2735","author":[{"dropping-particle":"","family":"Ramadhani","given":"Athumani M.","non-dropping-particle":"","parse-names":false,"suffix":""},{"dropping-particle":"","family":"Derrick","given":"Tamsyn","non-dropping-particle":"","parse-names":false,"suffix":""},{"dropping-particle":"","family":"Macleod","given":"David","non-dropping-particle":"","parse-names":false,"suffix":""},{"dropping-particle":"","family":"Holland","given":"Martin J.","non-dropping-particle":"","parse-names":false,"suffix":""},{"dropping-particle":"","family":"Burton","given":"Matthew J.","non-dropping-particle":"","parse-names":false,"suffix":""}],"container-title":"PLOS Neglected Tropical Diseases","id":"ITEM-1","issue":"10","issued":{"date-parts":[["2016"]]},"title":"The Relationship between Active Trachoma and Ocular Chlamydia trachomatis Infection before and after Mass Antibiotic Treatment","type":"article-journal","volume":"10"},"uris":["http://www.mendeley.com/documents/?uuid=75cc304a-86b5-3d31-bc1f-0a456104ffa5"]}],"mendeley":{"formattedCitation":"[34]","plainTextFormattedCitation":"[34]","previouslyFormattedCitation":"[34]"},"properties":{"noteIndex":0},"schema":"https://github.com/citation-style-language/schema/raw/master/csl-citation.json"}</w:instrText>
      </w:r>
      <w:r w:rsidR="00B82A9E">
        <w:rPr>
          <w:rFonts w:ascii="Arial" w:hAnsi="Arial" w:cs="Arial"/>
          <w:sz w:val="21"/>
          <w:szCs w:val="21"/>
        </w:rPr>
        <w:fldChar w:fldCharType="separate"/>
      </w:r>
      <w:r w:rsidR="00D3307C" w:rsidRPr="00D3307C">
        <w:rPr>
          <w:rFonts w:ascii="Arial" w:hAnsi="Arial" w:cs="Arial"/>
          <w:noProof/>
          <w:sz w:val="21"/>
          <w:szCs w:val="21"/>
        </w:rPr>
        <w:t>[34]</w:t>
      </w:r>
      <w:r w:rsidR="00B82A9E">
        <w:rPr>
          <w:rFonts w:ascii="Arial" w:hAnsi="Arial" w:cs="Arial"/>
          <w:sz w:val="21"/>
          <w:szCs w:val="21"/>
        </w:rPr>
        <w:fldChar w:fldCharType="end"/>
      </w:r>
      <w:r w:rsidR="00B82A9E">
        <w:rPr>
          <w:rFonts w:ascii="Arial" w:hAnsi="Arial" w:cs="Arial"/>
          <w:color w:val="000000" w:themeColor="text1"/>
          <w:sz w:val="21"/>
          <w:szCs w:val="21"/>
        </w:rPr>
        <w:t xml:space="preserve">. </w:t>
      </w:r>
      <w:r w:rsidR="00643BA9">
        <w:rPr>
          <w:rFonts w:ascii="Arial" w:hAnsi="Arial" w:cs="Arial"/>
          <w:sz w:val="21"/>
          <w:szCs w:val="21"/>
        </w:rPr>
        <w:t xml:space="preserve">In contrast, the relationship between ocular </w:t>
      </w:r>
      <w:r w:rsidR="00643BA9">
        <w:rPr>
          <w:rFonts w:ascii="Arial" w:hAnsi="Arial" w:cs="Arial"/>
          <w:i/>
          <w:sz w:val="21"/>
          <w:szCs w:val="21"/>
        </w:rPr>
        <w:t xml:space="preserve">Ct </w:t>
      </w:r>
      <w:r w:rsidR="00643BA9">
        <w:rPr>
          <w:rFonts w:ascii="Arial" w:hAnsi="Arial" w:cs="Arial"/>
          <w:sz w:val="21"/>
          <w:szCs w:val="21"/>
        </w:rPr>
        <w:t xml:space="preserve">infection and TF </w:t>
      </w:r>
      <w:r w:rsidR="009012FB">
        <w:rPr>
          <w:rFonts w:ascii="Arial" w:hAnsi="Arial" w:cs="Arial"/>
          <w:sz w:val="21"/>
          <w:szCs w:val="21"/>
        </w:rPr>
        <w:t xml:space="preserve">in Vanuatu </w:t>
      </w:r>
      <w:r w:rsidR="00643BA9">
        <w:rPr>
          <w:rFonts w:ascii="Arial" w:hAnsi="Arial" w:cs="Arial"/>
          <w:sz w:val="21"/>
          <w:szCs w:val="21"/>
        </w:rPr>
        <w:t>resembles findings from neighbouring Solomon Islands and Papua New Guinea</w:t>
      </w:r>
      <w:r w:rsidR="00AF554B">
        <w:rPr>
          <w:rFonts w:ascii="Arial" w:hAnsi="Arial" w:cs="Arial"/>
          <w:sz w:val="21"/>
          <w:szCs w:val="21"/>
        </w:rPr>
        <w:t xml:space="preserve"> </w:t>
      </w:r>
      <w:r w:rsidR="009044A4">
        <w:rPr>
          <w:rFonts w:ascii="Arial" w:hAnsi="Arial" w:cs="Arial"/>
          <w:sz w:val="21"/>
          <w:szCs w:val="21"/>
        </w:rPr>
        <w:fldChar w:fldCharType="begin" w:fldLock="1"/>
      </w:r>
      <w:r w:rsidR="004D440E">
        <w:rPr>
          <w:rFonts w:ascii="Arial" w:hAnsi="Arial" w:cs="Arial"/>
          <w:sz w:val="21"/>
          <w:szCs w:val="21"/>
        </w:rPr>
        <w:instrText>ADDIN CSL_CITATION {"citationItems":[{"id":"ITEM-1","itemData":{"DOI":"10.1371/journal.pntd.0005051","ISSN":"1935-2735","PMID":"27695076","abstract":"BACKGROUND Trachoma is endemic in several Pacific Island states. Recent surveys across the Solomon Islands indicated that whilst trachomatous inflammation-follicular (TF) was present at levels warranting intervention, the prevalence of trachomatous trichiasis (TT) was low. We set out to determine the relationship between chlamydial infection and trachoma in this population. METHODS We conducted a population-based trachoma prevalence survey of 3674 individuals from two Solomon Islands provinces. Participants were examined for clinical signs of trachoma. Conjunctival swabs were collected from all children aged 1-9 years. We tested swabs for Chlamydia trachomatis (Ct) DNA using droplet digital PCR. Chlamydial DNA from positive swabs was enriched and sequenced for use in phylogenetic analysis. RESULTS We observed a moderate prevalence of TF in children aged 1-9 years (n = 296/1135, 26.1%) but low prevalence of trachomatous inflammation-intense (TI) (n = 2/1135, 0.2%) and current Ct infection (n = 13/1002, 1.3%) in children aged 1-9 years, and TT in those aged 15+ years (n = 2/2061, 0.1%). Ten of 13 (76.9%) cases of infection were in persons with TF or TI (p = 0.0005). Sequence analysis of the Ct-positive samples yielded 5/13 (38%) complete (&gt;95% coverage of reference) genome sequences, and 8/13 complete plasmid sequences. Complete sequences all aligned most closely to ocular serovar reference strains. DISCUSSION The low prevalence of TT, TI and Ct infection that we observed are incongruent with the high proportion of children exhibiting signs of TF. TF is present at levels that apparently warrant intervention, but the scarcity of other signs of trachoma indicates the phenotype is mild and may not pose a significant public health threat. Our data suggest that, whilst conjunctival Ct infection appears to be present in the region, it is present at levels that are unlikely to be the dominant driving force for TF in the population. This could be one reason for the low prevalence of TT observed during the study.","author":[{"dropping-particle":"","family":"Butcher","given":"Robert M R","non-dropping-particle":"","parse-names":false,"suffix":""},{"dropping-particle":"","family":"Sokana","given":"Oliver","non-dropping-particle":"","parse-names":false,"suffix":""},{"dropping-particle":"","family":"Jack","given":"Kelvin","non-dropping-particle":"","parse-names":false,"suffix":""},{"dropping-particle":"","family":"Macleod","given":"Colin K","non-dropping-particle":"","parse-names":false,"suffix":""},{"dropping-particle":"","family":"Marks","given":"Michael E","non-dropping-particle":"","parse-names":false,"suffix":""},{"dropping-particle":"","family":"Kalae","given":"Eric","non-dropping-particle":"","parse-names":false,"suffix":""},{"dropping-particle":"","family":"Sui","given":"Leslie","non-dropping-particle":"","parse-names":false,"suffix":""},{"dropping-particle":"","family":"Russell","given":"Charles","non-dropping-particle":"","parse-names":false,"suffix":""},{"dropping-particle":"","family":"Tutill","given":"Helena J","non-dropping-particle":"","parse-names":false,"suffix":""},{"dropping-particle":"","family":"Williams","given":"Rachel J","non-dropping-particle":"","parse-names":false,"suffix":""},{"dropping-particle":"","family":"Breuer","given":"Judith","non-dropping-particle":"","parse-names":false,"suffix":""},{"dropping-particle":"","family":"Willis","given":"Rebecca","non-dropping-particle":"","parse-names":false,"suffix":""},{"dropping-particle":"","family":"Mesurier","given":"Richard T","non-dropping-particle":"Le","parse-names":false,"suffix":""},{"dropping-particle":"","family":"Mabey","given":"David C W","non-dropping-particle":"","parse-names":false,"suffix":""},{"dropping-particle":"","family":"Solomon","given":"Anthony W","non-dropping-particle":"","parse-names":false,"suffix":""},{"dropping-particle":"","family":"Roberts","given":"Chrissy H","non-dropping-particle":"","parse-names":false,"suffix":""}],"container-title":"PLoS Neglected Tropical Diseases","id":"ITEM-1","issue":"9","issued":{"date-parts":[["2016"]]},"page":"e0004863","title":"Low Prevalence of Conjunctival Infection with Chlamydia trachomatis in a Treatment-Naïve Trachoma-Endemic Region of the Solomon Islands.","type":"article-journal","volume":"10"},"uris":["http://www.mendeley.com/documents/?uuid=202c233c-eebb-45fa-832e-bbc8e9c9acd0"]},{"id":"ITEM-2","itemData":{"author":[{"dropping-particle":"","family":"Macleod","given":"Colin K","non-dropping-particle":"","parse-names":false,"suffix":""},{"dropping-particle":"","family":"Butcher","given":"Robert","non-dropping-particle":"","parse-names":false,"suffix":""},{"dropping-particle":"","family":"Javati","given":"Sarah","non-dropping-particle":"","parse-names":false,"suffix":""},{"dropping-particle":"","family":"Gwyn","given":"Sarah","non-dropping-particle":"","parse-names":false,"suffix":""},{"dropping-particle":"","family":"Jonduo","given":"Marinjho","non-dropping-particle":"","parse-names":false,"suffix":""},{"dropping-particle":"","family":"Abdad","given":"Yazid","non-dropping-particle":"","parse-names":false,"suffix":""},{"dropping-particle":"","family":"Roberts","given":"Chrissy h","non-dropping-particle":"","parse-names":false,"suffix":""},{"dropping-particle":"","family":"Keys","given":"Drew","non-dropping-particle":"","parse-names":false,"suffix":""},{"dropping-particle":"","family":"Koim","given":"Samuel Peter","non-dropping-particle":"","parse-names":false,"suffix":""},{"dropping-particle":"","family":"Ko","given":"Robert","non-dropping-particle":"","parse-names":false,"suffix":""},{"dropping-particle":"","family":"Pahau","given":"David","non-dropping-particle":"","parse-names":false,"suffix":""},{"dropping-particle":"","family":"Houinei","given":"Wendy","non-dropping-particle":"","parse-names":false,"suffix":""},{"dropping-particle":"","family":"Garap","given":"Jambi","non-dropping-particle":"","parse-names":false,"suffix":""},{"dropping-particle":"","family":"Martin","given":"Diana","non-dropping-particle":"","parse-names":false,"suffix":""},{"dropping-particle":"","family":"Pomat","given":"William S","non-dropping-particle":"","parse-names":false,"suffix":""},{"dropping-particle":"","family":"Solomon","given":"Anthony W","non-dropping-particle":"","parse-names":false,"suffix":""}],"container-title":"Clinical Microbiology and Infection","id":"ITEM-2","issued":{"date-parts":[["2019"]]},"title":"Ocular Chlamydia trachomatis infection, anti-Pgp3 serology, and trachoma in Papua New Guinea.","type":"article-journal","volume":"manuscript"},"uris":["http://www.mendeley.com/documents/?uuid=0c6e0892-ac6d-4f3d-86d9-08d96f6f6ae9"]}],"mendeley":{"formattedCitation":"[17,35]","plainTextFormattedCitation":"[17,35]","previouslyFormattedCitation":"[17,35]"},"properties":{"noteIndex":0},"schema":"https://github.com/citation-style-language/schema/raw/master/csl-citation.json"}</w:instrText>
      </w:r>
      <w:r w:rsidR="009044A4">
        <w:rPr>
          <w:rFonts w:ascii="Arial" w:hAnsi="Arial" w:cs="Arial"/>
          <w:sz w:val="21"/>
          <w:szCs w:val="21"/>
        </w:rPr>
        <w:fldChar w:fldCharType="separate"/>
      </w:r>
      <w:r w:rsidR="00D3307C" w:rsidRPr="00D3307C">
        <w:rPr>
          <w:rFonts w:ascii="Arial" w:hAnsi="Arial" w:cs="Arial"/>
          <w:noProof/>
          <w:sz w:val="21"/>
          <w:szCs w:val="21"/>
        </w:rPr>
        <w:t>[17,35]</w:t>
      </w:r>
      <w:r w:rsidR="009044A4">
        <w:rPr>
          <w:rFonts w:ascii="Arial" w:hAnsi="Arial" w:cs="Arial"/>
          <w:sz w:val="21"/>
          <w:szCs w:val="21"/>
        </w:rPr>
        <w:fldChar w:fldCharType="end"/>
      </w:r>
      <w:r w:rsidR="00B82A9E">
        <w:rPr>
          <w:rFonts w:ascii="Arial" w:hAnsi="Arial" w:cs="Arial"/>
          <w:sz w:val="21"/>
          <w:szCs w:val="21"/>
        </w:rPr>
        <w:t xml:space="preserve">, with the ocular </w:t>
      </w:r>
      <w:r w:rsidR="00B82A9E">
        <w:rPr>
          <w:rFonts w:ascii="Arial" w:hAnsi="Arial" w:cs="Arial"/>
          <w:i/>
          <w:iCs/>
          <w:sz w:val="21"/>
          <w:szCs w:val="21"/>
        </w:rPr>
        <w:t xml:space="preserve">Ct </w:t>
      </w:r>
      <w:r w:rsidR="00B82A9E">
        <w:rPr>
          <w:rFonts w:ascii="Arial" w:hAnsi="Arial" w:cs="Arial"/>
          <w:sz w:val="21"/>
          <w:szCs w:val="21"/>
        </w:rPr>
        <w:t xml:space="preserve">infection prevalence being </w:t>
      </w:r>
      <w:r w:rsidR="00883261">
        <w:rPr>
          <w:rFonts w:ascii="Arial" w:hAnsi="Arial" w:cs="Arial"/>
          <w:sz w:val="21"/>
          <w:szCs w:val="21"/>
        </w:rPr>
        <w:t xml:space="preserve">considerably </w:t>
      </w:r>
      <w:r w:rsidR="00B82A9E">
        <w:rPr>
          <w:rFonts w:ascii="Arial" w:hAnsi="Arial" w:cs="Arial"/>
          <w:sz w:val="21"/>
          <w:szCs w:val="21"/>
        </w:rPr>
        <w:t>lower than the prevalence of TF.</w:t>
      </w:r>
      <w:r w:rsidR="00643BA9">
        <w:rPr>
          <w:rFonts w:ascii="Arial" w:hAnsi="Arial" w:cs="Arial"/>
          <w:sz w:val="21"/>
          <w:szCs w:val="21"/>
        </w:rPr>
        <w:t xml:space="preserve"> </w:t>
      </w:r>
      <w:r w:rsidR="00B82A9E">
        <w:rPr>
          <w:rFonts w:ascii="Arial" w:hAnsi="Arial" w:cs="Arial"/>
          <w:sz w:val="21"/>
          <w:szCs w:val="21"/>
        </w:rPr>
        <w:t xml:space="preserve">Notably, the absence of association between TF and anti-Pgp3 antibody </w:t>
      </w:r>
      <w:r w:rsidR="00186B12">
        <w:rPr>
          <w:rFonts w:ascii="Arial" w:hAnsi="Arial" w:cs="Arial"/>
          <w:sz w:val="21"/>
          <w:szCs w:val="21"/>
        </w:rPr>
        <w:t xml:space="preserve">in Vanuatu </w:t>
      </w:r>
      <w:r w:rsidR="00B82A9E">
        <w:rPr>
          <w:rFonts w:ascii="Arial" w:hAnsi="Arial" w:cs="Arial"/>
          <w:sz w:val="21"/>
          <w:szCs w:val="21"/>
        </w:rPr>
        <w:t xml:space="preserve">suggests that TF </w:t>
      </w:r>
      <w:r w:rsidR="00186B12">
        <w:rPr>
          <w:rFonts w:ascii="Arial" w:hAnsi="Arial" w:cs="Arial"/>
          <w:sz w:val="21"/>
          <w:szCs w:val="21"/>
        </w:rPr>
        <w:t xml:space="preserve">there </w:t>
      </w:r>
      <w:r w:rsidR="00B82A9E">
        <w:rPr>
          <w:rFonts w:ascii="Arial" w:hAnsi="Arial" w:cs="Arial"/>
          <w:sz w:val="21"/>
          <w:szCs w:val="21"/>
        </w:rPr>
        <w:t>may have an alternative, non-chlamydial cause.</w:t>
      </w:r>
      <w:r w:rsidR="001676CD" w:rsidRPr="001676CD">
        <w:rPr>
          <w:rFonts w:ascii="Arial" w:hAnsi="Arial" w:cs="Arial"/>
          <w:sz w:val="21"/>
          <w:szCs w:val="21"/>
        </w:rPr>
        <w:t xml:space="preserve"> </w:t>
      </w:r>
      <w:r w:rsidR="001676CD">
        <w:rPr>
          <w:rFonts w:ascii="Arial" w:hAnsi="Arial" w:cs="Arial"/>
          <w:sz w:val="21"/>
          <w:szCs w:val="21"/>
        </w:rPr>
        <w:t xml:space="preserve">Data from the Solomon Islands investigating this pattern suggest that </w:t>
      </w:r>
      <w:r w:rsidR="008D7D70">
        <w:rPr>
          <w:rFonts w:ascii="Arial" w:hAnsi="Arial" w:cs="Arial"/>
          <w:sz w:val="21"/>
          <w:szCs w:val="21"/>
        </w:rPr>
        <w:t xml:space="preserve">the </w:t>
      </w:r>
      <w:r w:rsidR="001676CD">
        <w:rPr>
          <w:rFonts w:ascii="Arial" w:hAnsi="Arial" w:cs="Arial"/>
          <w:sz w:val="21"/>
          <w:szCs w:val="21"/>
        </w:rPr>
        <w:t xml:space="preserve">cause may not be bacterial </w:t>
      </w:r>
      <w:r w:rsidR="001676CD">
        <w:rPr>
          <w:rFonts w:ascii="Arial" w:hAnsi="Arial" w:cs="Arial"/>
          <w:sz w:val="21"/>
          <w:szCs w:val="21"/>
        </w:rPr>
        <w:fldChar w:fldCharType="begin" w:fldLock="1"/>
      </w:r>
      <w:r w:rsidR="004D440E">
        <w:rPr>
          <w:rFonts w:ascii="Arial" w:hAnsi="Arial" w:cs="Arial"/>
          <w:sz w:val="21"/>
          <w:szCs w:val="21"/>
        </w:rPr>
        <w:instrText>ADDIN CSL_CITATION {"citationItems":[{"id":"ITEM-1","itemData":{"DOI":"10.3389/fmed.2017.00251","author":[{"dropping-particle":"","family":"Butcher","given":"Robert M R","non-dropping-particle":"","parse-names":false,"suffix":""},{"dropping-particle":"","family":"Sokana","given":"Oliver","non-dropping-particle":"","parse-names":false,"suffix":""},{"dropping-particle":"","family":"Jack","given":"Kelvin","non-dropping-particle":"","parse-names":false,"suffix":""},{"dropping-particle":"","family":"Kalae","given":"Eric","non-dropping-particle":"","parse-names":false,"suffix":""},{"dropping-particle":"","family":"Sui","given":"Leslie","non-dropping-particle":"","parse-names":false,"suffix":""},{"dropping-particle":"","family":"Russell","given":"Charles","non-dropping-particle":"","parse-names":false,"suffix":""},{"dropping-particle":"","family":"Houghton","given":"Joanna","non-dropping-particle":"","parse-names":false,"suffix":""},{"dropping-particle":"","family":"Palmer","given":"Christine","non-dropping-particle":"","parse-names":false,"suffix":""},{"dropping-particle":"","family":"Holland","given":"Martin J","non-dropping-particle":"","parse-names":false,"suffix":""},{"dropping-particle":"","family":"Mesurier","given":"Richard T","non-dropping-particle":"Le","parse-names":false,"suffix":""},{"dropping-particle":"","family":"Solomon","given":"Anthony W","non-dropping-particle":"","parse-names":false,"suffix":""},{"dropping-particle":"","family":"Mabey","given":"David C W","non-dropping-particle":"","parse-names":false,"suffix":""},{"dropping-particle":"","family":"Roberts","given":"Ch","non-dropping-particle":"","parse-names":false,"suffix":""}],"container-title":"Frontiers in Medicine","id":"ITEM-1","issued":{"date-parts":[["2018"]]},"page":"251","title":"Active trachoma cases in the Solomon Islands have varied polymicrobial community structures but do not associate with individual non-chlamydial pathogens of the eye.","type":"article-journal","volume":"4"},"uris":["http://www.mendeley.com/documents/?uuid=7943ee4c-3bcf-49cd-bd73-6f2060907a87"]}],"mendeley":{"formattedCitation":"[36]","plainTextFormattedCitation":"[36]","previouslyFormattedCitation":"[36]"},"properties":{"noteIndex":0},"schema":"https://github.com/citation-style-language/schema/raw/master/csl-citation.json"}</w:instrText>
      </w:r>
      <w:r w:rsidR="001676CD">
        <w:rPr>
          <w:rFonts w:ascii="Arial" w:hAnsi="Arial" w:cs="Arial"/>
          <w:sz w:val="21"/>
          <w:szCs w:val="21"/>
        </w:rPr>
        <w:fldChar w:fldCharType="separate"/>
      </w:r>
      <w:r w:rsidR="00D3307C" w:rsidRPr="00D3307C">
        <w:rPr>
          <w:rFonts w:ascii="Arial" w:hAnsi="Arial" w:cs="Arial"/>
          <w:noProof/>
          <w:sz w:val="21"/>
          <w:szCs w:val="21"/>
        </w:rPr>
        <w:t>[36]</w:t>
      </w:r>
      <w:r w:rsidR="001676CD">
        <w:rPr>
          <w:rFonts w:ascii="Arial" w:hAnsi="Arial" w:cs="Arial"/>
          <w:sz w:val="21"/>
          <w:szCs w:val="21"/>
        </w:rPr>
        <w:fldChar w:fldCharType="end"/>
      </w:r>
      <w:r w:rsidR="001676CD">
        <w:rPr>
          <w:rFonts w:ascii="Arial" w:hAnsi="Arial" w:cs="Arial"/>
          <w:sz w:val="21"/>
          <w:szCs w:val="21"/>
        </w:rPr>
        <w:t>.</w:t>
      </w:r>
      <w:r w:rsidR="00227909">
        <w:rPr>
          <w:rFonts w:ascii="Arial" w:hAnsi="Arial" w:cs="Arial"/>
          <w:sz w:val="21"/>
          <w:szCs w:val="21"/>
        </w:rPr>
        <w:t xml:space="preserve"> </w:t>
      </w:r>
      <w:r w:rsidR="00823365">
        <w:rPr>
          <w:rFonts w:ascii="Arial" w:hAnsi="Arial" w:cs="Arial"/>
          <w:sz w:val="21"/>
          <w:szCs w:val="21"/>
        </w:rPr>
        <w:t>Ano</w:t>
      </w:r>
      <w:r w:rsidR="00227909">
        <w:rPr>
          <w:rFonts w:ascii="Arial" w:hAnsi="Arial" w:cs="Arial"/>
          <w:sz w:val="21"/>
          <w:szCs w:val="21"/>
        </w:rPr>
        <w:t>ther marker of interest for assessing severity of disease is inflammation. Inflammation is consistently demonstrated to be associated with incidence and progression of scarring in longitudinal studies and prevalence and load of</w:t>
      </w:r>
      <w:r w:rsidR="00A64151">
        <w:rPr>
          <w:rFonts w:ascii="Arial" w:hAnsi="Arial" w:cs="Arial"/>
          <w:sz w:val="21"/>
          <w:szCs w:val="21"/>
        </w:rPr>
        <w:t xml:space="preserve"> </w:t>
      </w:r>
      <w:r w:rsidR="00A64151">
        <w:rPr>
          <w:rFonts w:ascii="Arial" w:hAnsi="Arial" w:cs="Arial"/>
          <w:i/>
          <w:iCs/>
          <w:sz w:val="21"/>
          <w:szCs w:val="21"/>
        </w:rPr>
        <w:t>Ct</w:t>
      </w:r>
      <w:r w:rsidR="00227909">
        <w:rPr>
          <w:rFonts w:ascii="Arial" w:hAnsi="Arial" w:cs="Arial"/>
          <w:sz w:val="21"/>
          <w:szCs w:val="21"/>
        </w:rPr>
        <w:t xml:space="preserve"> infection are higher in people with TI</w:t>
      </w:r>
      <w:r w:rsidR="00A64151">
        <w:rPr>
          <w:rFonts w:ascii="Arial" w:hAnsi="Arial" w:cs="Arial"/>
          <w:sz w:val="21"/>
          <w:szCs w:val="21"/>
        </w:rPr>
        <w:t xml:space="preserve">. In this study, the TI prevalence did not differ between 1–9-year-olds in Kiribati and in Vanuatu. </w:t>
      </w:r>
    </w:p>
    <w:p w14:paraId="4A68CE70" w14:textId="77777777" w:rsidR="00B82A9E" w:rsidRDefault="00B82A9E" w:rsidP="008B5BE3">
      <w:pPr>
        <w:spacing w:line="480" w:lineRule="auto"/>
        <w:jc w:val="both"/>
        <w:rPr>
          <w:rFonts w:ascii="Arial" w:hAnsi="Arial" w:cs="Arial"/>
          <w:sz w:val="21"/>
          <w:szCs w:val="21"/>
        </w:rPr>
      </w:pPr>
    </w:p>
    <w:p w14:paraId="5B7DF853" w14:textId="2624BBFA" w:rsidR="00B82A9E" w:rsidRPr="00B82A9E" w:rsidRDefault="003044C1" w:rsidP="008B5BE3">
      <w:pPr>
        <w:spacing w:line="480" w:lineRule="auto"/>
        <w:jc w:val="both"/>
        <w:rPr>
          <w:rFonts w:ascii="Arial" w:hAnsi="Arial" w:cs="Arial"/>
          <w:sz w:val="21"/>
          <w:szCs w:val="21"/>
        </w:rPr>
      </w:pPr>
      <w:r>
        <w:rPr>
          <w:rFonts w:ascii="Arial" w:hAnsi="Arial" w:cs="Arial"/>
          <w:sz w:val="21"/>
          <w:szCs w:val="21"/>
        </w:rPr>
        <w:t>The age-specific anti-Pgp3 seroprevalence</w:t>
      </w:r>
      <w:r w:rsidR="00367774">
        <w:rPr>
          <w:rFonts w:ascii="Arial" w:hAnsi="Arial" w:cs="Arial"/>
          <w:sz w:val="21"/>
          <w:szCs w:val="21"/>
        </w:rPr>
        <w:t xml:space="preserve"> </w:t>
      </w:r>
      <w:r w:rsidR="00883261">
        <w:rPr>
          <w:rFonts w:ascii="Arial" w:hAnsi="Arial" w:cs="Arial"/>
          <w:sz w:val="21"/>
          <w:szCs w:val="21"/>
        </w:rPr>
        <w:t xml:space="preserve">curve </w:t>
      </w:r>
      <w:r w:rsidR="00367774">
        <w:rPr>
          <w:rFonts w:ascii="Arial" w:hAnsi="Arial" w:cs="Arial"/>
          <w:sz w:val="21"/>
          <w:szCs w:val="21"/>
        </w:rPr>
        <w:t>in Tarawa</w:t>
      </w:r>
      <w:r>
        <w:rPr>
          <w:rFonts w:ascii="Arial" w:hAnsi="Arial" w:cs="Arial"/>
          <w:sz w:val="21"/>
          <w:szCs w:val="21"/>
        </w:rPr>
        <w:t xml:space="preserve"> suggests </w:t>
      </w:r>
      <w:r w:rsidR="00883261">
        <w:rPr>
          <w:rFonts w:ascii="Arial" w:hAnsi="Arial" w:cs="Arial"/>
          <w:sz w:val="21"/>
          <w:szCs w:val="21"/>
        </w:rPr>
        <w:t>a cumulative</w:t>
      </w:r>
      <w:r>
        <w:rPr>
          <w:rFonts w:ascii="Arial" w:hAnsi="Arial" w:cs="Arial"/>
          <w:sz w:val="21"/>
          <w:szCs w:val="21"/>
        </w:rPr>
        <w:t xml:space="preserve"> exposure </w:t>
      </w:r>
      <w:r w:rsidR="00883261">
        <w:rPr>
          <w:rFonts w:ascii="Arial" w:hAnsi="Arial" w:cs="Arial"/>
          <w:sz w:val="21"/>
          <w:szCs w:val="21"/>
        </w:rPr>
        <w:t xml:space="preserve">to </w:t>
      </w:r>
      <w:r w:rsidR="00883261">
        <w:rPr>
          <w:rFonts w:ascii="Arial" w:hAnsi="Arial" w:cs="Arial"/>
          <w:i/>
          <w:iCs/>
          <w:sz w:val="21"/>
          <w:szCs w:val="21"/>
        </w:rPr>
        <w:t xml:space="preserve">Ct </w:t>
      </w:r>
      <w:r>
        <w:rPr>
          <w:rFonts w:ascii="Arial" w:hAnsi="Arial" w:cs="Arial"/>
          <w:sz w:val="21"/>
          <w:szCs w:val="21"/>
        </w:rPr>
        <w:t xml:space="preserve">over childhood years, culminating in near-universal exposure </w:t>
      </w:r>
      <w:r w:rsidR="008D7D70">
        <w:rPr>
          <w:rFonts w:ascii="Arial" w:hAnsi="Arial" w:cs="Arial"/>
          <w:sz w:val="21"/>
          <w:szCs w:val="21"/>
        </w:rPr>
        <w:t xml:space="preserve">by </w:t>
      </w:r>
      <w:r>
        <w:rPr>
          <w:rFonts w:ascii="Arial" w:hAnsi="Arial" w:cs="Arial"/>
          <w:sz w:val="21"/>
          <w:szCs w:val="21"/>
        </w:rPr>
        <w:t xml:space="preserve">early adolescence. </w:t>
      </w:r>
      <w:r w:rsidR="009012FB">
        <w:rPr>
          <w:rFonts w:ascii="Arial" w:hAnsi="Arial" w:cs="Arial"/>
          <w:sz w:val="21"/>
          <w:szCs w:val="21"/>
        </w:rPr>
        <w:t>This has been observed in a number of infection-endemic settings</w:t>
      </w:r>
      <w:r w:rsidR="009044A4">
        <w:rPr>
          <w:rFonts w:ascii="Arial" w:hAnsi="Arial" w:cs="Arial"/>
          <w:sz w:val="21"/>
          <w:szCs w:val="21"/>
        </w:rPr>
        <w:t xml:space="preserve"> </w:t>
      </w:r>
      <w:r w:rsidR="009044A4">
        <w:rPr>
          <w:rFonts w:ascii="Arial" w:hAnsi="Arial" w:cs="Arial"/>
          <w:sz w:val="21"/>
          <w:szCs w:val="21"/>
        </w:rPr>
        <w:fldChar w:fldCharType="begin" w:fldLock="1"/>
      </w:r>
      <w:r w:rsidR="004D440E">
        <w:rPr>
          <w:rFonts w:ascii="Arial" w:hAnsi="Arial" w:cs="Arial"/>
          <w:sz w:val="21"/>
          <w:szCs w:val="21"/>
        </w:rPr>
        <w:instrText>ADDIN CSL_CITATION {"citationItems":[{"id":"ITEM-1","itemData":{"ISSN":"2045-2322","PMID":"26687891","abstract":"Ocular infection with Chlamydia trachomatis can lead to trachoma, a leading infectious cause of blindness. Trachoma is targeted for elimination by 2020. Clinical grading for ocular disease is currently used for evaluating trachoma elimination programs, but serological surveillance can be a sensitive measure of disease transmission and provide a more objective testing strategy than clinical grading. We calculated the basic reproduction number from serological data in settings with high, medium, and low disease transmission based on clinical disease. The data showed a striking relationship between age seroprevalence and clinical data, demonstrating the proof-of-principle that age seroprevalence predicts transmission rates and therefore could be used as an indicator of decreased transmission of ocular trachoma.","author":[{"dropping-particle":"","family":"Martin","given":"Diana L","non-dropping-particle":"","parse-names":false,"suffix":""},{"dropping-particle":"","family":"Wiegand","given":"Ryan","non-dropping-particle":"","parse-names":false,"suffix":""},{"dropping-particle":"","family":"Goodhew","given":"Brook","non-dropping-particle":"","parse-names":false,"suffix":""},{"dropping-particle":"","family":"Lammie","given":"Patrick","non-dropping-particle":"","parse-names":false,"suffix":""},{"dropping-particle":"","family":"Black","given":"Carolyn M","non-dropping-particle":"","parse-names":false,"suffix":""},{"dropping-particle":"","family":"West","given":"Sheila","non-dropping-particle":"","parse-names":false,"suffix":""},{"dropping-particle":"","family":"Gaydos","given":"Charlotte A","non-dropping-particle":"","parse-names":false,"suffix":""},{"dropping-particle":"","family":"Dize","given":"Laura","non-dropping-particle":"","parse-names":false,"suffix":""},{"dropping-particle":"","family":"Mkocha","given":"Harran","non-dropping-particle":"","parse-names":false,"suffix":""},{"dropping-particle":"","family":"Kasubi","given":"Mabula","non-dropping-particle":"","parse-names":false,"suffix":""},{"dropping-particle":"","family":"Gambhir","given":"Manoj","non-dropping-particle":"","parse-names":false,"suffix":""}],"container-title":"Scientific Reports","id":"ITEM-1","issued":{"date-parts":[["2015"]]},"note":"From Duplicate 1 (Serological Measures of Trachoma Transmission Intensity - Martin, Diana L; Wiegand, Ryan; Goodhew, Brook; Lammie, Patrick; Black, Carolyn M; West, Sheila; Gaydos, Charlotte A; Dize, Laura; Mkocha, Harran; Kasubi, Mabula; Gambhir, Manoj)\n\nTimes Cited: 0\n0","page":"18532","title":"Serological Measures of Trachoma Transmission Intensity","type":"article-journal","volume":"5"},"uris":["http://www.mendeley.com/documents/?uuid=667cb90e-e845-460a-81ba-c7c29537ecfd"]}],"mendeley":{"formattedCitation":"[37]","plainTextFormattedCitation":"[37]","previouslyFormattedCitation":"[37]"},"properties":{"noteIndex":0},"schema":"https://github.com/citation-style-language/schema/raw/master/csl-citation.json"}</w:instrText>
      </w:r>
      <w:r w:rsidR="009044A4">
        <w:rPr>
          <w:rFonts w:ascii="Arial" w:hAnsi="Arial" w:cs="Arial"/>
          <w:sz w:val="21"/>
          <w:szCs w:val="21"/>
        </w:rPr>
        <w:fldChar w:fldCharType="separate"/>
      </w:r>
      <w:r w:rsidR="00D3307C" w:rsidRPr="00D3307C">
        <w:rPr>
          <w:rFonts w:ascii="Arial" w:hAnsi="Arial" w:cs="Arial"/>
          <w:noProof/>
          <w:sz w:val="21"/>
          <w:szCs w:val="21"/>
        </w:rPr>
        <w:t>[37]</w:t>
      </w:r>
      <w:r w:rsidR="009044A4">
        <w:rPr>
          <w:rFonts w:ascii="Arial" w:hAnsi="Arial" w:cs="Arial"/>
          <w:sz w:val="21"/>
          <w:szCs w:val="21"/>
        </w:rPr>
        <w:fldChar w:fldCharType="end"/>
      </w:r>
      <w:r w:rsidR="009012FB">
        <w:rPr>
          <w:rFonts w:ascii="Arial" w:hAnsi="Arial" w:cs="Arial"/>
          <w:sz w:val="21"/>
          <w:szCs w:val="21"/>
        </w:rPr>
        <w:t xml:space="preserve"> including </w:t>
      </w:r>
      <w:r w:rsidR="00754135">
        <w:rPr>
          <w:rFonts w:ascii="Arial" w:hAnsi="Arial" w:cs="Arial"/>
          <w:sz w:val="21"/>
          <w:szCs w:val="21"/>
        </w:rPr>
        <w:t>elsewhere in</w:t>
      </w:r>
      <w:r w:rsidR="009012FB">
        <w:rPr>
          <w:rFonts w:ascii="Arial" w:hAnsi="Arial" w:cs="Arial"/>
          <w:sz w:val="21"/>
          <w:szCs w:val="21"/>
        </w:rPr>
        <w:t xml:space="preserve"> Kiribati </w:t>
      </w:r>
      <w:r w:rsidR="009044A4">
        <w:rPr>
          <w:rFonts w:ascii="Arial" w:hAnsi="Arial" w:cs="Arial"/>
          <w:sz w:val="21"/>
          <w:szCs w:val="21"/>
        </w:rPr>
        <w:fldChar w:fldCharType="begin" w:fldLock="1"/>
      </w:r>
      <w:r w:rsidR="005C6653">
        <w:rPr>
          <w:rFonts w:ascii="Arial" w:hAnsi="Arial" w:cs="Arial"/>
          <w:sz w:val="21"/>
          <w:szCs w:val="21"/>
        </w:rPr>
        <w:instrText>ADDIN CSL_CITATION {"citationItems":[{"id":"ITEM-1","itemData":{"author":[{"dropping-particle":"","family":"Cama","given":"Anaseini","non-dropping-particle":"","parse-names":false,"suffix":""},{"dropping-particle":"","family":"Müller","given":"Andreas","non-dropping-particle":"","parse-names":false,"suffix":""},{"dropping-particle":"","family":"Taoaba","given":"Raebwebwe","non-dropping-particle":"","parse-names":false,"suffix":""},{"dropping-particle":"","family":"Butcher","given":"Robert M R","non-dropping-particle":"","parse-names":false,"suffix":""},{"dropping-particle":"","family":"Itibita","given":"Iakoba","non-dropping-particle":"","parse-names":false,"suffix":""},{"dropping-particle":"","family":"Migchelsen","given":"Stephanie J","non-dropping-particle":"","parse-names":false,"suffix":""},{"dropping-particle":"","family":"Kiauea","given":"Tokoriri","non-dropping-particle":"","parse-names":false,"suffix":""},{"dropping-particle":"","family":"Pickering","given":"Harry","non-dropping-particle":"","parse-names":false,"suffix":""},{"dropping-particle":"","family":"Willis","given":"Rebecca","non-dropping-particle":"","parse-names":false,"suffix":""},{"dropping-particle":"","family":"Roberts","given":"Chrissy h","non-dropping-particle":"","parse-names":false,"suffix":""},{"dropping-particle":"","family":"Bakhtiari","given":"Ana","non-dropping-particle":"","parse-names":false,"suffix":""},{"dropping-particle":"","family":"Mesurier","given":"Richard T","non-dropping-particle":"Le","parse-names":false,"suffix":""},{"dropping-particle":"","family":"Alexander","given":"Neal D","non-dropping-particle":"","parse-names":false,"suffix":""},{"dropping-particle":"","family":"Martin","given":"Diana L","non-dropping-particle":"","parse-names":false,"suffix":""},{"dropping-particle":"","family":"Tekeraoi","given":"Rabebe","non-dropping-particle":"","parse-names":false,"suffix":""},{"dropping-particle":"","family":"Solomon","given":"Anthony W","non-dropping-particle":"","parse-names":false,"suffix":""},{"dropping-particle":"","family":"Global Trachoma Mapping Project","given":"","non-dropping-particle":"","parse-names":false,"suffix":""}],"container-title":"PLoS Neglected Tropical Diseases","id":"ITEM-1","issue":"9","issued":{"date-parts":[["2017"]]},"page":"e0005863","title":"Prevalence of signs of trachoma, ocular Chlamydia trachomatis infection and antibodies to Pgp3 in residents of Kiritimati Island, Kiribati.","type":"article-journal","volume":"11"},"uris":["http://www.mendeley.com/documents/?uuid=bfb00f9c-1d03-4471-ba51-c04f0a88a90a"]}],"mendeley":{"formattedCitation":"[16]","plainTextFormattedCitation":"[16]","previouslyFormattedCitation":"[16]"},"properties":{"noteIndex":0},"schema":"https://github.com/citation-style-language/schema/raw/master/csl-citation.json"}</w:instrText>
      </w:r>
      <w:r w:rsidR="009044A4">
        <w:rPr>
          <w:rFonts w:ascii="Arial" w:hAnsi="Arial" w:cs="Arial"/>
          <w:sz w:val="21"/>
          <w:szCs w:val="21"/>
        </w:rPr>
        <w:fldChar w:fldCharType="separate"/>
      </w:r>
      <w:r w:rsidR="005C6653" w:rsidRPr="005C6653">
        <w:rPr>
          <w:rFonts w:ascii="Arial" w:hAnsi="Arial" w:cs="Arial"/>
          <w:noProof/>
          <w:sz w:val="21"/>
          <w:szCs w:val="21"/>
        </w:rPr>
        <w:t>[16]</w:t>
      </w:r>
      <w:r w:rsidR="009044A4">
        <w:rPr>
          <w:rFonts w:ascii="Arial" w:hAnsi="Arial" w:cs="Arial"/>
          <w:sz w:val="21"/>
          <w:szCs w:val="21"/>
        </w:rPr>
        <w:fldChar w:fldCharType="end"/>
      </w:r>
      <w:r w:rsidR="009012FB">
        <w:rPr>
          <w:rFonts w:ascii="Arial" w:hAnsi="Arial" w:cs="Arial"/>
          <w:sz w:val="21"/>
          <w:szCs w:val="21"/>
        </w:rPr>
        <w:t>.</w:t>
      </w:r>
      <w:r w:rsidR="00B82A9E">
        <w:rPr>
          <w:rFonts w:ascii="Arial" w:hAnsi="Arial" w:cs="Arial"/>
          <w:sz w:val="21"/>
          <w:szCs w:val="21"/>
        </w:rPr>
        <w:t xml:space="preserve"> The SCR suggests </w:t>
      </w:r>
      <w:r w:rsidR="00754135" w:rsidRPr="008257CC">
        <w:rPr>
          <w:rFonts w:ascii="Arial" w:hAnsi="Arial" w:cs="Arial"/>
          <w:i/>
          <w:sz w:val="21"/>
          <w:szCs w:val="21"/>
        </w:rPr>
        <w:t>Ct</w:t>
      </w:r>
      <w:r w:rsidR="00754135">
        <w:rPr>
          <w:rFonts w:ascii="Arial" w:hAnsi="Arial" w:cs="Arial"/>
          <w:sz w:val="21"/>
          <w:szCs w:val="21"/>
        </w:rPr>
        <w:t xml:space="preserve"> </w:t>
      </w:r>
      <w:r w:rsidR="00B82A9E">
        <w:rPr>
          <w:rFonts w:ascii="Arial" w:hAnsi="Arial" w:cs="Arial"/>
          <w:sz w:val="21"/>
          <w:szCs w:val="21"/>
        </w:rPr>
        <w:lastRenderedPageBreak/>
        <w:t xml:space="preserve">transmission is intense in Tarawa. Conversely, </w:t>
      </w:r>
      <w:r w:rsidR="009012FB">
        <w:rPr>
          <w:rFonts w:ascii="Arial" w:hAnsi="Arial" w:cs="Arial"/>
          <w:sz w:val="21"/>
          <w:szCs w:val="21"/>
        </w:rPr>
        <w:t xml:space="preserve">in Vanuatu </w:t>
      </w:r>
      <w:r w:rsidR="00B82A9E">
        <w:rPr>
          <w:rFonts w:ascii="Arial" w:hAnsi="Arial" w:cs="Arial"/>
          <w:sz w:val="21"/>
          <w:szCs w:val="21"/>
        </w:rPr>
        <w:t xml:space="preserve">the low anti-Pgp3 seroprevalence and SCR in children aged 1–9 years suggests overall exposure to and transmission of </w:t>
      </w:r>
      <w:r w:rsidR="00B82A9E">
        <w:rPr>
          <w:rFonts w:ascii="Arial" w:hAnsi="Arial" w:cs="Arial"/>
          <w:i/>
          <w:iCs/>
          <w:sz w:val="21"/>
          <w:szCs w:val="21"/>
        </w:rPr>
        <w:t xml:space="preserve">Ct </w:t>
      </w:r>
      <w:r w:rsidR="00B82A9E">
        <w:rPr>
          <w:rFonts w:ascii="Arial" w:hAnsi="Arial" w:cs="Arial"/>
          <w:sz w:val="21"/>
          <w:szCs w:val="21"/>
        </w:rPr>
        <w:t xml:space="preserve">in this age group </w:t>
      </w:r>
      <w:r w:rsidR="00754135">
        <w:rPr>
          <w:rFonts w:ascii="Arial" w:hAnsi="Arial" w:cs="Arial"/>
          <w:sz w:val="21"/>
          <w:szCs w:val="21"/>
        </w:rPr>
        <w:t>are</w:t>
      </w:r>
      <w:r w:rsidR="00B82A9E">
        <w:rPr>
          <w:rFonts w:ascii="Arial" w:hAnsi="Arial" w:cs="Arial"/>
          <w:sz w:val="21"/>
          <w:szCs w:val="21"/>
        </w:rPr>
        <w:t xml:space="preserve"> low. </w:t>
      </w:r>
      <w:r w:rsidR="008F6530">
        <w:rPr>
          <w:rFonts w:ascii="Arial" w:hAnsi="Arial" w:cs="Arial"/>
          <w:sz w:val="21"/>
          <w:szCs w:val="21"/>
        </w:rPr>
        <w:t xml:space="preserve">Steep increases in </w:t>
      </w:r>
      <w:r w:rsidR="00883261">
        <w:rPr>
          <w:rFonts w:ascii="Arial" w:hAnsi="Arial" w:cs="Arial"/>
          <w:sz w:val="21"/>
          <w:szCs w:val="21"/>
        </w:rPr>
        <w:t>age-specific seroprevalence</w:t>
      </w:r>
      <w:r w:rsidR="008F6530">
        <w:rPr>
          <w:rFonts w:ascii="Arial" w:hAnsi="Arial" w:cs="Arial"/>
          <w:sz w:val="21"/>
          <w:szCs w:val="21"/>
        </w:rPr>
        <w:t xml:space="preserve"> rates are observed in late adolescence and early adulthood. This coincides with the </w:t>
      </w:r>
      <w:r w:rsidR="009622CB">
        <w:rPr>
          <w:rFonts w:ascii="Arial" w:hAnsi="Arial" w:cs="Arial"/>
          <w:sz w:val="21"/>
          <w:szCs w:val="21"/>
        </w:rPr>
        <w:t xml:space="preserve">median </w:t>
      </w:r>
      <w:r w:rsidR="008F6530">
        <w:rPr>
          <w:rFonts w:ascii="Arial" w:hAnsi="Arial" w:cs="Arial"/>
          <w:sz w:val="21"/>
          <w:szCs w:val="21"/>
        </w:rPr>
        <w:t xml:space="preserve">age of sexual debut in Vanuatu </w:t>
      </w:r>
      <w:r w:rsidR="008F6530">
        <w:rPr>
          <w:rFonts w:ascii="Arial" w:hAnsi="Arial" w:cs="Arial"/>
          <w:sz w:val="21"/>
          <w:szCs w:val="21"/>
        </w:rPr>
        <w:fldChar w:fldCharType="begin" w:fldLock="1"/>
      </w:r>
      <w:r w:rsidR="004D440E">
        <w:rPr>
          <w:rFonts w:ascii="Arial" w:hAnsi="Arial" w:cs="Arial"/>
          <w:sz w:val="21"/>
          <w:szCs w:val="21"/>
        </w:rPr>
        <w:instrText>ADDIN CSL_CITATION {"citationItems":[{"id":"ITEM-1","itemData":{"author":[{"dropping-particle":"","family":"Ministry of Health: Vanuatu","given":"","non-dropping-particle":"","parse-names":false,"suffix":""},{"dropping-particle":"","family":"Secretariat of the Pacific Community","given":"","non-dropping-particle":"","parse-names":false,"suffix":""}],"id":"ITEM-1","issued":{"date-parts":[["2008"]]},"number-of-pages":"58","title":"Second generation surveillance of antenatal women, STI clinic clients and youth, Vanuatu, 2008","type":"report"},"uris":["http://www.mendeley.com/documents/?uuid=5fbf305b-490c-4ce1-a5a2-0717a5743caa"]}],"mendeley":{"formattedCitation":"[38]","plainTextFormattedCitation":"[38]","previouslyFormattedCitation":"[38]"},"properties":{"noteIndex":0},"schema":"https://github.com/citation-style-language/schema/raw/master/csl-citation.json"}</w:instrText>
      </w:r>
      <w:r w:rsidR="008F6530">
        <w:rPr>
          <w:rFonts w:ascii="Arial" w:hAnsi="Arial" w:cs="Arial"/>
          <w:sz w:val="21"/>
          <w:szCs w:val="21"/>
        </w:rPr>
        <w:fldChar w:fldCharType="separate"/>
      </w:r>
      <w:r w:rsidR="00D3307C" w:rsidRPr="00D3307C">
        <w:rPr>
          <w:rFonts w:ascii="Arial" w:hAnsi="Arial" w:cs="Arial"/>
          <w:noProof/>
          <w:sz w:val="21"/>
          <w:szCs w:val="21"/>
        </w:rPr>
        <w:t>[38]</w:t>
      </w:r>
      <w:r w:rsidR="008F6530">
        <w:rPr>
          <w:rFonts w:ascii="Arial" w:hAnsi="Arial" w:cs="Arial"/>
          <w:sz w:val="21"/>
          <w:szCs w:val="21"/>
        </w:rPr>
        <w:fldChar w:fldCharType="end"/>
      </w:r>
      <w:r w:rsidR="008F6530">
        <w:rPr>
          <w:rFonts w:ascii="Arial" w:hAnsi="Arial" w:cs="Arial"/>
          <w:sz w:val="21"/>
          <w:szCs w:val="21"/>
        </w:rPr>
        <w:t xml:space="preserve"> and is likely to be attributable to urogenital exposure.</w:t>
      </w:r>
      <w:r w:rsidR="008B68C5">
        <w:rPr>
          <w:rFonts w:ascii="Arial" w:hAnsi="Arial" w:cs="Arial"/>
          <w:sz w:val="21"/>
          <w:szCs w:val="21"/>
        </w:rPr>
        <w:t xml:space="preserve"> Comparing the age-specific seroprevalence </w:t>
      </w:r>
      <w:r w:rsidR="009622CB">
        <w:rPr>
          <w:rFonts w:ascii="Arial" w:hAnsi="Arial" w:cs="Arial"/>
          <w:sz w:val="21"/>
          <w:szCs w:val="21"/>
        </w:rPr>
        <w:t>profiles</w:t>
      </w:r>
      <w:r w:rsidR="008B68C5">
        <w:rPr>
          <w:rFonts w:ascii="Arial" w:hAnsi="Arial" w:cs="Arial"/>
          <w:sz w:val="21"/>
          <w:szCs w:val="21"/>
        </w:rPr>
        <w:t xml:space="preserve"> from Vanuatu to those from the Solomon Islands shows that the mean seroprevalence in 1–9-year-olds and in adults is higher in the Solomon Islands; it is interesting to note that</w:t>
      </w:r>
      <w:r w:rsidR="00186B12">
        <w:rPr>
          <w:rFonts w:ascii="Arial" w:hAnsi="Arial" w:cs="Arial"/>
          <w:sz w:val="21"/>
          <w:szCs w:val="21"/>
        </w:rPr>
        <w:t>, according to some recent estimates,</w:t>
      </w:r>
      <w:r w:rsidR="008B68C5">
        <w:rPr>
          <w:rFonts w:ascii="Arial" w:hAnsi="Arial" w:cs="Arial"/>
          <w:sz w:val="21"/>
          <w:szCs w:val="21"/>
        </w:rPr>
        <w:t xml:space="preserve"> the urogenital </w:t>
      </w:r>
      <w:r w:rsidR="008B68C5">
        <w:rPr>
          <w:rFonts w:ascii="Arial" w:hAnsi="Arial" w:cs="Arial"/>
          <w:i/>
          <w:iCs/>
          <w:sz w:val="21"/>
          <w:szCs w:val="21"/>
        </w:rPr>
        <w:t xml:space="preserve">Ct </w:t>
      </w:r>
      <w:r w:rsidR="008B68C5">
        <w:rPr>
          <w:rFonts w:ascii="Arial" w:hAnsi="Arial" w:cs="Arial"/>
          <w:sz w:val="21"/>
          <w:szCs w:val="21"/>
        </w:rPr>
        <w:t xml:space="preserve">infection rate is also higher in the Solomon Islands than in Vanuatu </w:t>
      </w:r>
      <w:r w:rsidR="008B68C5">
        <w:rPr>
          <w:rFonts w:ascii="Arial" w:hAnsi="Arial" w:cs="Arial"/>
          <w:sz w:val="21"/>
          <w:szCs w:val="21"/>
        </w:rPr>
        <w:fldChar w:fldCharType="begin" w:fldLock="1"/>
      </w:r>
      <w:r w:rsidR="004D440E">
        <w:rPr>
          <w:rFonts w:ascii="Arial" w:hAnsi="Arial" w:cs="Arial"/>
          <w:sz w:val="21"/>
          <w:szCs w:val="21"/>
        </w:rPr>
        <w:instrText>ADDIN CSL_CITATION {"citationItems":[{"id":"ITEM-1","itemData":{"DOI":"10.1136/bmjopen-2014-007276","abstract":"Objectives: This study sought to determine the prevalence of common bacterial sexually transmitted infections, including Chlamydia trachomatis and Neisseria gonorrhoeae, in women attending clinics in the Solomon Islands. Methods: We conducted a sexual health survey among women attending three nurse-led community  outpatient clinics in August 2014, to establish the prevalence of bacterial sexually transmitted infections in female clinic attenders in Honiara, Solomon Islands. Vaginal swab samples were tested for infection with C. trachomatis and N. gonorrhoeae using a commercial strand displacement amplification assay. Serum  samples were tested for syphilis. Results: We enrolled 296 women, aged 16–49, attending three clinics. Knowledge of safe sexual practices was high but reported condom usage was low. The prevalence of infection with C. trachomatis was 20%. The prevalence of infection with N. gonorrhoeae and syphilis were 5.1% and 4.1%,  respectively. Conclusions: Bacterial sexually transmitted infections are a major  health problem in the Solomon Islands. Interventions are urgently needed.","author":[{"dropping-particle":"","family":"Marks","given":"M","non-dropping-particle":"","parse-names":false,"suffix":""},{"dropping-particle":"","family":"Kako","given":"H","non-dropping-particle":"","parse-names":false,"suffix":""},{"dropping-particle":"","family":"Butcher","given":"R","non-dropping-particle":"","parse-names":false,"suffix":""},{"dropping-particle":"","family":"Lauri","given":"B","non-dropping-particle":"","parse-names":false,"suffix":""},{"dropping-particle":"","family":"Puiahi","given":"E","non-dropping-particle":"","parse-names":false,"suffix":""},{"dropping-particle":"","family":"Pitakaka","given":"R","non-dropping-particle":"","parse-names":false,"suffix":""},{"dropping-particle":"","family":"Sokana","given":"O","non-dropping-particle":"","parse-names":false,"suffix":""},{"dropping-particle":"","family":"Kilua","given":"G","non-dropping-particle":"","parse-names":false,"suffix":""},{"dropping-particle":"","family":"Roth","given":"A","non-dropping-particle":"","parse-names":false,"suffix":""},{"dropping-particle":"","family":"Solomon","given":"A W","non-dropping-particle":"","parse-names":false,"suffix":""},{"dropping-particle":"","family":"Mabey","given":"D C","non-dropping-particle":"","parse-names":false,"suffix":""}],"container-title":"BMJ Open","id":"ITEM-1","issue":"4","issued":{"date-parts":[["2015"]]},"language":"eng","title":"Prevalence of sexually transmitted infections in female clinic attendees in Honiara, Solomon Islands.","type":"article-journal","volume":"5"},"uris":["http://www.mendeley.com/documents/?uuid=dd0ff5b9-cb72-4a18-b1ea-d76332fa83d2"]},{"id":"ITEM-2","itemData":{"ISSN":"11758716","abstract":"AIMS: This article argues that sexually transmitted infections (STIs) and HIV/AIDS in Vanuatu are a cause for concern and that a strong response is needed to stem an epidemic. METHODS: Three sources of data are used: studies and policy documents on STIs and HIV/AIDS in Vanuatu; analysis of reported STI cases from public health facilities; and key informant interviews with 14 policy stakeholders. RESULTS: In Port Vila (capital of Vanuatu), more than a quarter of the women attending antenatal clinics were positive for at least one STI. Although Vanuatu Ministry of Health (MoH) case records for gonorrhoea, genital ulceration, and syphilis show national prevalence rates have remained relatively constant between 1.2% and 2%, there is probably gross under-reporting because MoH data exclude trichomoniasis and chlamydiasis cases; surveillance systems are poor; and patient access to services is limited. High STI prevalence and several socioeconomic factors create a high-risk environment for the rapid spread of HIV/AIDS. DISCUSSION: The need for a strategic response in Vanuatu is pressing. Priorities for action include the scaling up of awareness programmes for young people, particularly girls, and the development of surveillance systems. Government capacity weaknesses mean the MoH should explore possible partnerships with the non-government organisation (NGO) sector and point to the need for international support to implement a new government Strategic Plan.","author":[{"dropping-particle":"","family":"Zenner","given":"Dominik","non-dropping-particle":"","parse-names":false,"suffix":""},{"dropping-particle":"","family":"Russell","given":"Steven","non-dropping-particle":"","parse-names":false,"suffix":""}],"container-title":"New Zealand Medical Journal","id":"ITEM-2","issue":"1220","issued":{"date-parts":[["2005"]]},"page":"1-11","title":"Sexually transmitted diseases and HIV/AIDS in Vanuatu: A cause for concern and action","type":"article-journal","volume":"118"},"uris":["http://www.mendeley.com/documents/?uuid=829878b9-e7b3-4f53-bbff-a230d290bf91"]}],"mendeley":{"formattedCitation":"[39,40]","plainTextFormattedCitation":"[39,40]","previouslyFormattedCitation":"[39,40]"},"properties":{"noteIndex":0},"schema":"https://github.com/citation-style-language/schema/raw/master/csl-citation.json"}</w:instrText>
      </w:r>
      <w:r w:rsidR="008B68C5">
        <w:rPr>
          <w:rFonts w:ascii="Arial" w:hAnsi="Arial" w:cs="Arial"/>
          <w:sz w:val="21"/>
          <w:szCs w:val="21"/>
        </w:rPr>
        <w:fldChar w:fldCharType="separate"/>
      </w:r>
      <w:r w:rsidR="00D3307C" w:rsidRPr="00D3307C">
        <w:rPr>
          <w:rFonts w:ascii="Arial" w:hAnsi="Arial" w:cs="Arial"/>
          <w:noProof/>
          <w:sz w:val="21"/>
          <w:szCs w:val="21"/>
        </w:rPr>
        <w:t>[39,40]</w:t>
      </w:r>
      <w:r w:rsidR="008B68C5">
        <w:rPr>
          <w:rFonts w:ascii="Arial" w:hAnsi="Arial" w:cs="Arial"/>
          <w:sz w:val="21"/>
          <w:szCs w:val="21"/>
        </w:rPr>
        <w:fldChar w:fldCharType="end"/>
      </w:r>
      <w:r w:rsidR="008B68C5">
        <w:rPr>
          <w:rFonts w:ascii="Arial" w:hAnsi="Arial" w:cs="Arial"/>
          <w:sz w:val="21"/>
          <w:szCs w:val="21"/>
        </w:rPr>
        <w:t>.</w:t>
      </w:r>
      <w:r w:rsidR="008F6530">
        <w:rPr>
          <w:rFonts w:ascii="Arial" w:hAnsi="Arial" w:cs="Arial"/>
          <w:sz w:val="21"/>
          <w:szCs w:val="21"/>
        </w:rPr>
        <w:t xml:space="preserve"> </w:t>
      </w:r>
    </w:p>
    <w:p w14:paraId="16D869AA" w14:textId="77777777" w:rsidR="00B82A9E" w:rsidRDefault="00B82A9E" w:rsidP="008B5BE3">
      <w:pPr>
        <w:spacing w:line="480" w:lineRule="auto"/>
        <w:jc w:val="both"/>
        <w:rPr>
          <w:rFonts w:ascii="Arial" w:hAnsi="Arial" w:cs="Arial"/>
          <w:sz w:val="21"/>
          <w:szCs w:val="21"/>
        </w:rPr>
      </w:pPr>
    </w:p>
    <w:p w14:paraId="5EADBE05" w14:textId="32D75DC5" w:rsidR="003C429A" w:rsidRDefault="009012FB" w:rsidP="008B5BE3">
      <w:pPr>
        <w:spacing w:line="480" w:lineRule="auto"/>
        <w:jc w:val="both"/>
        <w:rPr>
          <w:rFonts w:ascii="Arial" w:hAnsi="Arial" w:cs="Arial"/>
          <w:sz w:val="21"/>
          <w:szCs w:val="21"/>
        </w:rPr>
      </w:pPr>
      <w:r>
        <w:rPr>
          <w:rFonts w:ascii="Arial" w:hAnsi="Arial" w:cs="Arial"/>
          <w:sz w:val="21"/>
          <w:szCs w:val="21"/>
        </w:rPr>
        <w:t>Overall, the prevalence of infection and scar</w:t>
      </w:r>
      <w:r w:rsidR="009044A4">
        <w:rPr>
          <w:rFonts w:ascii="Arial" w:hAnsi="Arial" w:cs="Arial"/>
          <w:sz w:val="21"/>
          <w:szCs w:val="21"/>
        </w:rPr>
        <w:t xml:space="preserve">ing </w:t>
      </w:r>
      <w:r>
        <w:rPr>
          <w:rFonts w:ascii="Arial" w:hAnsi="Arial" w:cs="Arial"/>
          <w:sz w:val="21"/>
          <w:szCs w:val="21"/>
        </w:rPr>
        <w:t xml:space="preserve">in Tarawa support the clinical data in justifying ongoing </w:t>
      </w:r>
      <w:r w:rsidR="00754135">
        <w:rPr>
          <w:rFonts w:ascii="Arial" w:hAnsi="Arial" w:cs="Arial"/>
          <w:sz w:val="21"/>
          <w:szCs w:val="21"/>
        </w:rPr>
        <w:t xml:space="preserve">antibiotic </w:t>
      </w:r>
      <w:r>
        <w:rPr>
          <w:rFonts w:ascii="Arial" w:hAnsi="Arial" w:cs="Arial"/>
          <w:sz w:val="21"/>
          <w:szCs w:val="21"/>
        </w:rPr>
        <w:t>MDA</w:t>
      </w:r>
      <w:r w:rsidR="00754135">
        <w:rPr>
          <w:rFonts w:ascii="Arial" w:hAnsi="Arial" w:cs="Arial"/>
          <w:sz w:val="21"/>
          <w:szCs w:val="21"/>
        </w:rPr>
        <w:t xml:space="preserve"> for trachoma</w:t>
      </w:r>
      <w:r>
        <w:rPr>
          <w:rFonts w:ascii="Arial" w:hAnsi="Arial" w:cs="Arial"/>
          <w:sz w:val="21"/>
          <w:szCs w:val="21"/>
        </w:rPr>
        <w:t xml:space="preserve">. In Vanuatu, the </w:t>
      </w:r>
      <w:r w:rsidR="008A5EA8">
        <w:rPr>
          <w:rFonts w:ascii="Arial" w:hAnsi="Arial" w:cs="Arial"/>
          <w:sz w:val="21"/>
          <w:szCs w:val="21"/>
        </w:rPr>
        <w:t xml:space="preserve">scarring and </w:t>
      </w:r>
      <w:r>
        <w:rPr>
          <w:rFonts w:ascii="Arial" w:hAnsi="Arial" w:cs="Arial"/>
          <w:sz w:val="21"/>
          <w:szCs w:val="21"/>
        </w:rPr>
        <w:t xml:space="preserve">infection </w:t>
      </w:r>
      <w:r w:rsidR="00766556">
        <w:rPr>
          <w:rFonts w:ascii="Arial" w:hAnsi="Arial" w:cs="Arial"/>
          <w:sz w:val="21"/>
          <w:szCs w:val="21"/>
        </w:rPr>
        <w:t xml:space="preserve">data </w:t>
      </w:r>
      <w:r>
        <w:rPr>
          <w:rFonts w:ascii="Arial" w:hAnsi="Arial" w:cs="Arial"/>
          <w:sz w:val="21"/>
          <w:szCs w:val="21"/>
        </w:rPr>
        <w:t xml:space="preserve">suggest that the absence of </w:t>
      </w:r>
      <w:r w:rsidR="00754135">
        <w:rPr>
          <w:rFonts w:ascii="Arial" w:hAnsi="Arial" w:cs="Arial"/>
          <w:sz w:val="21"/>
          <w:szCs w:val="21"/>
        </w:rPr>
        <w:t xml:space="preserve">TT </w:t>
      </w:r>
      <w:r>
        <w:rPr>
          <w:rFonts w:ascii="Arial" w:hAnsi="Arial" w:cs="Arial"/>
          <w:sz w:val="21"/>
          <w:szCs w:val="21"/>
        </w:rPr>
        <w:t xml:space="preserve">may be linked to the relative absence of </w:t>
      </w:r>
      <w:r w:rsidR="001E137D" w:rsidRPr="008257CC">
        <w:rPr>
          <w:rFonts w:ascii="Arial" w:hAnsi="Arial" w:cs="Arial"/>
          <w:i/>
          <w:sz w:val="21"/>
          <w:szCs w:val="21"/>
        </w:rPr>
        <w:t>Ct</w:t>
      </w:r>
      <w:r w:rsidR="001E137D">
        <w:rPr>
          <w:rFonts w:ascii="Arial" w:hAnsi="Arial" w:cs="Arial"/>
          <w:sz w:val="21"/>
          <w:szCs w:val="21"/>
        </w:rPr>
        <w:t xml:space="preserve"> </w:t>
      </w:r>
      <w:r>
        <w:rPr>
          <w:rFonts w:ascii="Arial" w:hAnsi="Arial" w:cs="Arial"/>
          <w:sz w:val="21"/>
          <w:szCs w:val="21"/>
        </w:rPr>
        <w:t>transmission</w:t>
      </w:r>
      <w:r w:rsidR="009044A4">
        <w:rPr>
          <w:rFonts w:ascii="Arial" w:hAnsi="Arial" w:cs="Arial"/>
          <w:sz w:val="21"/>
          <w:szCs w:val="21"/>
        </w:rPr>
        <w:t>,</w:t>
      </w:r>
      <w:r>
        <w:rPr>
          <w:rFonts w:ascii="Arial" w:hAnsi="Arial" w:cs="Arial"/>
          <w:sz w:val="21"/>
          <w:szCs w:val="21"/>
        </w:rPr>
        <w:t xml:space="preserve"> </w:t>
      </w:r>
      <w:r w:rsidR="009044A4">
        <w:rPr>
          <w:rFonts w:ascii="Arial" w:hAnsi="Arial" w:cs="Arial"/>
          <w:sz w:val="21"/>
          <w:szCs w:val="21"/>
        </w:rPr>
        <w:t>similar</w:t>
      </w:r>
      <w:r w:rsidR="007248A7">
        <w:rPr>
          <w:rFonts w:ascii="Arial" w:hAnsi="Arial" w:cs="Arial"/>
          <w:sz w:val="21"/>
          <w:szCs w:val="21"/>
        </w:rPr>
        <w:t xml:space="preserve"> </w:t>
      </w:r>
      <w:r w:rsidR="009044A4">
        <w:rPr>
          <w:rFonts w:ascii="Arial" w:hAnsi="Arial" w:cs="Arial"/>
          <w:sz w:val="21"/>
          <w:szCs w:val="21"/>
        </w:rPr>
        <w:t>to what</w:t>
      </w:r>
      <w:r>
        <w:rPr>
          <w:rFonts w:ascii="Arial" w:hAnsi="Arial" w:cs="Arial"/>
          <w:sz w:val="21"/>
          <w:szCs w:val="21"/>
        </w:rPr>
        <w:t xml:space="preserve"> has been </w:t>
      </w:r>
      <w:r w:rsidR="007248A7">
        <w:rPr>
          <w:rFonts w:ascii="Arial" w:hAnsi="Arial" w:cs="Arial"/>
          <w:sz w:val="21"/>
          <w:szCs w:val="21"/>
        </w:rPr>
        <w:t>suggested</w:t>
      </w:r>
      <w:r>
        <w:rPr>
          <w:rFonts w:ascii="Arial" w:hAnsi="Arial" w:cs="Arial"/>
          <w:sz w:val="21"/>
          <w:szCs w:val="21"/>
        </w:rPr>
        <w:t xml:space="preserve"> in the Solomon Islands. Therefore, it </w:t>
      </w:r>
      <w:r w:rsidR="007248A7">
        <w:rPr>
          <w:rFonts w:ascii="Arial" w:hAnsi="Arial" w:cs="Arial"/>
          <w:sz w:val="21"/>
          <w:szCs w:val="21"/>
        </w:rPr>
        <w:t>seems</w:t>
      </w:r>
      <w:r>
        <w:rPr>
          <w:rFonts w:ascii="Arial" w:hAnsi="Arial" w:cs="Arial"/>
          <w:sz w:val="21"/>
          <w:szCs w:val="21"/>
        </w:rPr>
        <w:t xml:space="preserve"> logical that the Melanesian experience of trachoma is different to that seen in Kiribati and sub-Saharan</w:t>
      </w:r>
      <w:r w:rsidR="001676CD">
        <w:rPr>
          <w:rFonts w:ascii="Arial" w:hAnsi="Arial" w:cs="Arial"/>
          <w:sz w:val="21"/>
          <w:szCs w:val="21"/>
        </w:rPr>
        <w:t xml:space="preserve"> Africa</w:t>
      </w:r>
      <w:r>
        <w:rPr>
          <w:rFonts w:ascii="Arial" w:hAnsi="Arial" w:cs="Arial"/>
          <w:sz w:val="21"/>
          <w:szCs w:val="21"/>
        </w:rPr>
        <w:t xml:space="preserve">. </w:t>
      </w:r>
    </w:p>
    <w:p w14:paraId="405EEE53" w14:textId="14E9B248" w:rsidR="004F2310" w:rsidRDefault="004F2310" w:rsidP="008B5BE3">
      <w:pPr>
        <w:spacing w:line="480" w:lineRule="auto"/>
        <w:jc w:val="both"/>
        <w:rPr>
          <w:rFonts w:ascii="Arial" w:hAnsi="Arial" w:cs="Arial"/>
          <w:sz w:val="21"/>
          <w:szCs w:val="21"/>
        </w:rPr>
      </w:pPr>
    </w:p>
    <w:p w14:paraId="64693C9C" w14:textId="5353ABFA" w:rsidR="004F2310" w:rsidRDefault="004F2310" w:rsidP="008B5BE3">
      <w:pPr>
        <w:spacing w:line="480" w:lineRule="auto"/>
        <w:jc w:val="both"/>
        <w:rPr>
          <w:rFonts w:ascii="Arial" w:hAnsi="Arial" w:cs="Arial"/>
          <w:sz w:val="21"/>
          <w:szCs w:val="21"/>
        </w:rPr>
      </w:pPr>
      <w:r>
        <w:rPr>
          <w:rFonts w:ascii="Arial" w:hAnsi="Arial" w:cs="Arial"/>
          <w:sz w:val="21"/>
          <w:szCs w:val="21"/>
        </w:rPr>
        <w:t>There are limitations to this work</w:t>
      </w:r>
      <w:r w:rsidR="008138F8">
        <w:rPr>
          <w:rFonts w:ascii="Arial" w:hAnsi="Arial" w:cs="Arial"/>
          <w:sz w:val="21"/>
          <w:szCs w:val="21"/>
        </w:rPr>
        <w:t xml:space="preserve">. </w:t>
      </w:r>
      <w:r w:rsidR="001662DD">
        <w:rPr>
          <w:rFonts w:ascii="Arial" w:hAnsi="Arial" w:cs="Arial"/>
          <w:sz w:val="21"/>
          <w:szCs w:val="21"/>
        </w:rPr>
        <w:t xml:space="preserve">While the sample size to estimate </w:t>
      </w:r>
      <w:r w:rsidR="000720D0">
        <w:rPr>
          <w:rFonts w:ascii="Arial" w:hAnsi="Arial" w:cs="Arial"/>
          <w:sz w:val="21"/>
          <w:szCs w:val="21"/>
        </w:rPr>
        <w:t>TF</w:t>
      </w:r>
      <w:r w:rsidR="001662DD">
        <w:rPr>
          <w:rFonts w:ascii="Arial" w:hAnsi="Arial" w:cs="Arial"/>
          <w:sz w:val="21"/>
          <w:szCs w:val="21"/>
        </w:rPr>
        <w:t xml:space="preserve"> prevalence was achieved in both EUs, t</w:t>
      </w:r>
      <w:r w:rsidR="008138F8">
        <w:rPr>
          <w:rFonts w:ascii="Arial" w:hAnsi="Arial" w:cs="Arial"/>
          <w:sz w:val="21"/>
          <w:szCs w:val="21"/>
        </w:rPr>
        <w:t xml:space="preserve">here </w:t>
      </w:r>
      <w:r w:rsidR="00754135">
        <w:rPr>
          <w:rFonts w:ascii="Arial" w:hAnsi="Arial" w:cs="Arial"/>
          <w:sz w:val="21"/>
          <w:szCs w:val="21"/>
        </w:rPr>
        <w:t xml:space="preserve">were </w:t>
      </w:r>
      <w:r w:rsidR="008138F8">
        <w:rPr>
          <w:rFonts w:ascii="Arial" w:hAnsi="Arial" w:cs="Arial"/>
          <w:sz w:val="21"/>
          <w:szCs w:val="21"/>
        </w:rPr>
        <w:t xml:space="preserve">missing data in </w:t>
      </w:r>
      <w:r w:rsidR="009F63E4">
        <w:rPr>
          <w:rFonts w:ascii="Arial" w:hAnsi="Arial" w:cs="Arial"/>
          <w:sz w:val="21"/>
          <w:szCs w:val="21"/>
        </w:rPr>
        <w:t xml:space="preserve">some other analyses. A small proportion of individuals were examined clinically but then did not have either swab or dried blood specimens collected. The reasons for this were not recorded, but field workers acknowledged that if the examinations were running slowly or were uncomfortable to those examined, </w:t>
      </w:r>
      <w:r w:rsidR="004E7BA7">
        <w:rPr>
          <w:rFonts w:ascii="Arial" w:hAnsi="Arial" w:cs="Arial"/>
          <w:sz w:val="21"/>
          <w:szCs w:val="21"/>
        </w:rPr>
        <w:t xml:space="preserve">participants who had a clinical exam </w:t>
      </w:r>
      <w:r w:rsidR="009F63E4">
        <w:rPr>
          <w:rFonts w:ascii="Arial" w:hAnsi="Arial" w:cs="Arial"/>
          <w:sz w:val="21"/>
          <w:szCs w:val="21"/>
        </w:rPr>
        <w:t xml:space="preserve">did occasionally refuse specimen collection. </w:t>
      </w:r>
      <w:r w:rsidR="00F74BFA">
        <w:rPr>
          <w:rFonts w:ascii="Arial" w:hAnsi="Arial" w:cs="Arial"/>
          <w:sz w:val="21"/>
          <w:szCs w:val="21"/>
        </w:rPr>
        <w:t xml:space="preserve">Additionally, we did not collect data on the non-response rate in this survey. </w:t>
      </w:r>
      <w:r w:rsidR="004E7BA7">
        <w:rPr>
          <w:rFonts w:ascii="Arial" w:hAnsi="Arial" w:cs="Arial"/>
          <w:sz w:val="21"/>
          <w:szCs w:val="21"/>
        </w:rPr>
        <w:t xml:space="preserve">For </w:t>
      </w:r>
      <w:r w:rsidR="009F63E4">
        <w:rPr>
          <w:rFonts w:ascii="Arial" w:hAnsi="Arial" w:cs="Arial"/>
          <w:sz w:val="21"/>
          <w:szCs w:val="21"/>
        </w:rPr>
        <w:t xml:space="preserve">the </w:t>
      </w:r>
      <w:r w:rsidR="001662DD">
        <w:rPr>
          <w:rFonts w:ascii="Arial" w:hAnsi="Arial" w:cs="Arial"/>
          <w:sz w:val="21"/>
          <w:szCs w:val="21"/>
        </w:rPr>
        <w:t xml:space="preserve">scarring </w:t>
      </w:r>
      <w:r w:rsidR="00D83A53">
        <w:rPr>
          <w:rFonts w:ascii="Arial" w:hAnsi="Arial" w:cs="Arial"/>
          <w:sz w:val="21"/>
          <w:szCs w:val="21"/>
        </w:rPr>
        <w:t>analysis</w:t>
      </w:r>
      <w:r w:rsidR="009F63E4">
        <w:rPr>
          <w:rFonts w:ascii="Arial" w:hAnsi="Arial" w:cs="Arial"/>
          <w:sz w:val="21"/>
          <w:szCs w:val="21"/>
        </w:rPr>
        <w:t>, a</w:t>
      </w:r>
      <w:r w:rsidR="00367774">
        <w:rPr>
          <w:rFonts w:ascii="Arial" w:hAnsi="Arial" w:cs="Arial"/>
          <w:sz w:val="21"/>
          <w:szCs w:val="21"/>
        </w:rPr>
        <w:t xml:space="preserve"> significant proportion of</w:t>
      </w:r>
      <w:r w:rsidR="001662DD">
        <w:rPr>
          <w:rFonts w:ascii="Arial" w:hAnsi="Arial" w:cs="Arial"/>
          <w:sz w:val="21"/>
          <w:szCs w:val="21"/>
        </w:rPr>
        <w:t xml:space="preserve"> people </w:t>
      </w:r>
      <w:r w:rsidR="004F7941">
        <w:rPr>
          <w:rFonts w:ascii="Arial" w:hAnsi="Arial" w:cs="Arial"/>
          <w:sz w:val="21"/>
          <w:szCs w:val="21"/>
        </w:rPr>
        <w:t>in the study</w:t>
      </w:r>
      <w:r w:rsidR="001662DD">
        <w:rPr>
          <w:rFonts w:ascii="Arial" w:hAnsi="Arial" w:cs="Arial"/>
          <w:sz w:val="21"/>
          <w:szCs w:val="21"/>
        </w:rPr>
        <w:t xml:space="preserve"> did not have </w:t>
      </w:r>
      <w:r w:rsidR="00D83A53">
        <w:rPr>
          <w:rFonts w:ascii="Arial" w:hAnsi="Arial" w:cs="Arial"/>
          <w:sz w:val="21"/>
          <w:szCs w:val="21"/>
        </w:rPr>
        <w:t xml:space="preserve">a </w:t>
      </w:r>
      <w:r w:rsidR="00F8022A">
        <w:rPr>
          <w:rFonts w:ascii="Arial" w:hAnsi="Arial" w:cs="Arial"/>
          <w:sz w:val="21"/>
          <w:szCs w:val="21"/>
        </w:rPr>
        <w:t xml:space="preserve">gradable </w:t>
      </w:r>
      <w:r w:rsidR="001662DD">
        <w:rPr>
          <w:rFonts w:ascii="Arial" w:hAnsi="Arial" w:cs="Arial"/>
          <w:sz w:val="21"/>
          <w:szCs w:val="21"/>
        </w:rPr>
        <w:t>photograph.</w:t>
      </w:r>
      <w:r w:rsidR="008B68C5">
        <w:rPr>
          <w:rFonts w:ascii="Arial" w:hAnsi="Arial" w:cs="Arial"/>
          <w:sz w:val="21"/>
          <w:szCs w:val="21"/>
        </w:rPr>
        <w:t xml:space="preserve"> </w:t>
      </w:r>
      <w:r w:rsidR="00754135">
        <w:rPr>
          <w:rFonts w:ascii="Arial" w:hAnsi="Arial" w:cs="Arial"/>
          <w:sz w:val="21"/>
          <w:szCs w:val="21"/>
        </w:rPr>
        <w:t>The use of photographs has previously been found to be less than optimal for grading conjunctival signs of trachoma</w:t>
      </w:r>
      <w:r w:rsidR="00CD30B5">
        <w:rPr>
          <w:rFonts w:ascii="Arial" w:hAnsi="Arial" w:cs="Arial"/>
          <w:sz w:val="21"/>
          <w:szCs w:val="21"/>
        </w:rPr>
        <w:t xml:space="preserve"> </w:t>
      </w:r>
      <w:r w:rsidR="00CD30B5">
        <w:rPr>
          <w:rFonts w:ascii="Arial" w:hAnsi="Arial" w:cs="Arial"/>
          <w:sz w:val="21"/>
          <w:szCs w:val="21"/>
        </w:rPr>
        <w:fldChar w:fldCharType="begin" w:fldLock="1"/>
      </w:r>
      <w:r w:rsidR="004D440E">
        <w:rPr>
          <w:rFonts w:ascii="Arial" w:hAnsi="Arial" w:cs="Arial"/>
          <w:sz w:val="21"/>
          <w:szCs w:val="21"/>
        </w:rPr>
        <w:instrText>ADDIN CSL_CITATION {"citationItems":[{"id":"ITEM-1","itemData":{"ISBN":"0002-9637","ISSN":"0002-9637","PMID":"16525114","abstract":"We evaluated the reliability of photographs to verify field diagnoses of active trachoma. We examined 956 residents of a trachoma-endemic village for signs of trachoma using the World Health Organization simplified grading system. Two photographs of the right eye of 948 persons were independently graded (masked to field assessment) by the field examiner and two other experienced graders. There was only moderate agreement between field assessment and the subsequent photographic evaluations by the three graders. When we counted ungradable photographs as disagreements, mean kappa scores for the signs trachomatous inflammation (follicular [TF]) and trachomatous inflammation (intense [TI]) were 0.44 and 0.51, respectively. There was also only fair-to-moderate agreement between the three assessments (by different examiners) of the photographs. Either the signs TF and TI themselves are not as reliable as previously believed, or photographs should be used for their diagnosis only when reliability testing demonstrates better agreement than found here.","author":[{"dropping-particle":"","family":"Solomon","given":"Anthony W","non-dropping-particle":"","parse-names":false,"suffix":""},{"dropping-particle":"","family":"Bowman","given":"Richard J C","non-dropping-particle":"","parse-names":false,"suffix":""},{"dropping-particle":"","family":"Yorston","given":"David","non-dropping-particle":"","parse-names":false,"suffix":""},{"dropping-particle":"","family":"Massae","given":"Patrick A","non-dropping-particle":"","parse-names":false,"suffix":""},{"dropping-particle":"","family":"Safari","given":"Salesia","non-dropping-particle":"","parse-names":false,"suffix":""},{"dropping-particle":"","family":"Savage","given":"Brian","non-dropping-particle":"","parse-names":false,"suffix":""},{"dropping-particle":"","family":"Alexander","given":"Neal D E","non-dropping-particle":"","parse-names":false,"suffix":""},{"dropping-particle":"","family":"Foster","given":"Allen","non-dropping-particle":"","parse-names":false,"suffix":""},{"dropping-particle":"","family":"Mabey","given":"David C W","non-dropping-particle":"","parse-names":false,"suffix":""}],"container-title":"American Journal of Tropical Medicine and Hygiene","id":"ITEM-1","issue":"3","issued":{"date-parts":[["2006"]]},"note":"From Duplicate 1 (Operational evaluation of the use of photographs for grading active trachoma - Solomon, Anthony W; Bowman, Richard J C; Yorston, David; Massae, Patrick A; Safari, Salesia; Savage, Brian; Alexander, Neal D E; Foster, Allen; Mabey, David C W)\n\nFrom Duplicate 1 (Operational evaluation of the use of photographs for grading active trachoma - Solomon, A W; Bowman, R J C; Yorston, D; Massae, P A; Safari, S; Savage, B; Alexander, N D E; Foster, A; Mabey, D C W)\n\nTimes Cited: 8\n0\n8\n\nFrom Duplicate 2 (Operational evaluation of the use of photographs for grading active trachoma - Solomon, A W; Bowman, R J C; Yorston, D; Massae, P A; Safari, S; Savage, B; Alexander, N D E; Foster, A; Mabey, D C W)\n\nTimes Cited: 8\n0\n8","page":"505-508","title":"Operational evaluation of the use of photographs for grading active trachoma.","type":"article-journal","volume":"74"},"uris":["http://www.mendeley.com/documents/?uuid=966988b4-4731-4588-b811-30b117e81af3"]}],"mendeley":{"formattedCitation":"[41]","plainTextFormattedCitation":"[41]","previouslyFormattedCitation":"[41]"},"properties":{"noteIndex":0},"schema":"https://github.com/citation-style-language/schema/raw/master/csl-citation.json"}</w:instrText>
      </w:r>
      <w:r w:rsidR="00CD30B5">
        <w:rPr>
          <w:rFonts w:ascii="Arial" w:hAnsi="Arial" w:cs="Arial"/>
          <w:sz w:val="21"/>
          <w:szCs w:val="21"/>
        </w:rPr>
        <w:fldChar w:fldCharType="separate"/>
      </w:r>
      <w:r w:rsidR="00D3307C" w:rsidRPr="00D3307C">
        <w:rPr>
          <w:rFonts w:ascii="Arial" w:hAnsi="Arial" w:cs="Arial"/>
          <w:noProof/>
          <w:sz w:val="21"/>
          <w:szCs w:val="21"/>
        </w:rPr>
        <w:t>[41]</w:t>
      </w:r>
      <w:r w:rsidR="00CD30B5">
        <w:rPr>
          <w:rFonts w:ascii="Arial" w:hAnsi="Arial" w:cs="Arial"/>
          <w:sz w:val="21"/>
          <w:szCs w:val="21"/>
        </w:rPr>
        <w:fldChar w:fldCharType="end"/>
      </w:r>
      <w:r w:rsidR="00754135">
        <w:rPr>
          <w:rFonts w:ascii="Arial" w:hAnsi="Arial" w:cs="Arial"/>
          <w:sz w:val="21"/>
          <w:szCs w:val="21"/>
        </w:rPr>
        <w:t xml:space="preserve">. </w:t>
      </w:r>
      <w:r w:rsidR="008B68C5">
        <w:rPr>
          <w:rFonts w:ascii="Arial" w:hAnsi="Arial" w:cs="Arial"/>
          <w:sz w:val="21"/>
          <w:szCs w:val="21"/>
        </w:rPr>
        <w:t>S</w:t>
      </w:r>
      <w:r w:rsidR="00D83A53">
        <w:rPr>
          <w:rFonts w:ascii="Arial" w:hAnsi="Arial" w:cs="Arial"/>
          <w:sz w:val="21"/>
          <w:szCs w:val="21"/>
        </w:rPr>
        <w:t>hould future studies utilise clinical photography</w:t>
      </w:r>
      <w:r w:rsidR="001E137D">
        <w:rPr>
          <w:rFonts w:ascii="Arial" w:hAnsi="Arial" w:cs="Arial"/>
          <w:sz w:val="21"/>
          <w:szCs w:val="21"/>
        </w:rPr>
        <w:t xml:space="preserve"> to diagnose conjunctival scarring</w:t>
      </w:r>
      <w:r w:rsidR="00D83A53">
        <w:rPr>
          <w:rFonts w:ascii="Arial" w:hAnsi="Arial" w:cs="Arial"/>
          <w:sz w:val="21"/>
          <w:szCs w:val="21"/>
        </w:rPr>
        <w:t xml:space="preserve">, additional </w:t>
      </w:r>
      <w:r w:rsidR="000B5902">
        <w:rPr>
          <w:rFonts w:ascii="Arial" w:hAnsi="Arial" w:cs="Arial"/>
          <w:sz w:val="21"/>
          <w:szCs w:val="21"/>
        </w:rPr>
        <w:t xml:space="preserve">field-based checks </w:t>
      </w:r>
      <w:r w:rsidR="008B68C5">
        <w:rPr>
          <w:rFonts w:ascii="Arial" w:hAnsi="Arial" w:cs="Arial"/>
          <w:sz w:val="21"/>
          <w:szCs w:val="21"/>
        </w:rPr>
        <w:t>should be put</w:t>
      </w:r>
      <w:r w:rsidR="00D83A53">
        <w:rPr>
          <w:rFonts w:ascii="Arial" w:hAnsi="Arial" w:cs="Arial"/>
          <w:sz w:val="21"/>
          <w:szCs w:val="21"/>
        </w:rPr>
        <w:t xml:space="preserve"> in place to ensure </w:t>
      </w:r>
      <w:r w:rsidR="000B5902">
        <w:rPr>
          <w:rFonts w:ascii="Arial" w:hAnsi="Arial" w:cs="Arial"/>
          <w:sz w:val="21"/>
          <w:szCs w:val="21"/>
        </w:rPr>
        <w:t xml:space="preserve">image </w:t>
      </w:r>
      <w:r w:rsidR="00D83A53">
        <w:rPr>
          <w:rFonts w:ascii="Arial" w:hAnsi="Arial" w:cs="Arial"/>
          <w:sz w:val="21"/>
          <w:szCs w:val="21"/>
        </w:rPr>
        <w:t>quality</w:t>
      </w:r>
      <w:r w:rsidR="000B5902">
        <w:rPr>
          <w:rFonts w:ascii="Arial" w:hAnsi="Arial" w:cs="Arial"/>
          <w:sz w:val="21"/>
          <w:szCs w:val="21"/>
        </w:rPr>
        <w:t xml:space="preserve"> at the time of capture</w:t>
      </w:r>
      <w:r w:rsidR="00D83A53">
        <w:rPr>
          <w:rFonts w:ascii="Arial" w:hAnsi="Arial" w:cs="Arial"/>
          <w:sz w:val="21"/>
          <w:szCs w:val="21"/>
        </w:rPr>
        <w:t xml:space="preserve">. </w:t>
      </w:r>
      <w:r w:rsidR="00F74BFA">
        <w:rPr>
          <w:rFonts w:ascii="Arial" w:hAnsi="Arial" w:cs="Arial"/>
          <w:sz w:val="21"/>
          <w:szCs w:val="21"/>
        </w:rPr>
        <w:t xml:space="preserve">For the SCR estimation, the models used for estimation of SCRs were simplified to exclude parameters which are not fully understood yet. For example, we did not account for the influence of non-ocular </w:t>
      </w:r>
      <w:r w:rsidR="00F74BFA">
        <w:rPr>
          <w:rFonts w:ascii="Arial" w:hAnsi="Arial" w:cs="Arial"/>
          <w:i/>
          <w:iCs/>
          <w:sz w:val="21"/>
          <w:szCs w:val="21"/>
        </w:rPr>
        <w:t xml:space="preserve">Ct </w:t>
      </w:r>
      <w:r w:rsidR="00F74BFA">
        <w:rPr>
          <w:rFonts w:ascii="Arial" w:hAnsi="Arial" w:cs="Arial"/>
          <w:sz w:val="21"/>
          <w:szCs w:val="21"/>
        </w:rPr>
        <w:t xml:space="preserve">infection, which is known to be prevalent in both areas. We acknowledge this may reduce the precision of our SCR estimate, however, we elected to maintain simplistic models rather than inputting artificial parameters which have </w:t>
      </w:r>
      <w:r w:rsidR="00F74BFA">
        <w:rPr>
          <w:rFonts w:ascii="Arial" w:hAnsi="Arial" w:cs="Arial"/>
          <w:sz w:val="21"/>
          <w:szCs w:val="21"/>
        </w:rPr>
        <w:lastRenderedPageBreak/>
        <w:t xml:space="preserve">not yet been empirically proven. </w:t>
      </w:r>
      <w:r w:rsidR="00F74BFA">
        <w:rPr>
          <w:rFonts w:ascii="Arial" w:hAnsi="Arial" w:cs="Arial"/>
          <w:color w:val="000000" w:themeColor="text1"/>
          <w:sz w:val="21"/>
          <w:szCs w:val="21"/>
        </w:rPr>
        <w:t>Finally, w</w:t>
      </w:r>
      <w:r w:rsidR="00313CEF">
        <w:rPr>
          <w:rFonts w:ascii="Arial" w:hAnsi="Arial" w:cs="Arial"/>
          <w:color w:val="000000" w:themeColor="text1"/>
          <w:sz w:val="21"/>
          <w:szCs w:val="21"/>
        </w:rPr>
        <w:t>e also did</w:t>
      </w:r>
      <w:r w:rsidR="004F7941" w:rsidRPr="004F7941">
        <w:rPr>
          <w:rFonts w:ascii="Arial" w:hAnsi="Arial" w:cs="Arial"/>
          <w:color w:val="000000" w:themeColor="text1"/>
          <w:sz w:val="21"/>
          <w:szCs w:val="21"/>
        </w:rPr>
        <w:t xml:space="preserve"> </w:t>
      </w:r>
      <w:r w:rsidR="00313CEF">
        <w:rPr>
          <w:rFonts w:ascii="Arial" w:hAnsi="Arial" w:cs="Arial"/>
          <w:sz w:val="21"/>
          <w:szCs w:val="21"/>
        </w:rPr>
        <w:t>not</w:t>
      </w:r>
      <w:r w:rsidR="00D83A53">
        <w:rPr>
          <w:rFonts w:ascii="Arial" w:hAnsi="Arial" w:cs="Arial"/>
          <w:sz w:val="21"/>
          <w:szCs w:val="21"/>
        </w:rPr>
        <w:t xml:space="preserve"> collect</w:t>
      </w:r>
      <w:r w:rsidR="00313CEF">
        <w:rPr>
          <w:rFonts w:ascii="Arial" w:hAnsi="Arial" w:cs="Arial"/>
          <w:sz w:val="21"/>
          <w:szCs w:val="21"/>
        </w:rPr>
        <w:t xml:space="preserve"> data</w:t>
      </w:r>
      <w:r w:rsidR="00D83A53">
        <w:rPr>
          <w:rFonts w:ascii="Arial" w:hAnsi="Arial" w:cs="Arial"/>
          <w:sz w:val="21"/>
          <w:szCs w:val="21"/>
        </w:rPr>
        <w:t xml:space="preserve"> on household-level risk factors for ocular infection, antibody responsiveness or scarring. </w:t>
      </w:r>
      <w:r w:rsidR="00722800">
        <w:rPr>
          <w:rFonts w:ascii="Arial" w:hAnsi="Arial" w:cs="Arial"/>
          <w:sz w:val="21"/>
          <w:szCs w:val="21"/>
        </w:rPr>
        <w:t xml:space="preserve">Data relevant to potential risk factors </w:t>
      </w:r>
      <w:r w:rsidR="004F7941">
        <w:rPr>
          <w:rFonts w:ascii="Arial" w:hAnsi="Arial" w:cs="Arial"/>
          <w:sz w:val="21"/>
          <w:szCs w:val="21"/>
        </w:rPr>
        <w:t xml:space="preserve">for trachoma </w:t>
      </w:r>
      <w:r w:rsidR="00722800">
        <w:rPr>
          <w:rFonts w:ascii="Arial" w:hAnsi="Arial" w:cs="Arial"/>
          <w:sz w:val="21"/>
          <w:szCs w:val="21"/>
        </w:rPr>
        <w:t xml:space="preserve">are available from broadly overlapping EUs surveyed by the national programme (Vanuatu </w:t>
      </w:r>
      <w:r w:rsidR="004F7941">
        <w:rPr>
          <w:rFonts w:ascii="Arial" w:hAnsi="Arial" w:cs="Arial"/>
          <w:sz w:val="21"/>
          <w:szCs w:val="21"/>
        </w:rPr>
        <w:fldChar w:fldCharType="begin" w:fldLock="1"/>
      </w:r>
      <w:r w:rsidR="005C6653">
        <w:rPr>
          <w:rFonts w:ascii="Arial" w:hAnsi="Arial" w:cs="Arial"/>
          <w:sz w:val="21"/>
          <w:szCs w:val="21"/>
        </w:rPr>
        <w:instrText>ADDIN CSL_CITATION {"citationItems":[{"id":"ITEM-1","itemData":{"DOI":"http://dx.doi.org/10.1371/journal.pntd.0005267","abstract":"Yaws and trachoma are targeted for eradication and elimination as public health problems. In trachoma-endemic populations mass administration of azithromycin can simultaneously treat yaws. We conducted a population-based prevalence survey in the five northernmost provinces of Vanuatu, where trachoma and yaws are suspected to be co-endemic. Clinical signs of trachoma were evaluated using the WHO simplified grading system, and skin examination with a serological rapid diagnostic test used to identify yaws. We enrolled 1004 households in 59 villages over 16 islands, and examined 3650 individuals of all ages for trachoma. The overall adjusted prevalence of trachomatous inflammation-follicular (TF) in 1-9 year-olds was 12.0% (95% Confidence Interval: 8.1-16.7%), and the overall adjusted prevalence of TT in those aged 15 years and greater was 0.04% (95% CI 0-0.14%). In multivariate analysis, the odds of children having TF was 2.6 (95% CI = 1.5-4.4) times higher in households with unimproved latrines, and independently associated with the number of children in the household (OR 1.3, 95% CI = 1.0-1.6 for each additional child). We examined the skin of 821 children aged 5-14 years. Two children had yaws, giving an estimated prevalence of active yaws in those aged 5-14 years of 0.2% (95% CI = 0.03-0.9%). Mass treatment with azithromycin is recommended in these provinces. Given the apparent low burden of yaws, integration of yaws and trachoma control programmes is likely to be useful and cost-effective to national programmes.","author":[{"dropping-particle":"","family":"Taleo","given":"Fasihah","non-dropping-particle":"","parse-names":false,"suffix":""},{"dropping-particle":"","family":"Macleod","given":"Colin K","non-dropping-particle":"","parse-names":false,"suffix":""},{"dropping-particle":"","family":"Marks","given":"Michael","non-dropping-particle":"","parse-names":false,"suffix":""},{"dropping-particle":"","family":"Sokana","given":"Oliver","non-dropping-particle":"","parse-names":false,"suffix":""},{"dropping-particle":"","family":"Last","given":"Anna R","non-dropping-particle":"","parse-names":false,"suffix":""},{"dropping-particle":"","family":"Willis","given":"Rebecca","non-dropping-particle":"","parse-names":false,"suffix":""},{"dropping-particle":"","family":"Garae","given":"Mackline","non-dropping-particle":"","parse-names":false,"suffix":""},{"dropping-particle":"","family":"Bong","given":"Annie","non-dropping-particle":"","parse-names":false,"suffix":""},{"dropping-particle":"","family":"Chu","given":"Brian K","non-dropping-particle":"","parse-names":false,"suffix":""},{"dropping-particle":"","family":"Courtright","given":"Paul","non-dropping-particle":"","parse-names":false,"suffix":""},{"dropping-particle":"","family":"Kool","given":"Jacob","non-dropping-particle":"","parse-names":false,"suffix":""},{"dropping-particle":"","family":"Taleo","given":"George","non-dropping-particle":"","parse-names":false,"suffix":""},{"dropping-particle":"","family":"Rory","given":"Jean Jacque","non-dropping-particle":"","parse-names":false,"suffix":""},{"dropping-particle":"","family":"Solomon","given":"Anthony W","non-dropping-particle":"","parse-names":false,"suffix":""}],"container-title":"PLoS Neglected Tropical Diseases","id":"ITEM-1","issue":"1","issued":{"date-parts":[["2017"]]},"page":"e0005267","title":"Integrated mapping of yaws and trachoma in the five northern-most provinces of Vanuatu","type":"article-journal","volume":"11"},"uris":["http://www.mendeley.com/documents/?uuid=5b3fcb21-e7a1-4efb-aaa9-66a44398717f"]}],"mendeley":{"formattedCitation":"[13]","plainTextFormattedCitation":"[13]","previouslyFormattedCitation":"[13]"},"properties":{"noteIndex":0},"schema":"https://github.com/citation-style-language/schema/raw/master/csl-citation.json"}</w:instrText>
      </w:r>
      <w:r w:rsidR="004F7941">
        <w:rPr>
          <w:rFonts w:ascii="Arial" w:hAnsi="Arial" w:cs="Arial"/>
          <w:sz w:val="21"/>
          <w:szCs w:val="21"/>
        </w:rPr>
        <w:fldChar w:fldCharType="separate"/>
      </w:r>
      <w:r w:rsidR="005C6653" w:rsidRPr="005C6653">
        <w:rPr>
          <w:rFonts w:ascii="Arial" w:hAnsi="Arial" w:cs="Arial"/>
          <w:noProof/>
          <w:sz w:val="21"/>
          <w:szCs w:val="21"/>
        </w:rPr>
        <w:t>[13]</w:t>
      </w:r>
      <w:r w:rsidR="004F7941">
        <w:rPr>
          <w:rFonts w:ascii="Arial" w:hAnsi="Arial" w:cs="Arial"/>
          <w:sz w:val="21"/>
          <w:szCs w:val="21"/>
        </w:rPr>
        <w:fldChar w:fldCharType="end"/>
      </w:r>
      <w:r w:rsidR="00722800">
        <w:rPr>
          <w:rFonts w:ascii="Arial" w:hAnsi="Arial" w:cs="Arial"/>
          <w:sz w:val="21"/>
          <w:szCs w:val="21"/>
        </w:rPr>
        <w:t xml:space="preserve"> and South Tarawa </w:t>
      </w:r>
      <w:r w:rsidR="004F7941">
        <w:rPr>
          <w:rFonts w:ascii="Arial" w:hAnsi="Arial" w:cs="Arial"/>
          <w:sz w:val="21"/>
          <w:szCs w:val="21"/>
        </w:rPr>
        <w:fldChar w:fldCharType="begin" w:fldLock="1"/>
      </w:r>
      <w:r w:rsidR="005C6653">
        <w:rPr>
          <w:rFonts w:ascii="Arial" w:hAnsi="Arial" w:cs="Arial"/>
          <w:sz w:val="21"/>
          <w:szCs w:val="21"/>
        </w:rPr>
        <w:instrText>ADDIN CSL_CITATION {"citationItems":[{"id":"ITEM-1","itemData":{"author":[{"dropping-particle":"","family":"International Agency for the Prevention of Blindness","given":"","non-dropping-particle":"","parse-names":false,"suffix":""}],"id":"ITEM-1","issued":{"date-parts":[["2013"]]},"publisher-place":"Melbourne, Australia","title":"Trachoma Mapping in the Pacific","type":"report"},"uris":["http://www.mendeley.com/documents/?uuid=136439f5-0c5c-465c-9e35-538caa37e9ed"]}],"mendeley":{"formattedCitation":"[15]","plainTextFormattedCitation":"[15]","previouslyFormattedCitation":"[15]"},"properties":{"noteIndex":0},"schema":"https://github.com/citation-style-language/schema/raw/master/csl-citation.json"}</w:instrText>
      </w:r>
      <w:r w:rsidR="004F7941">
        <w:rPr>
          <w:rFonts w:ascii="Arial" w:hAnsi="Arial" w:cs="Arial"/>
          <w:sz w:val="21"/>
          <w:szCs w:val="21"/>
        </w:rPr>
        <w:fldChar w:fldCharType="separate"/>
      </w:r>
      <w:r w:rsidR="005C6653" w:rsidRPr="005C6653">
        <w:rPr>
          <w:rFonts w:ascii="Arial" w:hAnsi="Arial" w:cs="Arial"/>
          <w:noProof/>
          <w:sz w:val="21"/>
          <w:szCs w:val="21"/>
        </w:rPr>
        <w:t>[15]</w:t>
      </w:r>
      <w:r w:rsidR="004F7941">
        <w:rPr>
          <w:rFonts w:ascii="Arial" w:hAnsi="Arial" w:cs="Arial"/>
          <w:sz w:val="21"/>
          <w:szCs w:val="21"/>
        </w:rPr>
        <w:fldChar w:fldCharType="end"/>
      </w:r>
      <w:r w:rsidR="00722800">
        <w:rPr>
          <w:rFonts w:ascii="Arial" w:hAnsi="Arial" w:cs="Arial"/>
          <w:sz w:val="21"/>
          <w:szCs w:val="21"/>
        </w:rPr>
        <w:t xml:space="preserve">). There are </w:t>
      </w:r>
      <w:r w:rsidR="00843DC9">
        <w:rPr>
          <w:rFonts w:ascii="Arial" w:hAnsi="Arial" w:cs="Arial"/>
          <w:sz w:val="21"/>
          <w:szCs w:val="21"/>
        </w:rPr>
        <w:t>socio-</w:t>
      </w:r>
      <w:r w:rsidR="00722800">
        <w:rPr>
          <w:rFonts w:ascii="Arial" w:hAnsi="Arial" w:cs="Arial"/>
          <w:sz w:val="21"/>
          <w:szCs w:val="21"/>
        </w:rPr>
        <w:t>cultural</w:t>
      </w:r>
      <w:r w:rsidR="00CD30B5">
        <w:rPr>
          <w:rFonts w:ascii="Arial" w:hAnsi="Arial" w:cs="Arial"/>
          <w:sz w:val="21"/>
          <w:szCs w:val="21"/>
        </w:rPr>
        <w:t xml:space="preserve"> and</w:t>
      </w:r>
      <w:r w:rsidR="00722800">
        <w:rPr>
          <w:rFonts w:ascii="Arial" w:hAnsi="Arial" w:cs="Arial"/>
          <w:sz w:val="21"/>
          <w:szCs w:val="21"/>
        </w:rPr>
        <w:t xml:space="preserve"> </w:t>
      </w:r>
      <w:r w:rsidR="00CD30B5">
        <w:rPr>
          <w:rFonts w:ascii="Arial" w:hAnsi="Arial" w:cs="Arial"/>
          <w:sz w:val="21"/>
          <w:szCs w:val="21"/>
        </w:rPr>
        <w:t>geographical</w:t>
      </w:r>
      <w:r w:rsidR="00722800">
        <w:rPr>
          <w:rFonts w:ascii="Arial" w:hAnsi="Arial" w:cs="Arial"/>
          <w:sz w:val="21"/>
          <w:szCs w:val="21"/>
        </w:rPr>
        <w:t xml:space="preserve"> differences between Vanuatu and Tarawa that may be of interest should the difference in infection and scarring profiles be investigated in more detail.</w:t>
      </w:r>
    </w:p>
    <w:p w14:paraId="24655E12" w14:textId="5FD6A7A9" w:rsidR="003C429A" w:rsidRDefault="003C429A" w:rsidP="008B5BE3">
      <w:pPr>
        <w:spacing w:line="480" w:lineRule="auto"/>
        <w:jc w:val="both"/>
        <w:rPr>
          <w:rFonts w:ascii="Arial" w:hAnsi="Arial" w:cs="Arial"/>
          <w:sz w:val="21"/>
          <w:szCs w:val="21"/>
        </w:rPr>
      </w:pPr>
    </w:p>
    <w:p w14:paraId="48EAF767" w14:textId="4898EEA6" w:rsidR="003C429A" w:rsidRDefault="00B611E8" w:rsidP="008B5BE3">
      <w:pPr>
        <w:spacing w:line="480" w:lineRule="auto"/>
        <w:jc w:val="both"/>
        <w:rPr>
          <w:rFonts w:ascii="Arial" w:hAnsi="Arial" w:cs="Arial"/>
          <w:sz w:val="21"/>
          <w:szCs w:val="21"/>
        </w:rPr>
      </w:pPr>
      <w:r>
        <w:rPr>
          <w:rFonts w:ascii="Arial" w:hAnsi="Arial" w:cs="Arial"/>
          <w:sz w:val="21"/>
          <w:szCs w:val="21"/>
        </w:rPr>
        <w:t>The</w:t>
      </w:r>
      <w:r w:rsidR="00EC6721">
        <w:rPr>
          <w:rFonts w:ascii="Arial" w:hAnsi="Arial" w:cs="Arial"/>
          <w:sz w:val="21"/>
          <w:szCs w:val="21"/>
        </w:rPr>
        <w:t>re is a definite</w:t>
      </w:r>
      <w:r>
        <w:rPr>
          <w:rFonts w:ascii="Arial" w:hAnsi="Arial" w:cs="Arial"/>
          <w:sz w:val="21"/>
          <w:szCs w:val="21"/>
        </w:rPr>
        <w:t xml:space="preserve"> need for intervention</w:t>
      </w:r>
      <w:r w:rsidR="00843DC9">
        <w:rPr>
          <w:rFonts w:ascii="Arial" w:hAnsi="Arial" w:cs="Arial"/>
          <w:sz w:val="21"/>
          <w:szCs w:val="21"/>
        </w:rPr>
        <w:t xml:space="preserve"> against trachoma</w:t>
      </w:r>
      <w:r>
        <w:rPr>
          <w:rFonts w:ascii="Arial" w:hAnsi="Arial" w:cs="Arial"/>
          <w:sz w:val="21"/>
          <w:szCs w:val="21"/>
        </w:rPr>
        <w:t xml:space="preserve"> in Tarawa</w:t>
      </w:r>
      <w:r w:rsidR="009622CB">
        <w:rPr>
          <w:rFonts w:ascii="Arial" w:hAnsi="Arial" w:cs="Arial"/>
          <w:sz w:val="21"/>
          <w:szCs w:val="21"/>
        </w:rPr>
        <w:t>. However, in Vanuatu and other Melanesian countries the need for intervention is less clear</w:t>
      </w:r>
      <w:r w:rsidR="00762659">
        <w:rPr>
          <w:rFonts w:ascii="Arial" w:hAnsi="Arial" w:cs="Arial"/>
          <w:sz w:val="21"/>
          <w:szCs w:val="21"/>
        </w:rPr>
        <w:t>.</w:t>
      </w:r>
      <w:r w:rsidR="009622CB">
        <w:rPr>
          <w:rFonts w:ascii="Arial" w:hAnsi="Arial" w:cs="Arial"/>
          <w:sz w:val="21"/>
          <w:szCs w:val="21"/>
        </w:rPr>
        <w:t xml:space="preserve"> </w:t>
      </w:r>
      <w:r w:rsidR="00762659">
        <w:rPr>
          <w:rFonts w:ascii="Arial" w:hAnsi="Arial" w:cs="Arial"/>
          <w:sz w:val="21"/>
          <w:szCs w:val="21"/>
        </w:rPr>
        <w:t xml:space="preserve">The </w:t>
      </w:r>
      <w:r w:rsidR="00883261">
        <w:rPr>
          <w:rFonts w:ascii="Arial" w:hAnsi="Arial" w:cs="Arial"/>
          <w:sz w:val="21"/>
          <w:szCs w:val="21"/>
        </w:rPr>
        <w:t xml:space="preserve">non-TF </w:t>
      </w:r>
      <w:r w:rsidR="00762659">
        <w:rPr>
          <w:rFonts w:ascii="Arial" w:hAnsi="Arial" w:cs="Arial"/>
          <w:sz w:val="21"/>
          <w:szCs w:val="21"/>
        </w:rPr>
        <w:t xml:space="preserve">markers </w:t>
      </w:r>
      <w:r>
        <w:rPr>
          <w:rFonts w:ascii="Arial" w:hAnsi="Arial" w:cs="Arial"/>
          <w:sz w:val="21"/>
          <w:szCs w:val="21"/>
        </w:rPr>
        <w:t>used</w:t>
      </w:r>
      <w:r w:rsidR="00762659">
        <w:rPr>
          <w:rFonts w:ascii="Arial" w:hAnsi="Arial" w:cs="Arial"/>
          <w:sz w:val="21"/>
          <w:szCs w:val="21"/>
        </w:rPr>
        <w:t xml:space="preserve"> in this study help to </w:t>
      </w:r>
      <w:r w:rsidR="00883261">
        <w:rPr>
          <w:rFonts w:ascii="Arial" w:hAnsi="Arial" w:cs="Arial"/>
          <w:sz w:val="21"/>
          <w:szCs w:val="21"/>
        </w:rPr>
        <w:t>understand</w:t>
      </w:r>
      <w:r w:rsidR="00762659">
        <w:rPr>
          <w:rFonts w:ascii="Arial" w:hAnsi="Arial" w:cs="Arial"/>
          <w:sz w:val="21"/>
          <w:szCs w:val="21"/>
        </w:rPr>
        <w:t xml:space="preserve"> the picture of trachoma in Melanesia in comparison to </w:t>
      </w:r>
      <w:r w:rsidR="00843DC9">
        <w:rPr>
          <w:rFonts w:ascii="Arial" w:hAnsi="Arial" w:cs="Arial"/>
          <w:sz w:val="21"/>
          <w:szCs w:val="21"/>
        </w:rPr>
        <w:t>the</w:t>
      </w:r>
      <w:r w:rsidR="00762659">
        <w:rPr>
          <w:rFonts w:ascii="Arial" w:hAnsi="Arial" w:cs="Arial"/>
          <w:sz w:val="21"/>
          <w:szCs w:val="21"/>
        </w:rPr>
        <w:t xml:space="preserve"> neighbouring country</w:t>
      </w:r>
      <w:r w:rsidR="00843DC9">
        <w:rPr>
          <w:rFonts w:ascii="Arial" w:hAnsi="Arial" w:cs="Arial"/>
          <w:sz w:val="21"/>
          <w:szCs w:val="21"/>
        </w:rPr>
        <w:t xml:space="preserve"> of Kiribati</w:t>
      </w:r>
      <w:r w:rsidR="009622CB">
        <w:rPr>
          <w:rFonts w:ascii="Arial" w:hAnsi="Arial" w:cs="Arial"/>
          <w:sz w:val="21"/>
          <w:szCs w:val="21"/>
        </w:rPr>
        <w:t xml:space="preserve">, and support </w:t>
      </w:r>
      <w:r w:rsidR="000720D0">
        <w:rPr>
          <w:rFonts w:ascii="Arial" w:hAnsi="Arial" w:cs="Arial"/>
          <w:sz w:val="21"/>
          <w:szCs w:val="21"/>
        </w:rPr>
        <w:t xml:space="preserve">suggestions that non-TF markers should be utilised for decision making in </w:t>
      </w:r>
      <w:r w:rsidR="00843DC9">
        <w:rPr>
          <w:rFonts w:ascii="Arial" w:hAnsi="Arial" w:cs="Arial"/>
          <w:sz w:val="21"/>
          <w:szCs w:val="21"/>
        </w:rPr>
        <w:t>Papua New Guinea, Solomon Islands and Vanuatu</w:t>
      </w:r>
      <w:r w:rsidR="000720D0">
        <w:rPr>
          <w:rFonts w:ascii="Arial" w:hAnsi="Arial" w:cs="Arial"/>
          <w:sz w:val="21"/>
          <w:szCs w:val="21"/>
        </w:rPr>
        <w:t xml:space="preserve"> </w:t>
      </w:r>
      <w:r w:rsidR="000720D0">
        <w:rPr>
          <w:rFonts w:ascii="Arial" w:hAnsi="Arial" w:cs="Arial"/>
          <w:sz w:val="21"/>
          <w:szCs w:val="21"/>
        </w:rPr>
        <w:fldChar w:fldCharType="begin" w:fldLock="1"/>
      </w:r>
      <w:r w:rsidR="004D440E">
        <w:rPr>
          <w:rFonts w:ascii="Arial" w:hAnsi="Arial" w:cs="Arial"/>
          <w:sz w:val="21"/>
          <w:szCs w:val="21"/>
        </w:rPr>
        <w:instrText>ADDIN CSL_CITATION {"citationItems":[{"id":"ITEM-1","itemData":{"author":[{"dropping-particle":"","family":"WPRO WHO","given":"","non-dropping-particle":"","parse-names":false,"suffix":""}],"id":"ITEM-1","issued":{"date-parts":[["2018"]]},"publisher-place":"Melbourne, Australia","title":"Expert Consultation on trachoma in the Pacific Islands (RS/2018/GE/02[AUS]).","type":"report"},"uris":["http://www.mendeley.com/documents/?uuid=95a865cf-deff-499a-a159-ad6fd781c479"]}],"mendeley":{"formattedCitation":"[42]","plainTextFormattedCitation":"[42]","previouslyFormattedCitation":"[42]"},"properties":{"noteIndex":0},"schema":"https://github.com/citation-style-language/schema/raw/master/csl-citation.json"}</w:instrText>
      </w:r>
      <w:r w:rsidR="000720D0">
        <w:rPr>
          <w:rFonts w:ascii="Arial" w:hAnsi="Arial" w:cs="Arial"/>
          <w:sz w:val="21"/>
          <w:szCs w:val="21"/>
        </w:rPr>
        <w:fldChar w:fldCharType="separate"/>
      </w:r>
      <w:r w:rsidR="00D3307C" w:rsidRPr="00D3307C">
        <w:rPr>
          <w:rFonts w:ascii="Arial" w:hAnsi="Arial" w:cs="Arial"/>
          <w:noProof/>
          <w:sz w:val="21"/>
          <w:szCs w:val="21"/>
        </w:rPr>
        <w:t>[42]</w:t>
      </w:r>
      <w:r w:rsidR="000720D0">
        <w:rPr>
          <w:rFonts w:ascii="Arial" w:hAnsi="Arial" w:cs="Arial"/>
          <w:sz w:val="21"/>
          <w:szCs w:val="21"/>
        </w:rPr>
        <w:fldChar w:fldCharType="end"/>
      </w:r>
      <w:r w:rsidR="00762659">
        <w:rPr>
          <w:rFonts w:ascii="Arial" w:hAnsi="Arial" w:cs="Arial"/>
          <w:sz w:val="21"/>
          <w:szCs w:val="21"/>
        </w:rPr>
        <w:t xml:space="preserve">. </w:t>
      </w:r>
      <w:r w:rsidR="00B331E1">
        <w:rPr>
          <w:rFonts w:ascii="Arial" w:hAnsi="Arial" w:cs="Arial"/>
          <w:sz w:val="21"/>
          <w:szCs w:val="21"/>
        </w:rPr>
        <w:t xml:space="preserve">Serological surveillance in particular has clear potential for integration with other disease serosurveillance programmes </w:t>
      </w:r>
      <w:r w:rsidR="00B331E1">
        <w:rPr>
          <w:rFonts w:ascii="Arial" w:hAnsi="Arial" w:cs="Arial"/>
          <w:sz w:val="21"/>
          <w:szCs w:val="21"/>
        </w:rPr>
        <w:fldChar w:fldCharType="begin" w:fldLock="1"/>
      </w:r>
      <w:r w:rsidR="004D440E">
        <w:rPr>
          <w:rFonts w:ascii="Arial" w:hAnsi="Arial" w:cs="Arial"/>
          <w:sz w:val="21"/>
          <w:szCs w:val="21"/>
        </w:rPr>
        <w:instrText>ADDIN CSL_CITATION {"citationItems":[{"id":"ITEM-1","itemData":{"DOI":"10.1371/journal.pntd.0001746","ISBN":"1935-2735","ISSN":"1935-2735","PMID":"22860146","author":[{"dropping-particle":"","family":"Solomon","given":"Anthony W","non-dropping-particle":"","parse-names":false,"suffix":""},{"dropping-particle":"","family":"Engels","given":"Dirk","non-dropping-particle":"","parse-names":false,"suffix":""},{"dropping-particle":"","family":"Bailey","given":"Robin L","non-dropping-particle":"","parse-names":false,"suffix":""},{"dropping-particle":"","family":"Blake","given":"Isobel M","non-dropping-particle":"","parse-names":false,"suffix":""},{"dropping-particle":"","family":"Brooker","given":"Simon","non-dropping-particle":"","parse-names":false,"suffix":""},{"dropping-particle":"","family":"Chen","given":"Jia-Xu Jun-Hu","non-dropping-particle":"","parse-names":false,"suffix":""},{"dropping-particle":"","family":"Chen","given":"Jia-Xu Jun-Hu","non-dropping-particle":"","parse-names":false,"suffix":""},{"dropping-particle":"","family":"Churcher","given":"Thomas S","non-dropping-particle":"","parse-names":false,"suffix":""},{"dropping-particle":"","family":"Drakeley","given":"Chris J","non-dropping-particle":"","parse-names":false,"suffix":""},{"dropping-particle":"","family":"Edwards","given":"Tansy","non-dropping-particle":"","parse-names":false,"suffix":""},{"dropping-particle":"","family":"Fenwick","given":"Alan","non-dropping-particle":"","parse-names":false,"suffix":""},{"dropping-particle":"","family":"French","given":"Michael","non-dropping-particle":"","parse-names":false,"suffix":""},{"dropping-particle":"","family":"Gabrielli","given":"Albis Francesco","non-dropping-particle":"","parse-names":false,"suffix":""},{"dropping-particle":"","family":"Grassly","given":"Nicholas C","non-dropping-particle":"","parse-names":false,"suffix":""},{"dropping-particle":"","family":"Harding-Esch","given":"Emma M","non-dropping-particle":"","parse-names":false,"suffix":""},{"dropping-particle":"","family":"Holland","given":"Martin J","non-dropping-particle":"","parse-names":false,"suffix":""},{"dropping-particle":"","family":"Koukounari","given":"Artemis","non-dropping-particle":"","parse-names":false,"suffix":""},{"dropping-particle":"","family":"Lammie","given":"Patrick J","non-dropping-particle":"","parse-names":false,"suffix":""},{"dropping-particle":"","family":"Leslie","given":"Jacqueline","non-dropping-particle":"","parse-names":false,"suffix":""},{"dropping-particle":"","family":"Mabey","given":"David C","non-dropping-particle":"","parse-names":false,"suffix":""},{"dropping-particle":"","family":"Rhajaoui","given":"Mohamed","non-dropping-particle":"","parse-names":false,"suffix":""},{"dropping-particle":"","family":"Secor","given":"W Evan","non-dropping-particle":"","parse-names":false,"suffix":""},{"dropping-particle":"","family":"Stothard","given":"J Russell","non-dropping-particle":"","parse-names":false,"suffix":""},{"dropping-particle":"","family":"Wei","given":"Hu","non-dropping-particle":"","parse-names":false,"suffix":""},{"dropping-particle":"","family":"Willingham","given":"A Lee","non-dropping-particle":"","parse-names":false,"suffix":""},{"dropping-particle":"","family":"Zhou","given":"Xiao-Nong","non-dropping-particle":"","parse-names":false,"suffix":""},{"dropping-particle":"","family":"Peeling","given":"Rosanna W","non-dropping-particle":"","parse-names":false,"suffix":""}],"container-title":"PLoS Neglected Tropical Diseases","id":"ITEM-1","issue":"7","issued":{"date-parts":[["2012","1"]]},"note":"From Duplicate 1 (A Diagnostics Platform for the Integrated Mapping, Monitoring, and Surveillance of Neglected Tropical Diseases: Rationale and Target Product Profiles - Solomon, Anthony W; Engels, Dirk; Bailey, Robin L; Blake, Isobel M; Brooker, Simon; Chen, Jia-Xu; Chen, Jun-Hu; Churcher, Thomas S; Drakeley, Chris J; Edwards, Tansy; Fenwick, Alan; French, Michael; Gabrielli, Albis Francesco; Grassly, Nicholas C; Harding-Esch, Emma M; Holland, Martin J; Koukounari, Artemis; Lammie, Patrick J; Leslie, Jacqueline; Mabey, David C; Rhajaoui, Mohamed; Secor, W Evan; Stothard, J Russell; Wei, Hu; Willingham, A Lee; Zhou, Xiao-Nong; Peeling, Rosanna W)\n\nTimes Cited: 28\nMabey, David/0000-0002-0031-8276; Blake, Isobel/0000-0002-3977-1318; Grassly, Nicholas/0000-0001-6067-4507\n0\n28","page":"e1746","title":"A Diagnostics Platform for the Integrated Mapping, Monitoring, and Surveillance of Neglected Tropical Diseases: Rationale and Target Product Profiles","type":"article-journal","volume":"6"},"uris":["http://www.mendeley.com/documents/?uuid=484ba9e9-f7c7-4a03-8fce-eb5f457cbd05"]}],"mendeley":{"formattedCitation":"[43]","plainTextFormattedCitation":"[43]","previouslyFormattedCitation":"[43]"},"properties":{"noteIndex":0},"schema":"https://github.com/citation-style-language/schema/raw/master/csl-citation.json"}</w:instrText>
      </w:r>
      <w:r w:rsidR="00B331E1">
        <w:rPr>
          <w:rFonts w:ascii="Arial" w:hAnsi="Arial" w:cs="Arial"/>
          <w:sz w:val="21"/>
          <w:szCs w:val="21"/>
        </w:rPr>
        <w:fldChar w:fldCharType="separate"/>
      </w:r>
      <w:r w:rsidR="00D3307C" w:rsidRPr="00D3307C">
        <w:rPr>
          <w:rFonts w:ascii="Arial" w:hAnsi="Arial" w:cs="Arial"/>
          <w:noProof/>
          <w:sz w:val="21"/>
          <w:szCs w:val="21"/>
        </w:rPr>
        <w:t>[43]</w:t>
      </w:r>
      <w:r w:rsidR="00B331E1">
        <w:rPr>
          <w:rFonts w:ascii="Arial" w:hAnsi="Arial" w:cs="Arial"/>
          <w:sz w:val="21"/>
          <w:szCs w:val="21"/>
        </w:rPr>
        <w:fldChar w:fldCharType="end"/>
      </w:r>
      <w:r w:rsidR="00B331E1">
        <w:rPr>
          <w:rFonts w:ascii="Arial" w:hAnsi="Arial" w:cs="Arial"/>
          <w:sz w:val="21"/>
          <w:szCs w:val="21"/>
        </w:rPr>
        <w:t xml:space="preserve">. </w:t>
      </w:r>
      <w:r w:rsidR="00843DC9">
        <w:rPr>
          <w:rFonts w:ascii="Arial" w:hAnsi="Arial" w:cs="Arial"/>
          <w:sz w:val="21"/>
          <w:szCs w:val="21"/>
        </w:rPr>
        <w:t>Our data on</w:t>
      </w:r>
      <w:r w:rsidR="001676CD">
        <w:rPr>
          <w:rFonts w:ascii="Arial" w:hAnsi="Arial" w:cs="Arial"/>
          <w:sz w:val="21"/>
          <w:szCs w:val="21"/>
        </w:rPr>
        <w:t xml:space="preserve"> these additional non-TF markers</w:t>
      </w:r>
      <w:r w:rsidR="00762659">
        <w:rPr>
          <w:rFonts w:ascii="Arial" w:hAnsi="Arial" w:cs="Arial"/>
          <w:sz w:val="21"/>
          <w:szCs w:val="21"/>
        </w:rPr>
        <w:t xml:space="preserve"> in this context </w:t>
      </w:r>
      <w:r w:rsidR="00B331E1">
        <w:rPr>
          <w:rFonts w:ascii="Arial" w:hAnsi="Arial" w:cs="Arial"/>
          <w:sz w:val="21"/>
          <w:szCs w:val="21"/>
        </w:rPr>
        <w:t>should</w:t>
      </w:r>
      <w:r w:rsidR="00762659">
        <w:rPr>
          <w:rFonts w:ascii="Arial" w:hAnsi="Arial" w:cs="Arial"/>
          <w:sz w:val="21"/>
          <w:szCs w:val="21"/>
        </w:rPr>
        <w:t xml:space="preserve"> stimulate</w:t>
      </w:r>
      <w:r w:rsidR="00AC1512">
        <w:rPr>
          <w:rFonts w:ascii="Arial" w:hAnsi="Arial" w:cs="Arial"/>
          <w:sz w:val="21"/>
          <w:szCs w:val="21"/>
        </w:rPr>
        <w:t xml:space="preserve"> further</w:t>
      </w:r>
      <w:r w:rsidR="00762659">
        <w:rPr>
          <w:rFonts w:ascii="Arial" w:hAnsi="Arial" w:cs="Arial"/>
          <w:sz w:val="21"/>
          <w:szCs w:val="21"/>
        </w:rPr>
        <w:t xml:space="preserve"> discussion </w:t>
      </w:r>
      <w:r w:rsidR="00AC1512">
        <w:rPr>
          <w:rFonts w:ascii="Arial" w:hAnsi="Arial" w:cs="Arial"/>
          <w:sz w:val="21"/>
          <w:szCs w:val="21"/>
        </w:rPr>
        <w:t xml:space="preserve">about their </w:t>
      </w:r>
      <w:r w:rsidR="00B331E1">
        <w:rPr>
          <w:rFonts w:ascii="Arial" w:hAnsi="Arial" w:cs="Arial"/>
          <w:sz w:val="21"/>
          <w:szCs w:val="21"/>
        </w:rPr>
        <w:t>wider role</w:t>
      </w:r>
      <w:r w:rsidR="00AC1512">
        <w:rPr>
          <w:rFonts w:ascii="Arial" w:hAnsi="Arial" w:cs="Arial"/>
          <w:sz w:val="21"/>
          <w:szCs w:val="21"/>
        </w:rPr>
        <w:t xml:space="preserve"> in</w:t>
      </w:r>
      <w:r w:rsidR="00B331E1">
        <w:rPr>
          <w:rFonts w:ascii="Arial" w:hAnsi="Arial" w:cs="Arial"/>
          <w:sz w:val="21"/>
          <w:szCs w:val="21"/>
        </w:rPr>
        <w:t xml:space="preserve"> trachoma</w:t>
      </w:r>
      <w:r w:rsidR="00AC1512">
        <w:rPr>
          <w:rFonts w:ascii="Arial" w:hAnsi="Arial" w:cs="Arial"/>
          <w:sz w:val="21"/>
          <w:szCs w:val="21"/>
        </w:rPr>
        <w:t xml:space="preserve"> surveillanc</w:t>
      </w:r>
      <w:r w:rsidR="00B331E1">
        <w:rPr>
          <w:rFonts w:ascii="Arial" w:hAnsi="Arial" w:cs="Arial"/>
          <w:sz w:val="21"/>
          <w:szCs w:val="21"/>
        </w:rPr>
        <w:t xml:space="preserve">e. </w:t>
      </w:r>
    </w:p>
    <w:p w14:paraId="5379BB1B" w14:textId="000BEC08" w:rsidR="00603717" w:rsidRDefault="00603717" w:rsidP="008B5BE3">
      <w:pPr>
        <w:spacing w:line="480" w:lineRule="auto"/>
        <w:jc w:val="both"/>
        <w:rPr>
          <w:rFonts w:ascii="Arial" w:hAnsi="Arial" w:cs="Arial"/>
          <w:sz w:val="21"/>
          <w:szCs w:val="21"/>
        </w:rPr>
      </w:pPr>
    </w:p>
    <w:p w14:paraId="646A8DA0" w14:textId="39749328" w:rsidR="00603717" w:rsidRDefault="00603717" w:rsidP="008B5BE3">
      <w:pPr>
        <w:spacing w:line="480" w:lineRule="auto"/>
        <w:jc w:val="both"/>
        <w:rPr>
          <w:rFonts w:ascii="Arial" w:hAnsi="Arial" w:cs="Arial"/>
          <w:b/>
          <w:sz w:val="21"/>
          <w:szCs w:val="21"/>
        </w:rPr>
      </w:pPr>
      <w:r w:rsidRPr="00603717">
        <w:rPr>
          <w:rFonts w:ascii="Arial" w:hAnsi="Arial" w:cs="Arial"/>
          <w:b/>
          <w:sz w:val="21"/>
          <w:szCs w:val="21"/>
        </w:rPr>
        <w:t>References</w:t>
      </w:r>
    </w:p>
    <w:p w14:paraId="483E3DF2" w14:textId="16DB53A5" w:rsidR="00603717" w:rsidRDefault="00603717" w:rsidP="008B5BE3">
      <w:pPr>
        <w:spacing w:line="480" w:lineRule="auto"/>
        <w:jc w:val="both"/>
        <w:rPr>
          <w:rFonts w:ascii="Arial" w:hAnsi="Arial" w:cs="Arial"/>
          <w:b/>
          <w:sz w:val="21"/>
          <w:szCs w:val="21"/>
        </w:rPr>
      </w:pPr>
    </w:p>
    <w:p w14:paraId="6D7CB441" w14:textId="17998AC7" w:rsidR="004D440E" w:rsidRPr="004D440E" w:rsidRDefault="003450D2" w:rsidP="004D440E">
      <w:pPr>
        <w:widowControl w:val="0"/>
        <w:autoSpaceDE w:val="0"/>
        <w:autoSpaceDN w:val="0"/>
        <w:adjustRightInd w:val="0"/>
        <w:spacing w:line="480" w:lineRule="auto"/>
        <w:ind w:left="640" w:hanging="640"/>
        <w:rPr>
          <w:rFonts w:ascii="Arial" w:hAnsi="Arial" w:cs="Arial"/>
          <w:noProof/>
          <w:sz w:val="20"/>
        </w:rPr>
      </w:pPr>
      <w:r>
        <w:rPr>
          <w:rFonts w:ascii="Arial" w:hAnsi="Arial" w:cs="Arial"/>
          <w:b/>
          <w:sz w:val="21"/>
          <w:szCs w:val="21"/>
        </w:rPr>
        <w:fldChar w:fldCharType="begin" w:fldLock="1"/>
      </w:r>
      <w:r>
        <w:rPr>
          <w:rFonts w:ascii="Arial" w:hAnsi="Arial" w:cs="Arial"/>
          <w:b/>
          <w:sz w:val="21"/>
          <w:szCs w:val="21"/>
        </w:rPr>
        <w:instrText xml:space="preserve">ADDIN Mendeley Bibliography CSL_BIBLIOGRAPHY </w:instrText>
      </w:r>
      <w:r>
        <w:rPr>
          <w:rFonts w:ascii="Arial" w:hAnsi="Arial" w:cs="Arial"/>
          <w:b/>
          <w:sz w:val="21"/>
          <w:szCs w:val="21"/>
        </w:rPr>
        <w:fldChar w:fldCharType="separate"/>
      </w:r>
      <w:r w:rsidR="004D440E" w:rsidRPr="004D440E">
        <w:rPr>
          <w:rFonts w:ascii="Arial" w:hAnsi="Arial" w:cs="Arial"/>
          <w:noProof/>
          <w:sz w:val="20"/>
        </w:rPr>
        <w:t xml:space="preserve">1. </w:t>
      </w:r>
      <w:r w:rsidR="004D440E" w:rsidRPr="004D440E">
        <w:rPr>
          <w:rFonts w:ascii="Arial" w:hAnsi="Arial" w:cs="Arial"/>
          <w:noProof/>
          <w:sz w:val="20"/>
        </w:rPr>
        <w:tab/>
        <w:t xml:space="preserve">Taylor HR. Trachoma: a blinding scourge from the Bronze Age to the twenty-first century. 1st ed. East Melbourne: Centre for Eye Research, Australia; 2008. </w:t>
      </w:r>
    </w:p>
    <w:p w14:paraId="641C13BA"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2. </w:t>
      </w:r>
      <w:r w:rsidRPr="004D440E">
        <w:rPr>
          <w:rFonts w:ascii="Arial" w:hAnsi="Arial" w:cs="Arial"/>
          <w:noProof/>
          <w:sz w:val="20"/>
        </w:rPr>
        <w:tab/>
        <w:t xml:space="preserve">Bourne RA, Stevens GA, White RA, et al. Causes of vision loss worldwide, 1990-2010: a systematic analysis. Lancet Glob Heal. </w:t>
      </w:r>
      <w:r w:rsidRPr="004D440E">
        <w:rPr>
          <w:rFonts w:ascii="Arial" w:hAnsi="Arial" w:cs="Arial"/>
          <w:b/>
          <w:bCs/>
          <w:noProof/>
          <w:sz w:val="20"/>
        </w:rPr>
        <w:t>2013</w:t>
      </w:r>
      <w:r w:rsidRPr="004D440E">
        <w:rPr>
          <w:rFonts w:ascii="Arial" w:hAnsi="Arial" w:cs="Arial"/>
          <w:noProof/>
          <w:sz w:val="20"/>
        </w:rPr>
        <w:t xml:space="preserve">; 1(6):e339-49. </w:t>
      </w:r>
    </w:p>
    <w:p w14:paraId="242DB8FD"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3. </w:t>
      </w:r>
      <w:r w:rsidRPr="004D440E">
        <w:rPr>
          <w:rFonts w:ascii="Arial" w:hAnsi="Arial" w:cs="Arial"/>
          <w:noProof/>
          <w:sz w:val="20"/>
        </w:rPr>
        <w:tab/>
        <w:t xml:space="preserve">Solomon A, Zondervan M, Kuper H, Buchan J, Mabey D, Foster A. Trachoma control: a guide for program managers. Geneva, Switzerland: World Health Organization; 2006. </w:t>
      </w:r>
    </w:p>
    <w:p w14:paraId="091E8367"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4. </w:t>
      </w:r>
      <w:r w:rsidRPr="004D440E">
        <w:rPr>
          <w:rFonts w:ascii="Arial" w:hAnsi="Arial" w:cs="Arial"/>
          <w:noProof/>
          <w:sz w:val="20"/>
        </w:rPr>
        <w:tab/>
        <w:t xml:space="preserve">World Health Organization. Validation of elimination of trachoma as a public health problem (WHO/HTM/NTD/2016.8). Geneva, Switzerland; 2016. </w:t>
      </w:r>
    </w:p>
    <w:p w14:paraId="72A3B073"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5. </w:t>
      </w:r>
      <w:r w:rsidRPr="004D440E">
        <w:rPr>
          <w:rFonts w:ascii="Arial" w:hAnsi="Arial" w:cs="Arial"/>
          <w:noProof/>
          <w:sz w:val="20"/>
        </w:rPr>
        <w:tab/>
        <w:t xml:space="preserve">Thylefors B, Dawson CR, Jones BR, West SK, Taylor HR. A simple system for the assessment of trachoma and its complications. Bull World Health Organ. </w:t>
      </w:r>
      <w:r w:rsidRPr="004D440E">
        <w:rPr>
          <w:rFonts w:ascii="Arial" w:hAnsi="Arial" w:cs="Arial"/>
          <w:b/>
          <w:bCs/>
          <w:noProof/>
          <w:sz w:val="20"/>
        </w:rPr>
        <w:t>1987</w:t>
      </w:r>
      <w:r w:rsidRPr="004D440E">
        <w:rPr>
          <w:rFonts w:ascii="Arial" w:hAnsi="Arial" w:cs="Arial"/>
          <w:noProof/>
          <w:sz w:val="20"/>
        </w:rPr>
        <w:t xml:space="preserve">; 65(4):477–83. </w:t>
      </w:r>
    </w:p>
    <w:p w14:paraId="0CB52829"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6. </w:t>
      </w:r>
      <w:r w:rsidRPr="004D440E">
        <w:rPr>
          <w:rFonts w:ascii="Arial" w:hAnsi="Arial" w:cs="Arial"/>
          <w:noProof/>
          <w:sz w:val="20"/>
        </w:rPr>
        <w:tab/>
        <w:t xml:space="preserve">Burton MJ, Hu VH, Massae P, et al. What is causing active trachoma? The role of nonchlamydial bacterial pathogens in a low prevalence setting. Invest Ophthalmol Vis Sci. </w:t>
      </w:r>
      <w:r w:rsidRPr="004D440E">
        <w:rPr>
          <w:rFonts w:ascii="Arial" w:hAnsi="Arial" w:cs="Arial"/>
          <w:b/>
          <w:bCs/>
          <w:noProof/>
          <w:sz w:val="20"/>
        </w:rPr>
        <w:t>2011</w:t>
      </w:r>
      <w:r w:rsidRPr="004D440E">
        <w:rPr>
          <w:rFonts w:ascii="Arial" w:hAnsi="Arial" w:cs="Arial"/>
          <w:noProof/>
          <w:sz w:val="20"/>
        </w:rPr>
        <w:t xml:space="preserve">; 52(8):6012–7. </w:t>
      </w:r>
    </w:p>
    <w:p w14:paraId="1CD27474"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7. </w:t>
      </w:r>
      <w:r w:rsidRPr="004D440E">
        <w:rPr>
          <w:rFonts w:ascii="Arial" w:hAnsi="Arial" w:cs="Arial"/>
          <w:noProof/>
          <w:sz w:val="20"/>
        </w:rPr>
        <w:tab/>
        <w:t xml:space="preserve">Burr SE, Hart JD, Edwards T, et al. Association between ocular bacterial carriage and follicular trachoma following mass azithromycin distribution in The Gambia. PLoS Negl Trop Dis. </w:t>
      </w:r>
      <w:r w:rsidRPr="004D440E">
        <w:rPr>
          <w:rFonts w:ascii="Arial" w:hAnsi="Arial" w:cs="Arial"/>
          <w:b/>
          <w:bCs/>
          <w:noProof/>
          <w:sz w:val="20"/>
        </w:rPr>
        <w:t>2013</w:t>
      </w:r>
      <w:r w:rsidRPr="004D440E">
        <w:rPr>
          <w:rFonts w:ascii="Arial" w:hAnsi="Arial" w:cs="Arial"/>
          <w:noProof/>
          <w:sz w:val="20"/>
        </w:rPr>
        <w:t xml:space="preserve">; </w:t>
      </w:r>
      <w:r w:rsidRPr="004D440E">
        <w:rPr>
          <w:rFonts w:ascii="Arial" w:hAnsi="Arial" w:cs="Arial"/>
          <w:noProof/>
          <w:sz w:val="20"/>
        </w:rPr>
        <w:lastRenderedPageBreak/>
        <w:t xml:space="preserve">7(7):e2347. </w:t>
      </w:r>
    </w:p>
    <w:p w14:paraId="50CA4B86"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8. </w:t>
      </w:r>
      <w:r w:rsidRPr="004D440E">
        <w:rPr>
          <w:rFonts w:ascii="Arial" w:hAnsi="Arial" w:cs="Arial"/>
          <w:noProof/>
          <w:sz w:val="20"/>
        </w:rPr>
        <w:tab/>
        <w:t xml:space="preserve">Bird M, Dawson CR, Schachter JS, et al. Does the diagnosis of trachoma adequately identify ocular chlamydial infection in trachoma-endemic areas? J Infect Dis. </w:t>
      </w:r>
      <w:r w:rsidRPr="004D440E">
        <w:rPr>
          <w:rFonts w:ascii="Arial" w:hAnsi="Arial" w:cs="Arial"/>
          <w:b/>
          <w:bCs/>
          <w:noProof/>
          <w:sz w:val="20"/>
        </w:rPr>
        <w:t>2003</w:t>
      </w:r>
      <w:r w:rsidRPr="004D440E">
        <w:rPr>
          <w:rFonts w:ascii="Arial" w:hAnsi="Arial" w:cs="Arial"/>
          <w:noProof/>
          <w:sz w:val="20"/>
        </w:rPr>
        <w:t xml:space="preserve">; 187(10):1669–73. </w:t>
      </w:r>
    </w:p>
    <w:p w14:paraId="7BC03528"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9. </w:t>
      </w:r>
      <w:r w:rsidRPr="004D440E">
        <w:rPr>
          <w:rFonts w:ascii="Arial" w:hAnsi="Arial" w:cs="Arial"/>
          <w:noProof/>
          <w:sz w:val="20"/>
        </w:rPr>
        <w:tab/>
        <w:t xml:space="preserve">Wolle MA, Muñoz BE, Mkocha H, West SK. Constant ocular infection with Chlamydia trachomatis predicts risk of scarring in children in Tanzania. Ophthalmology. </w:t>
      </w:r>
      <w:r w:rsidRPr="004D440E">
        <w:rPr>
          <w:rFonts w:ascii="Arial" w:hAnsi="Arial" w:cs="Arial"/>
          <w:b/>
          <w:bCs/>
          <w:noProof/>
          <w:sz w:val="20"/>
        </w:rPr>
        <w:t>2009</w:t>
      </w:r>
      <w:r w:rsidRPr="004D440E">
        <w:rPr>
          <w:rFonts w:ascii="Arial" w:hAnsi="Arial" w:cs="Arial"/>
          <w:noProof/>
          <w:sz w:val="20"/>
        </w:rPr>
        <w:t xml:space="preserve">; 116(2):243–7. </w:t>
      </w:r>
    </w:p>
    <w:p w14:paraId="17C44BCD"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10. </w:t>
      </w:r>
      <w:r w:rsidRPr="004D440E">
        <w:rPr>
          <w:rFonts w:ascii="Arial" w:hAnsi="Arial" w:cs="Arial"/>
          <w:noProof/>
          <w:sz w:val="20"/>
        </w:rPr>
        <w:tab/>
        <w:t xml:space="preserve">West SK, Muñoz B, Mkocha H, Hsieh YH, Lynch MC. Progression of active trachoma to scarring in a cohort of Tanzanian children. Ophthalmic Epidemiol. </w:t>
      </w:r>
      <w:r w:rsidRPr="004D440E">
        <w:rPr>
          <w:rFonts w:ascii="Arial" w:hAnsi="Arial" w:cs="Arial"/>
          <w:b/>
          <w:bCs/>
          <w:noProof/>
          <w:sz w:val="20"/>
        </w:rPr>
        <w:t>2001</w:t>
      </w:r>
      <w:r w:rsidRPr="004D440E">
        <w:rPr>
          <w:rFonts w:ascii="Arial" w:hAnsi="Arial" w:cs="Arial"/>
          <w:noProof/>
          <w:sz w:val="20"/>
        </w:rPr>
        <w:t xml:space="preserve">; 8(2–3):137–44. </w:t>
      </w:r>
    </w:p>
    <w:p w14:paraId="609CAC25"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11. </w:t>
      </w:r>
      <w:r w:rsidRPr="004D440E">
        <w:rPr>
          <w:rFonts w:ascii="Arial" w:hAnsi="Arial" w:cs="Arial"/>
          <w:noProof/>
          <w:sz w:val="20"/>
        </w:rPr>
        <w:tab/>
        <w:t xml:space="preserve">Ramadhani AM, Derrick T, Holland MJ, Burton MJ. Blinding Trachoma: Systematic Review of Rates and Risk Factors for Progressive Disease. PLoS Negl Trop Dis. </w:t>
      </w:r>
      <w:r w:rsidRPr="004D440E">
        <w:rPr>
          <w:rFonts w:ascii="Arial" w:hAnsi="Arial" w:cs="Arial"/>
          <w:b/>
          <w:bCs/>
          <w:noProof/>
          <w:sz w:val="20"/>
        </w:rPr>
        <w:t>2016</w:t>
      </w:r>
      <w:r w:rsidRPr="004D440E">
        <w:rPr>
          <w:rFonts w:ascii="Arial" w:hAnsi="Arial" w:cs="Arial"/>
          <w:noProof/>
          <w:sz w:val="20"/>
        </w:rPr>
        <w:t xml:space="preserve">; 10(8):e0004859. </w:t>
      </w:r>
    </w:p>
    <w:p w14:paraId="7584FBE1"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12. </w:t>
      </w:r>
      <w:r w:rsidRPr="004D440E">
        <w:rPr>
          <w:rFonts w:ascii="Arial" w:hAnsi="Arial" w:cs="Arial"/>
          <w:noProof/>
          <w:sz w:val="20"/>
        </w:rPr>
        <w:tab/>
        <w:t xml:space="preserve">Sokana O, Macleod CK, Jack K, et al. Mapping Trachoma in the Solomon Islands: Results of Three Baseline Population-Based Prevalence Surveys Conducted with the Global Trachoma Mapping Project. Ophthalmic Epidemiol. </w:t>
      </w:r>
      <w:r w:rsidRPr="004D440E">
        <w:rPr>
          <w:rFonts w:ascii="Arial" w:hAnsi="Arial" w:cs="Arial"/>
          <w:b/>
          <w:bCs/>
          <w:noProof/>
          <w:sz w:val="20"/>
        </w:rPr>
        <w:t>2016</w:t>
      </w:r>
      <w:r w:rsidRPr="004D440E">
        <w:rPr>
          <w:rFonts w:ascii="Arial" w:hAnsi="Arial" w:cs="Arial"/>
          <w:noProof/>
          <w:sz w:val="20"/>
        </w:rPr>
        <w:t xml:space="preserve">; 23(sup1):15–21. </w:t>
      </w:r>
    </w:p>
    <w:p w14:paraId="09BFCAEC"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13. </w:t>
      </w:r>
      <w:r w:rsidRPr="004D440E">
        <w:rPr>
          <w:rFonts w:ascii="Arial" w:hAnsi="Arial" w:cs="Arial"/>
          <w:noProof/>
          <w:sz w:val="20"/>
        </w:rPr>
        <w:tab/>
        <w:t xml:space="preserve">Taleo F, Macleod CK, Marks M, et al. Integrated mapping of yaws and trachoma in the five northern-most provinces of Vanuatu. PLoS Negl Trop Dis. </w:t>
      </w:r>
      <w:r w:rsidRPr="004D440E">
        <w:rPr>
          <w:rFonts w:ascii="Arial" w:hAnsi="Arial" w:cs="Arial"/>
          <w:b/>
          <w:bCs/>
          <w:noProof/>
          <w:sz w:val="20"/>
        </w:rPr>
        <w:t>2017</w:t>
      </w:r>
      <w:r w:rsidRPr="004D440E">
        <w:rPr>
          <w:rFonts w:ascii="Arial" w:hAnsi="Arial" w:cs="Arial"/>
          <w:noProof/>
          <w:sz w:val="20"/>
        </w:rPr>
        <w:t xml:space="preserve">; 11(1):e0005267. </w:t>
      </w:r>
    </w:p>
    <w:p w14:paraId="1DD86DAB"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14. </w:t>
      </w:r>
      <w:r w:rsidRPr="004D440E">
        <w:rPr>
          <w:rFonts w:ascii="Arial" w:hAnsi="Arial" w:cs="Arial"/>
          <w:noProof/>
          <w:sz w:val="20"/>
        </w:rPr>
        <w:tab/>
        <w:t xml:space="preserve">Ko R, Macleod C, Pahau D, et al. Population-Based Trachoma Mapping in Six Evaluation Units of Papua New Guinea. Ophthalmic Epidemiol. </w:t>
      </w:r>
      <w:r w:rsidRPr="004D440E">
        <w:rPr>
          <w:rFonts w:ascii="Arial" w:hAnsi="Arial" w:cs="Arial"/>
          <w:b/>
          <w:bCs/>
          <w:noProof/>
          <w:sz w:val="20"/>
        </w:rPr>
        <w:t>2016</w:t>
      </w:r>
      <w:r w:rsidRPr="004D440E">
        <w:rPr>
          <w:rFonts w:ascii="Arial" w:hAnsi="Arial" w:cs="Arial"/>
          <w:noProof/>
          <w:sz w:val="20"/>
        </w:rPr>
        <w:t xml:space="preserve">; 23(00):22–31. </w:t>
      </w:r>
    </w:p>
    <w:p w14:paraId="12F3F9DD"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15. </w:t>
      </w:r>
      <w:r w:rsidRPr="004D440E">
        <w:rPr>
          <w:rFonts w:ascii="Arial" w:hAnsi="Arial" w:cs="Arial"/>
          <w:noProof/>
          <w:sz w:val="20"/>
        </w:rPr>
        <w:tab/>
        <w:t xml:space="preserve">International Agency for the Prevention of Blindness. Trachoma Mapping in the Pacific. Melbourne, Australia; 2013. </w:t>
      </w:r>
    </w:p>
    <w:p w14:paraId="34C5445D"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16. </w:t>
      </w:r>
      <w:r w:rsidRPr="004D440E">
        <w:rPr>
          <w:rFonts w:ascii="Arial" w:hAnsi="Arial" w:cs="Arial"/>
          <w:noProof/>
          <w:sz w:val="20"/>
        </w:rPr>
        <w:tab/>
        <w:t xml:space="preserve">Cama A, Müller A, Taoaba R, et al. Prevalence of signs of trachoma, ocular Chlamydia trachomatis infection and antibodies to Pgp3 in residents of Kiritimati Island, Kiribati. PLoS Negl Trop Dis. </w:t>
      </w:r>
      <w:r w:rsidRPr="004D440E">
        <w:rPr>
          <w:rFonts w:ascii="Arial" w:hAnsi="Arial" w:cs="Arial"/>
          <w:b/>
          <w:bCs/>
          <w:noProof/>
          <w:sz w:val="20"/>
        </w:rPr>
        <w:t>2017</w:t>
      </w:r>
      <w:r w:rsidRPr="004D440E">
        <w:rPr>
          <w:rFonts w:ascii="Arial" w:hAnsi="Arial" w:cs="Arial"/>
          <w:noProof/>
          <w:sz w:val="20"/>
        </w:rPr>
        <w:t xml:space="preserve">; 11(9):e0005863. </w:t>
      </w:r>
    </w:p>
    <w:p w14:paraId="0EDC7CA7"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17. </w:t>
      </w:r>
      <w:r w:rsidRPr="004D440E">
        <w:rPr>
          <w:rFonts w:ascii="Arial" w:hAnsi="Arial" w:cs="Arial"/>
          <w:noProof/>
          <w:sz w:val="20"/>
        </w:rPr>
        <w:tab/>
        <w:t xml:space="preserve">Butcher RMR, Sokana O, Jack K, et al. Low Prevalence of Conjunctival Infection with Chlamydia trachomatis in a Treatment-Naïve Trachoma-Endemic Region of the Solomon Islands. PLoS Negl Trop Dis. </w:t>
      </w:r>
      <w:r w:rsidRPr="004D440E">
        <w:rPr>
          <w:rFonts w:ascii="Arial" w:hAnsi="Arial" w:cs="Arial"/>
          <w:b/>
          <w:bCs/>
          <w:noProof/>
          <w:sz w:val="20"/>
        </w:rPr>
        <w:t>2016</w:t>
      </w:r>
      <w:r w:rsidRPr="004D440E">
        <w:rPr>
          <w:rFonts w:ascii="Arial" w:hAnsi="Arial" w:cs="Arial"/>
          <w:noProof/>
          <w:sz w:val="20"/>
        </w:rPr>
        <w:t xml:space="preserve">; 10(9):e0004863. </w:t>
      </w:r>
    </w:p>
    <w:p w14:paraId="3BA6D67B"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18. </w:t>
      </w:r>
      <w:r w:rsidRPr="004D440E">
        <w:rPr>
          <w:rFonts w:ascii="Arial" w:hAnsi="Arial" w:cs="Arial"/>
          <w:noProof/>
          <w:sz w:val="20"/>
        </w:rPr>
        <w:tab/>
        <w:t xml:space="preserve">Butcher R, Sokana O, Jack K, et al. Clinical signs of trachoma are prevalent among Solomon Islanders who have no persistent markers of prior infection with Chlamydia trachomatis. Wellcome Open Res. </w:t>
      </w:r>
      <w:r w:rsidRPr="004D440E">
        <w:rPr>
          <w:rFonts w:ascii="Arial" w:hAnsi="Arial" w:cs="Arial"/>
          <w:b/>
          <w:bCs/>
          <w:noProof/>
          <w:sz w:val="20"/>
        </w:rPr>
        <w:t>2018</w:t>
      </w:r>
      <w:r w:rsidRPr="004D440E">
        <w:rPr>
          <w:rFonts w:ascii="Arial" w:hAnsi="Arial" w:cs="Arial"/>
          <w:noProof/>
          <w:sz w:val="20"/>
        </w:rPr>
        <w:t xml:space="preserve">; 3(14). </w:t>
      </w:r>
    </w:p>
    <w:p w14:paraId="0A7EEEEC"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19. </w:t>
      </w:r>
      <w:r w:rsidRPr="004D440E">
        <w:rPr>
          <w:rFonts w:ascii="Arial" w:hAnsi="Arial" w:cs="Arial"/>
          <w:noProof/>
          <w:sz w:val="20"/>
        </w:rPr>
        <w:tab/>
        <w:t xml:space="preserve">Solomon AW, Pavluck AL, Courtright P, et al. The Global Trachoma Mapping Project: Methodology of a 34-Country Population-Based Study. Ophthalmic Epidemiol. </w:t>
      </w:r>
      <w:r w:rsidRPr="004D440E">
        <w:rPr>
          <w:rFonts w:ascii="Arial" w:hAnsi="Arial" w:cs="Arial"/>
          <w:b/>
          <w:bCs/>
          <w:noProof/>
          <w:sz w:val="20"/>
        </w:rPr>
        <w:t>2015</w:t>
      </w:r>
      <w:r w:rsidRPr="004D440E">
        <w:rPr>
          <w:rFonts w:ascii="Arial" w:hAnsi="Arial" w:cs="Arial"/>
          <w:noProof/>
          <w:sz w:val="20"/>
        </w:rPr>
        <w:t xml:space="preserve">; 22(3):214–25. </w:t>
      </w:r>
    </w:p>
    <w:p w14:paraId="42A09D17"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20. </w:t>
      </w:r>
      <w:r w:rsidRPr="004D440E">
        <w:rPr>
          <w:rFonts w:ascii="Arial" w:hAnsi="Arial" w:cs="Arial"/>
          <w:noProof/>
          <w:sz w:val="20"/>
        </w:rPr>
        <w:tab/>
        <w:t xml:space="preserve">Vanuatu National Statistics Office. National Census of Population and Housing. 2009. </w:t>
      </w:r>
    </w:p>
    <w:p w14:paraId="26B74E87"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lastRenderedPageBreak/>
        <w:t xml:space="preserve">21. </w:t>
      </w:r>
      <w:r w:rsidRPr="004D440E">
        <w:rPr>
          <w:rFonts w:ascii="Arial" w:hAnsi="Arial" w:cs="Arial"/>
          <w:noProof/>
          <w:sz w:val="20"/>
        </w:rPr>
        <w:tab/>
        <w:t xml:space="preserve">Kiribati National Statistics Office. Kiribati 2010 Census of population and Housing. Natl Stat Off Minist Financ. </w:t>
      </w:r>
      <w:r w:rsidRPr="004D440E">
        <w:rPr>
          <w:rFonts w:ascii="Arial" w:hAnsi="Arial" w:cs="Arial"/>
          <w:b/>
          <w:bCs/>
          <w:noProof/>
          <w:sz w:val="20"/>
        </w:rPr>
        <w:t>2012</w:t>
      </w:r>
      <w:r w:rsidRPr="004D440E">
        <w:rPr>
          <w:rFonts w:ascii="Arial" w:hAnsi="Arial" w:cs="Arial"/>
          <w:noProof/>
          <w:sz w:val="20"/>
        </w:rPr>
        <w:t xml:space="preserve">; 1:1–227. </w:t>
      </w:r>
    </w:p>
    <w:p w14:paraId="614C5C58"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22. </w:t>
      </w:r>
      <w:r w:rsidRPr="004D440E">
        <w:rPr>
          <w:rFonts w:ascii="Arial" w:hAnsi="Arial" w:cs="Arial"/>
          <w:noProof/>
          <w:sz w:val="20"/>
        </w:rPr>
        <w:tab/>
        <w:t xml:space="preserve">Dawson CR, Jones BR, Tarizzo ML, World Health Organization. Guide to trachoma control in programmes for the prevention of blindness. Geneva, Switzerland: World Health Organization; 1981. </w:t>
      </w:r>
    </w:p>
    <w:p w14:paraId="497F8ADD"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23. </w:t>
      </w:r>
      <w:r w:rsidRPr="004D440E">
        <w:rPr>
          <w:rFonts w:ascii="Arial" w:hAnsi="Arial" w:cs="Arial"/>
          <w:noProof/>
          <w:sz w:val="20"/>
        </w:rPr>
        <w:tab/>
        <w:t xml:space="preserve">Solomon AW, Holland MJ, Burton MJ, et al. Strategies for control of trachoma: observational study with quantitative PCR. Lancet. </w:t>
      </w:r>
      <w:r w:rsidRPr="004D440E">
        <w:rPr>
          <w:rFonts w:ascii="Arial" w:hAnsi="Arial" w:cs="Arial"/>
          <w:b/>
          <w:bCs/>
          <w:noProof/>
          <w:sz w:val="20"/>
        </w:rPr>
        <w:t>2003</w:t>
      </w:r>
      <w:r w:rsidRPr="004D440E">
        <w:rPr>
          <w:rFonts w:ascii="Arial" w:hAnsi="Arial" w:cs="Arial"/>
          <w:noProof/>
          <w:sz w:val="20"/>
        </w:rPr>
        <w:t xml:space="preserve">; 362(9379):198–204. </w:t>
      </w:r>
    </w:p>
    <w:p w14:paraId="3CFF1388"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24. </w:t>
      </w:r>
      <w:r w:rsidRPr="004D440E">
        <w:rPr>
          <w:rFonts w:ascii="Arial" w:hAnsi="Arial" w:cs="Arial"/>
          <w:noProof/>
          <w:sz w:val="20"/>
        </w:rPr>
        <w:tab/>
        <w:t xml:space="preserve">Roberts CH, Last A, Molina-Gonzalez S, et al. Development and Evaluation of a Next-Generation Digital PCR Diagnostic Assay for Ocular Chlamydia trachomatis Infections. J Clin Microbiol. </w:t>
      </w:r>
      <w:r w:rsidRPr="004D440E">
        <w:rPr>
          <w:rFonts w:ascii="Arial" w:hAnsi="Arial" w:cs="Arial"/>
          <w:b/>
          <w:bCs/>
          <w:noProof/>
          <w:sz w:val="20"/>
        </w:rPr>
        <w:t>2013</w:t>
      </w:r>
      <w:r w:rsidRPr="004D440E">
        <w:rPr>
          <w:rFonts w:ascii="Arial" w:hAnsi="Arial" w:cs="Arial"/>
          <w:noProof/>
          <w:sz w:val="20"/>
        </w:rPr>
        <w:t xml:space="preserve">; 51(7):2195–203. </w:t>
      </w:r>
    </w:p>
    <w:p w14:paraId="209D1AAE"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25. </w:t>
      </w:r>
      <w:r w:rsidRPr="004D440E">
        <w:rPr>
          <w:rFonts w:ascii="Arial" w:hAnsi="Arial" w:cs="Arial"/>
          <w:noProof/>
          <w:sz w:val="20"/>
        </w:rPr>
        <w:tab/>
        <w:t xml:space="preserve">Macleod CK, Butcher R, Mudaliar UU, et al. Low prevalence of ocular Chlamydia trachomatis infection and active trachoma in the Western Division of Fiji. PLoS Negl Trop Dis. </w:t>
      </w:r>
      <w:r w:rsidRPr="004D440E">
        <w:rPr>
          <w:rFonts w:ascii="Arial" w:hAnsi="Arial" w:cs="Arial"/>
          <w:b/>
          <w:bCs/>
          <w:noProof/>
          <w:sz w:val="20"/>
        </w:rPr>
        <w:t>2016</w:t>
      </w:r>
      <w:r w:rsidRPr="004D440E">
        <w:rPr>
          <w:rFonts w:ascii="Arial" w:hAnsi="Arial" w:cs="Arial"/>
          <w:noProof/>
          <w:sz w:val="20"/>
        </w:rPr>
        <w:t xml:space="preserve">; 10(7):e0004798. </w:t>
      </w:r>
    </w:p>
    <w:p w14:paraId="4615499F"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26. </w:t>
      </w:r>
      <w:r w:rsidRPr="004D440E">
        <w:rPr>
          <w:rFonts w:ascii="Arial" w:hAnsi="Arial" w:cs="Arial"/>
          <w:noProof/>
          <w:sz w:val="20"/>
        </w:rPr>
        <w:tab/>
        <w:t xml:space="preserve">Goodhew EB, Priest JW, Moss DM, et al. CT694 and pgp3 as serological tools for monitoring trachoma programs. PLoS Negl Trop Dis. </w:t>
      </w:r>
      <w:r w:rsidRPr="004D440E">
        <w:rPr>
          <w:rFonts w:ascii="Arial" w:hAnsi="Arial" w:cs="Arial"/>
          <w:b/>
          <w:bCs/>
          <w:noProof/>
          <w:sz w:val="20"/>
        </w:rPr>
        <w:t>2012</w:t>
      </w:r>
      <w:r w:rsidRPr="004D440E">
        <w:rPr>
          <w:rFonts w:ascii="Arial" w:hAnsi="Arial" w:cs="Arial"/>
          <w:noProof/>
          <w:sz w:val="20"/>
        </w:rPr>
        <w:t xml:space="preserve">; 6(11):e1873. </w:t>
      </w:r>
    </w:p>
    <w:p w14:paraId="39B62C62"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27. </w:t>
      </w:r>
      <w:r w:rsidRPr="004D440E">
        <w:rPr>
          <w:rFonts w:ascii="Arial" w:hAnsi="Arial" w:cs="Arial"/>
          <w:noProof/>
          <w:sz w:val="20"/>
        </w:rPr>
        <w:tab/>
        <w:t xml:space="preserve">Gwyn S, Cooley G, Goodhew B, et al. Comparison of Platforms for Testing Antibody Responses against the Chlamydia trachomatis Antigen Pgp3. Am J Trop Med Hyg. </w:t>
      </w:r>
      <w:r w:rsidRPr="004D440E">
        <w:rPr>
          <w:rFonts w:ascii="Arial" w:hAnsi="Arial" w:cs="Arial"/>
          <w:b/>
          <w:bCs/>
          <w:noProof/>
          <w:sz w:val="20"/>
        </w:rPr>
        <w:t>2017</w:t>
      </w:r>
      <w:r w:rsidRPr="004D440E">
        <w:rPr>
          <w:rFonts w:ascii="Arial" w:hAnsi="Arial" w:cs="Arial"/>
          <w:noProof/>
          <w:sz w:val="20"/>
        </w:rPr>
        <w:t xml:space="preserve">; 97(6):1662-1668. </w:t>
      </w:r>
    </w:p>
    <w:p w14:paraId="1CD17A5B"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28. </w:t>
      </w:r>
      <w:r w:rsidRPr="004D440E">
        <w:rPr>
          <w:rFonts w:ascii="Arial" w:hAnsi="Arial" w:cs="Arial"/>
          <w:noProof/>
          <w:sz w:val="20"/>
        </w:rPr>
        <w:tab/>
        <w:t xml:space="preserve">Cocks N, Rainima-Qaniuci M, Yalen C, et al. Community seroprevalence survey for yaws and trachoma in the Western Division of Fiji. Trans R Soc Trop Med Hyg. England; </w:t>
      </w:r>
      <w:r w:rsidRPr="004D440E">
        <w:rPr>
          <w:rFonts w:ascii="Arial" w:hAnsi="Arial" w:cs="Arial"/>
          <w:b/>
          <w:bCs/>
          <w:noProof/>
          <w:sz w:val="20"/>
        </w:rPr>
        <w:t>2016</w:t>
      </w:r>
      <w:r w:rsidRPr="004D440E">
        <w:rPr>
          <w:rFonts w:ascii="Arial" w:hAnsi="Arial" w:cs="Arial"/>
          <w:noProof/>
          <w:sz w:val="20"/>
        </w:rPr>
        <w:t xml:space="preserve">; 110(10):582–587. </w:t>
      </w:r>
    </w:p>
    <w:p w14:paraId="2B4FA4DD"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29. </w:t>
      </w:r>
      <w:r w:rsidRPr="004D440E">
        <w:rPr>
          <w:rFonts w:ascii="Arial" w:hAnsi="Arial" w:cs="Arial"/>
          <w:noProof/>
          <w:sz w:val="20"/>
        </w:rPr>
        <w:tab/>
        <w:t xml:space="preserve">Migchelsen SJ, Martin DL, Southisombath K, et al. Defining Seropositivity Thresholds for Use in Trachoma Elimination Studies. PLoS Negl Trop Dis. </w:t>
      </w:r>
      <w:r w:rsidRPr="004D440E">
        <w:rPr>
          <w:rFonts w:ascii="Arial" w:hAnsi="Arial" w:cs="Arial"/>
          <w:b/>
          <w:bCs/>
          <w:noProof/>
          <w:sz w:val="20"/>
        </w:rPr>
        <w:t>2017</w:t>
      </w:r>
      <w:r w:rsidRPr="004D440E">
        <w:rPr>
          <w:rFonts w:ascii="Arial" w:hAnsi="Arial" w:cs="Arial"/>
          <w:noProof/>
          <w:sz w:val="20"/>
        </w:rPr>
        <w:t xml:space="preserve">; 11(1):e0005230. </w:t>
      </w:r>
    </w:p>
    <w:p w14:paraId="297487C8"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30. </w:t>
      </w:r>
      <w:r w:rsidRPr="004D440E">
        <w:rPr>
          <w:rFonts w:ascii="Arial" w:hAnsi="Arial" w:cs="Arial"/>
          <w:noProof/>
          <w:sz w:val="20"/>
        </w:rPr>
        <w:tab/>
        <w:t xml:space="preserve">Friedlaender JS, Friedlaender FR, Reed FA, et al. The genetic structure of Pacific Islanders. PLoS Genet. </w:t>
      </w:r>
      <w:r w:rsidRPr="004D440E">
        <w:rPr>
          <w:rFonts w:ascii="Arial" w:hAnsi="Arial" w:cs="Arial"/>
          <w:b/>
          <w:bCs/>
          <w:noProof/>
          <w:sz w:val="20"/>
        </w:rPr>
        <w:t>2008</w:t>
      </w:r>
      <w:r w:rsidRPr="004D440E">
        <w:rPr>
          <w:rFonts w:ascii="Arial" w:hAnsi="Arial" w:cs="Arial"/>
          <w:noProof/>
          <w:sz w:val="20"/>
        </w:rPr>
        <w:t xml:space="preserve">; 4(1):e19. </w:t>
      </w:r>
    </w:p>
    <w:p w14:paraId="7689C0CB"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31. </w:t>
      </w:r>
      <w:r w:rsidRPr="004D440E">
        <w:rPr>
          <w:rFonts w:ascii="Arial" w:hAnsi="Arial" w:cs="Arial"/>
          <w:noProof/>
          <w:sz w:val="20"/>
        </w:rPr>
        <w:tab/>
        <w:t xml:space="preserve">Pinsent A, Solomon AW, Bailey RL, et al. The utility of serology for elimination surveillance of trachoma. Nat Commun. Springer US; </w:t>
      </w:r>
      <w:r w:rsidRPr="004D440E">
        <w:rPr>
          <w:rFonts w:ascii="Arial" w:hAnsi="Arial" w:cs="Arial"/>
          <w:b/>
          <w:bCs/>
          <w:noProof/>
          <w:sz w:val="20"/>
        </w:rPr>
        <w:t>2018</w:t>
      </w:r>
      <w:r w:rsidRPr="004D440E">
        <w:rPr>
          <w:rFonts w:ascii="Arial" w:hAnsi="Arial" w:cs="Arial"/>
          <w:noProof/>
          <w:sz w:val="20"/>
        </w:rPr>
        <w:t xml:space="preserve">; 9(1):25–28. </w:t>
      </w:r>
    </w:p>
    <w:p w14:paraId="1DB63458"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32. </w:t>
      </w:r>
      <w:r w:rsidRPr="004D440E">
        <w:rPr>
          <w:rFonts w:ascii="Arial" w:hAnsi="Arial" w:cs="Arial"/>
          <w:noProof/>
          <w:sz w:val="20"/>
        </w:rPr>
        <w:tab/>
        <w:t xml:space="preserve">Sepúlveda N, Drakeley C. Sample size determination for estimating antibody seroconversion rate under stable malaria transmission intensity. Malar J. </w:t>
      </w:r>
      <w:r w:rsidRPr="004D440E">
        <w:rPr>
          <w:rFonts w:ascii="Arial" w:hAnsi="Arial" w:cs="Arial"/>
          <w:b/>
          <w:bCs/>
          <w:noProof/>
          <w:sz w:val="20"/>
        </w:rPr>
        <w:t>2015</w:t>
      </w:r>
      <w:r w:rsidRPr="004D440E">
        <w:rPr>
          <w:rFonts w:ascii="Arial" w:hAnsi="Arial" w:cs="Arial"/>
          <w:noProof/>
          <w:sz w:val="20"/>
        </w:rPr>
        <w:t xml:space="preserve">; 14(1):1–13. </w:t>
      </w:r>
    </w:p>
    <w:p w14:paraId="7202CC89"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33. </w:t>
      </w:r>
      <w:r w:rsidRPr="004D440E">
        <w:rPr>
          <w:rFonts w:ascii="Arial" w:hAnsi="Arial" w:cs="Arial"/>
          <w:noProof/>
          <w:sz w:val="20"/>
        </w:rPr>
        <w:tab/>
        <w:t xml:space="preserve">Last AR, Burr SE, Weiss HA, et al. Risk Factors for Active Trachoma and Ocular Chlamydia trachomatis Infection in Treatment-Naive Trachoma-Hyperendemic Communities of the Bijagos Archipelago, Guinea Bissau. PLoS Negl Trop Dis. </w:t>
      </w:r>
      <w:r w:rsidRPr="004D440E">
        <w:rPr>
          <w:rFonts w:ascii="Arial" w:hAnsi="Arial" w:cs="Arial"/>
          <w:b/>
          <w:bCs/>
          <w:noProof/>
          <w:sz w:val="20"/>
        </w:rPr>
        <w:t>2014</w:t>
      </w:r>
      <w:r w:rsidRPr="004D440E">
        <w:rPr>
          <w:rFonts w:ascii="Arial" w:hAnsi="Arial" w:cs="Arial"/>
          <w:noProof/>
          <w:sz w:val="20"/>
        </w:rPr>
        <w:t xml:space="preserve">; 8(6). </w:t>
      </w:r>
    </w:p>
    <w:p w14:paraId="706DA94A"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34. </w:t>
      </w:r>
      <w:r w:rsidRPr="004D440E">
        <w:rPr>
          <w:rFonts w:ascii="Arial" w:hAnsi="Arial" w:cs="Arial"/>
          <w:noProof/>
          <w:sz w:val="20"/>
        </w:rPr>
        <w:tab/>
        <w:t xml:space="preserve">Ramadhani AM, Derrick T, Macleod D, Holland MJ, Burton MJ. The Relationship between Active </w:t>
      </w:r>
      <w:r w:rsidRPr="004D440E">
        <w:rPr>
          <w:rFonts w:ascii="Arial" w:hAnsi="Arial" w:cs="Arial"/>
          <w:noProof/>
          <w:sz w:val="20"/>
        </w:rPr>
        <w:lastRenderedPageBreak/>
        <w:t xml:space="preserve">Trachoma and Ocular Chlamydia trachomatis Infection before and after Mass Antibiotic Treatment. PLoS Negl Trop Dis. </w:t>
      </w:r>
      <w:r w:rsidRPr="004D440E">
        <w:rPr>
          <w:rFonts w:ascii="Arial" w:hAnsi="Arial" w:cs="Arial"/>
          <w:b/>
          <w:bCs/>
          <w:noProof/>
          <w:sz w:val="20"/>
        </w:rPr>
        <w:t>2016</w:t>
      </w:r>
      <w:r w:rsidRPr="004D440E">
        <w:rPr>
          <w:rFonts w:ascii="Arial" w:hAnsi="Arial" w:cs="Arial"/>
          <w:noProof/>
          <w:sz w:val="20"/>
        </w:rPr>
        <w:t xml:space="preserve">; 10(10). </w:t>
      </w:r>
    </w:p>
    <w:p w14:paraId="3A047019"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35. </w:t>
      </w:r>
      <w:r w:rsidRPr="004D440E">
        <w:rPr>
          <w:rFonts w:ascii="Arial" w:hAnsi="Arial" w:cs="Arial"/>
          <w:noProof/>
          <w:sz w:val="20"/>
        </w:rPr>
        <w:tab/>
        <w:t xml:space="preserve">Macleod CK, Butcher R, Javati S, et al. Ocular Chlamydia trachomatis infection, anti-Pgp3 serology, and trachoma in Papua New Guinea. Clin Microbiol Infect. </w:t>
      </w:r>
      <w:r w:rsidRPr="004D440E">
        <w:rPr>
          <w:rFonts w:ascii="Arial" w:hAnsi="Arial" w:cs="Arial"/>
          <w:b/>
          <w:bCs/>
          <w:noProof/>
          <w:sz w:val="20"/>
        </w:rPr>
        <w:t>2019</w:t>
      </w:r>
      <w:r w:rsidRPr="004D440E">
        <w:rPr>
          <w:rFonts w:ascii="Arial" w:hAnsi="Arial" w:cs="Arial"/>
          <w:noProof/>
          <w:sz w:val="20"/>
        </w:rPr>
        <w:t xml:space="preserve">; manuscript. </w:t>
      </w:r>
    </w:p>
    <w:p w14:paraId="574D3E6E"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36. </w:t>
      </w:r>
      <w:r w:rsidRPr="004D440E">
        <w:rPr>
          <w:rFonts w:ascii="Arial" w:hAnsi="Arial" w:cs="Arial"/>
          <w:noProof/>
          <w:sz w:val="20"/>
        </w:rPr>
        <w:tab/>
        <w:t xml:space="preserve">Butcher RMR, Sokana O, Jack K, et al. Active trachoma cases in the Solomon Islands have varied polymicrobial community structures but do not associate with individual non-chlamydial pathogens of the eye. Front Med. </w:t>
      </w:r>
      <w:r w:rsidRPr="004D440E">
        <w:rPr>
          <w:rFonts w:ascii="Arial" w:hAnsi="Arial" w:cs="Arial"/>
          <w:b/>
          <w:bCs/>
          <w:noProof/>
          <w:sz w:val="20"/>
        </w:rPr>
        <w:t>2018</w:t>
      </w:r>
      <w:r w:rsidRPr="004D440E">
        <w:rPr>
          <w:rFonts w:ascii="Arial" w:hAnsi="Arial" w:cs="Arial"/>
          <w:noProof/>
          <w:sz w:val="20"/>
        </w:rPr>
        <w:t xml:space="preserve">; 4:251. </w:t>
      </w:r>
    </w:p>
    <w:p w14:paraId="4960E983"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37. </w:t>
      </w:r>
      <w:r w:rsidRPr="004D440E">
        <w:rPr>
          <w:rFonts w:ascii="Arial" w:hAnsi="Arial" w:cs="Arial"/>
          <w:noProof/>
          <w:sz w:val="20"/>
        </w:rPr>
        <w:tab/>
        <w:t xml:space="preserve">Martin DL, Wiegand R, Goodhew B, et al. Serological Measures of Trachoma Transmission Intensity. Sci Rep. </w:t>
      </w:r>
      <w:r w:rsidRPr="004D440E">
        <w:rPr>
          <w:rFonts w:ascii="Arial" w:hAnsi="Arial" w:cs="Arial"/>
          <w:b/>
          <w:bCs/>
          <w:noProof/>
          <w:sz w:val="20"/>
        </w:rPr>
        <w:t>2015</w:t>
      </w:r>
      <w:r w:rsidRPr="004D440E">
        <w:rPr>
          <w:rFonts w:ascii="Arial" w:hAnsi="Arial" w:cs="Arial"/>
          <w:noProof/>
          <w:sz w:val="20"/>
        </w:rPr>
        <w:t xml:space="preserve">; 5:18532. </w:t>
      </w:r>
    </w:p>
    <w:p w14:paraId="25EB217B"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38. </w:t>
      </w:r>
      <w:r w:rsidRPr="004D440E">
        <w:rPr>
          <w:rFonts w:ascii="Arial" w:hAnsi="Arial" w:cs="Arial"/>
          <w:noProof/>
          <w:sz w:val="20"/>
        </w:rPr>
        <w:tab/>
        <w:t xml:space="preserve">Ministry of Health: Vanuatu, Secretariat of the Pacific Community. Second generation surveillance of antenatal women, STI clinic clients and youth, Vanuatu, 2008. 2008. </w:t>
      </w:r>
    </w:p>
    <w:p w14:paraId="48702BD2"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39. </w:t>
      </w:r>
      <w:r w:rsidRPr="004D440E">
        <w:rPr>
          <w:rFonts w:ascii="Arial" w:hAnsi="Arial" w:cs="Arial"/>
          <w:noProof/>
          <w:sz w:val="20"/>
        </w:rPr>
        <w:tab/>
        <w:t xml:space="preserve">Marks M, Kako H, Butcher R, et al. Prevalence of sexually transmitted infections in female clinic attendees in Honiara, Solomon Islands. BMJ Open. </w:t>
      </w:r>
      <w:r w:rsidRPr="004D440E">
        <w:rPr>
          <w:rFonts w:ascii="Arial" w:hAnsi="Arial" w:cs="Arial"/>
          <w:b/>
          <w:bCs/>
          <w:noProof/>
          <w:sz w:val="20"/>
        </w:rPr>
        <w:t>2015</w:t>
      </w:r>
      <w:r w:rsidRPr="004D440E">
        <w:rPr>
          <w:rFonts w:ascii="Arial" w:hAnsi="Arial" w:cs="Arial"/>
          <w:noProof/>
          <w:sz w:val="20"/>
        </w:rPr>
        <w:t xml:space="preserve">; 5(4). </w:t>
      </w:r>
    </w:p>
    <w:p w14:paraId="124E03B7"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40. </w:t>
      </w:r>
      <w:r w:rsidRPr="004D440E">
        <w:rPr>
          <w:rFonts w:ascii="Arial" w:hAnsi="Arial" w:cs="Arial"/>
          <w:noProof/>
          <w:sz w:val="20"/>
        </w:rPr>
        <w:tab/>
        <w:t xml:space="preserve">Zenner D, Russell S. Sexually transmitted diseases and HIV/AIDS in Vanuatu: A cause for concern and action. N Z Med J. </w:t>
      </w:r>
      <w:r w:rsidRPr="004D440E">
        <w:rPr>
          <w:rFonts w:ascii="Arial" w:hAnsi="Arial" w:cs="Arial"/>
          <w:b/>
          <w:bCs/>
          <w:noProof/>
          <w:sz w:val="20"/>
        </w:rPr>
        <w:t>2005</w:t>
      </w:r>
      <w:r w:rsidRPr="004D440E">
        <w:rPr>
          <w:rFonts w:ascii="Arial" w:hAnsi="Arial" w:cs="Arial"/>
          <w:noProof/>
          <w:sz w:val="20"/>
        </w:rPr>
        <w:t xml:space="preserve">; 118(1220):1–11. </w:t>
      </w:r>
    </w:p>
    <w:p w14:paraId="55F13096"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41. </w:t>
      </w:r>
      <w:r w:rsidRPr="004D440E">
        <w:rPr>
          <w:rFonts w:ascii="Arial" w:hAnsi="Arial" w:cs="Arial"/>
          <w:noProof/>
          <w:sz w:val="20"/>
        </w:rPr>
        <w:tab/>
        <w:t xml:space="preserve">Solomon AW, Bowman RJC, Yorston D, et al. Operational evaluation of the use of photographs for grading active trachoma. Am J Trop Med Hyg. </w:t>
      </w:r>
      <w:r w:rsidRPr="004D440E">
        <w:rPr>
          <w:rFonts w:ascii="Arial" w:hAnsi="Arial" w:cs="Arial"/>
          <w:b/>
          <w:bCs/>
          <w:noProof/>
          <w:sz w:val="20"/>
        </w:rPr>
        <w:t>2006</w:t>
      </w:r>
      <w:r w:rsidRPr="004D440E">
        <w:rPr>
          <w:rFonts w:ascii="Arial" w:hAnsi="Arial" w:cs="Arial"/>
          <w:noProof/>
          <w:sz w:val="20"/>
        </w:rPr>
        <w:t xml:space="preserve">; 74(3):505–508. </w:t>
      </w:r>
    </w:p>
    <w:p w14:paraId="20E1D1AC"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42. </w:t>
      </w:r>
      <w:r w:rsidRPr="004D440E">
        <w:rPr>
          <w:rFonts w:ascii="Arial" w:hAnsi="Arial" w:cs="Arial"/>
          <w:noProof/>
          <w:sz w:val="20"/>
        </w:rPr>
        <w:tab/>
        <w:t xml:space="preserve">WPRO WHO. Expert Consultation on trachoma in the Pacific Islands (RS/2018/GE/02[AUS]). Melbourne, Australia; 2018. </w:t>
      </w:r>
    </w:p>
    <w:p w14:paraId="12356B89" w14:textId="77777777" w:rsidR="004D440E" w:rsidRPr="004D440E" w:rsidRDefault="004D440E" w:rsidP="004D440E">
      <w:pPr>
        <w:widowControl w:val="0"/>
        <w:autoSpaceDE w:val="0"/>
        <w:autoSpaceDN w:val="0"/>
        <w:adjustRightInd w:val="0"/>
        <w:spacing w:line="480" w:lineRule="auto"/>
        <w:ind w:left="640" w:hanging="640"/>
        <w:rPr>
          <w:rFonts w:ascii="Arial" w:hAnsi="Arial" w:cs="Arial"/>
          <w:noProof/>
          <w:sz w:val="20"/>
        </w:rPr>
      </w:pPr>
      <w:r w:rsidRPr="004D440E">
        <w:rPr>
          <w:rFonts w:ascii="Arial" w:hAnsi="Arial" w:cs="Arial"/>
          <w:noProof/>
          <w:sz w:val="20"/>
        </w:rPr>
        <w:t xml:space="preserve">43. </w:t>
      </w:r>
      <w:r w:rsidRPr="004D440E">
        <w:rPr>
          <w:rFonts w:ascii="Arial" w:hAnsi="Arial" w:cs="Arial"/>
          <w:noProof/>
          <w:sz w:val="20"/>
        </w:rPr>
        <w:tab/>
        <w:t xml:space="preserve">Solomon AW, Engels D, Bailey RL, et al. A Diagnostics Platform for the Integrated Mapping, Monitoring, and Surveillance of Neglected Tropical Diseases: Rationale and Target Product Profiles. PLoS Negl Trop Dis. </w:t>
      </w:r>
      <w:r w:rsidRPr="004D440E">
        <w:rPr>
          <w:rFonts w:ascii="Arial" w:hAnsi="Arial" w:cs="Arial"/>
          <w:b/>
          <w:bCs/>
          <w:noProof/>
          <w:sz w:val="20"/>
        </w:rPr>
        <w:t>2012</w:t>
      </w:r>
      <w:r w:rsidRPr="004D440E">
        <w:rPr>
          <w:rFonts w:ascii="Arial" w:hAnsi="Arial" w:cs="Arial"/>
          <w:noProof/>
          <w:sz w:val="20"/>
        </w:rPr>
        <w:t xml:space="preserve">; 6(7):e1746. </w:t>
      </w:r>
    </w:p>
    <w:p w14:paraId="51E1AD8D" w14:textId="266B1527" w:rsidR="0050484F" w:rsidRDefault="003450D2" w:rsidP="004D440E">
      <w:pPr>
        <w:widowControl w:val="0"/>
        <w:autoSpaceDE w:val="0"/>
        <w:autoSpaceDN w:val="0"/>
        <w:adjustRightInd w:val="0"/>
        <w:spacing w:line="480" w:lineRule="auto"/>
        <w:ind w:left="640" w:hanging="640"/>
        <w:rPr>
          <w:rFonts w:ascii="Arial" w:hAnsi="Arial" w:cs="Arial"/>
          <w:b/>
          <w:sz w:val="21"/>
          <w:szCs w:val="21"/>
        </w:rPr>
      </w:pPr>
      <w:r>
        <w:rPr>
          <w:rFonts w:ascii="Arial" w:hAnsi="Arial" w:cs="Arial"/>
          <w:b/>
          <w:sz w:val="21"/>
          <w:szCs w:val="21"/>
        </w:rPr>
        <w:fldChar w:fldCharType="end"/>
      </w:r>
    </w:p>
    <w:p w14:paraId="40DB2BF8" w14:textId="77777777" w:rsidR="0050484F" w:rsidRDefault="0050484F">
      <w:pPr>
        <w:rPr>
          <w:rFonts w:ascii="Arial" w:hAnsi="Arial" w:cs="Arial"/>
          <w:b/>
          <w:sz w:val="21"/>
          <w:szCs w:val="21"/>
        </w:rPr>
      </w:pPr>
      <w:r>
        <w:rPr>
          <w:rFonts w:ascii="Arial" w:hAnsi="Arial" w:cs="Arial"/>
          <w:b/>
          <w:sz w:val="21"/>
          <w:szCs w:val="21"/>
        </w:rPr>
        <w:br w:type="page"/>
      </w:r>
    </w:p>
    <w:p w14:paraId="5D65B64B" w14:textId="0D1ECF25" w:rsidR="00B519AB" w:rsidRDefault="0050484F" w:rsidP="008B5BE3">
      <w:pPr>
        <w:widowControl w:val="0"/>
        <w:autoSpaceDE w:val="0"/>
        <w:autoSpaceDN w:val="0"/>
        <w:adjustRightInd w:val="0"/>
        <w:spacing w:line="480" w:lineRule="auto"/>
        <w:rPr>
          <w:rFonts w:ascii="Arial" w:hAnsi="Arial" w:cs="Arial"/>
          <w:b/>
          <w:sz w:val="21"/>
          <w:szCs w:val="21"/>
        </w:rPr>
      </w:pPr>
      <w:r>
        <w:rPr>
          <w:rFonts w:ascii="Arial" w:hAnsi="Arial" w:cs="Arial"/>
          <w:b/>
          <w:sz w:val="21"/>
          <w:szCs w:val="21"/>
        </w:rPr>
        <w:lastRenderedPageBreak/>
        <w:t>Figure</w:t>
      </w:r>
      <w:r w:rsidR="00C5749B">
        <w:rPr>
          <w:rFonts w:ascii="Arial" w:hAnsi="Arial" w:cs="Arial"/>
          <w:b/>
          <w:sz w:val="21"/>
          <w:szCs w:val="21"/>
        </w:rPr>
        <w:t xml:space="preserve"> and table</w:t>
      </w:r>
      <w:r>
        <w:rPr>
          <w:rFonts w:ascii="Arial" w:hAnsi="Arial" w:cs="Arial"/>
          <w:b/>
          <w:sz w:val="21"/>
          <w:szCs w:val="21"/>
        </w:rPr>
        <w:t xml:space="preserve"> legends </w:t>
      </w:r>
    </w:p>
    <w:p w14:paraId="066D6586" w14:textId="3D5B6AC4" w:rsidR="0050484F" w:rsidRDefault="00541BB1" w:rsidP="008B5BE3">
      <w:pPr>
        <w:widowControl w:val="0"/>
        <w:autoSpaceDE w:val="0"/>
        <w:autoSpaceDN w:val="0"/>
        <w:adjustRightInd w:val="0"/>
        <w:spacing w:line="480" w:lineRule="auto"/>
        <w:rPr>
          <w:rFonts w:ascii="Arial" w:hAnsi="Arial" w:cs="Arial"/>
          <w:b/>
          <w:sz w:val="21"/>
          <w:szCs w:val="21"/>
        </w:rPr>
      </w:pPr>
      <w:r>
        <w:rPr>
          <w:noProof/>
        </w:rPr>
        <w:drawing>
          <wp:anchor distT="0" distB="0" distL="114300" distR="114300" simplePos="0" relativeHeight="251659264" behindDoc="0" locked="0" layoutInCell="1" allowOverlap="1" wp14:anchorId="69C4A3EC" wp14:editId="77FEF28D">
            <wp:simplePos x="0" y="0"/>
            <wp:positionH relativeFrom="column">
              <wp:posOffset>0</wp:posOffset>
            </wp:positionH>
            <wp:positionV relativeFrom="paragraph">
              <wp:posOffset>-1905</wp:posOffset>
            </wp:positionV>
            <wp:extent cx="3606800" cy="36068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6800" cy="360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5CB50" w14:textId="77777777" w:rsidR="0050484F" w:rsidRPr="004D0B7A" w:rsidRDefault="0050484F" w:rsidP="0050484F">
      <w:pPr>
        <w:spacing w:line="480" w:lineRule="auto"/>
        <w:jc w:val="both"/>
        <w:rPr>
          <w:rFonts w:ascii="Arial" w:hAnsi="Arial" w:cs="Arial"/>
          <w:sz w:val="18"/>
          <w:szCs w:val="18"/>
        </w:rPr>
      </w:pPr>
      <w:r>
        <w:rPr>
          <w:rFonts w:ascii="Arial" w:hAnsi="Arial" w:cs="Arial"/>
          <w:b/>
          <w:sz w:val="18"/>
          <w:szCs w:val="18"/>
        </w:rPr>
        <w:t>Figure 1.</w:t>
      </w:r>
      <w:r>
        <w:rPr>
          <w:rFonts w:ascii="Arial" w:hAnsi="Arial" w:cs="Arial"/>
          <w:sz w:val="18"/>
          <w:szCs w:val="18"/>
        </w:rPr>
        <w:t xml:space="preserve"> (</w:t>
      </w:r>
      <w:r w:rsidRPr="00A6124B">
        <w:rPr>
          <w:rFonts w:ascii="Arial" w:hAnsi="Arial" w:cs="Arial"/>
          <w:b/>
          <w:sz w:val="18"/>
          <w:szCs w:val="18"/>
        </w:rPr>
        <w:t>A</w:t>
      </w:r>
      <w:r>
        <w:rPr>
          <w:rFonts w:ascii="Arial" w:hAnsi="Arial" w:cs="Arial"/>
          <w:sz w:val="18"/>
          <w:szCs w:val="18"/>
        </w:rPr>
        <w:t>) Location of evaluation units surveyed in 2016. (</w:t>
      </w:r>
      <w:r w:rsidRPr="00D26029">
        <w:rPr>
          <w:rFonts w:ascii="Arial" w:hAnsi="Arial" w:cs="Arial"/>
          <w:b/>
          <w:sz w:val="18"/>
          <w:szCs w:val="18"/>
        </w:rPr>
        <w:t>B</w:t>
      </w:r>
      <w:r>
        <w:rPr>
          <w:rFonts w:ascii="Arial" w:hAnsi="Arial" w:cs="Arial"/>
          <w:sz w:val="18"/>
          <w:szCs w:val="18"/>
        </w:rPr>
        <w:t>) Cluster locations (red dots) in Vanuatu. (</w:t>
      </w:r>
      <w:r w:rsidRPr="00D26029">
        <w:rPr>
          <w:rFonts w:ascii="Arial" w:hAnsi="Arial" w:cs="Arial"/>
          <w:b/>
          <w:sz w:val="18"/>
          <w:szCs w:val="18"/>
        </w:rPr>
        <w:t>C</w:t>
      </w:r>
      <w:r>
        <w:rPr>
          <w:rFonts w:ascii="Arial" w:hAnsi="Arial" w:cs="Arial"/>
          <w:sz w:val="18"/>
          <w:szCs w:val="18"/>
        </w:rPr>
        <w:t>) Cluster locations (red dots) in Tarawa, Kiribati. Shapefiles obtained from D</w:t>
      </w:r>
      <w:r w:rsidRPr="004D0B7A">
        <w:rPr>
          <w:rFonts w:ascii="Arial" w:hAnsi="Arial" w:cs="Arial"/>
          <w:sz w:val="18"/>
          <w:szCs w:val="18"/>
        </w:rPr>
        <w:t>atabase of Global Administrative Areas</w:t>
      </w:r>
      <w:r>
        <w:rPr>
          <w:rFonts w:ascii="Arial" w:hAnsi="Arial" w:cs="Arial"/>
          <w:sz w:val="18"/>
          <w:szCs w:val="18"/>
        </w:rPr>
        <w:t xml:space="preserve"> (www.gadm.org).</w:t>
      </w:r>
    </w:p>
    <w:p w14:paraId="496FBB81" w14:textId="16C409A7" w:rsidR="0050484F" w:rsidRDefault="00541BB1" w:rsidP="008B5BE3">
      <w:pPr>
        <w:widowControl w:val="0"/>
        <w:autoSpaceDE w:val="0"/>
        <w:autoSpaceDN w:val="0"/>
        <w:adjustRightInd w:val="0"/>
        <w:spacing w:line="480" w:lineRule="auto"/>
        <w:rPr>
          <w:rFonts w:ascii="Arial" w:hAnsi="Arial" w:cs="Arial"/>
          <w:b/>
          <w:sz w:val="21"/>
          <w:szCs w:val="21"/>
        </w:rPr>
      </w:pPr>
      <w:r>
        <w:rPr>
          <w:noProof/>
        </w:rPr>
        <w:drawing>
          <wp:anchor distT="0" distB="0" distL="114300" distR="114300" simplePos="0" relativeHeight="251658240" behindDoc="0" locked="0" layoutInCell="1" allowOverlap="1" wp14:anchorId="79B31133" wp14:editId="1C0ED5CF">
            <wp:simplePos x="0" y="0"/>
            <wp:positionH relativeFrom="column">
              <wp:posOffset>0</wp:posOffset>
            </wp:positionH>
            <wp:positionV relativeFrom="paragraph">
              <wp:posOffset>-2540</wp:posOffset>
            </wp:positionV>
            <wp:extent cx="6184900" cy="2771140"/>
            <wp:effectExtent l="0" t="0" r="635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4900" cy="2771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74FB2E" w14:textId="246D5847" w:rsidR="0050484F" w:rsidRDefault="0050484F" w:rsidP="008D140E">
      <w:pPr>
        <w:spacing w:line="480" w:lineRule="auto"/>
        <w:jc w:val="both"/>
        <w:rPr>
          <w:rFonts w:ascii="Arial" w:hAnsi="Arial" w:cs="Arial"/>
          <w:sz w:val="18"/>
          <w:szCs w:val="18"/>
        </w:rPr>
      </w:pPr>
      <w:r w:rsidRPr="006C6D13">
        <w:rPr>
          <w:rFonts w:ascii="Arial" w:hAnsi="Arial" w:cs="Arial"/>
          <w:b/>
          <w:sz w:val="18"/>
          <w:szCs w:val="18"/>
        </w:rPr>
        <w:t>Figure 2.</w:t>
      </w:r>
      <w:r w:rsidRPr="006C6D13">
        <w:rPr>
          <w:rFonts w:ascii="Arial" w:hAnsi="Arial" w:cs="Arial"/>
          <w:sz w:val="18"/>
          <w:szCs w:val="18"/>
        </w:rPr>
        <w:t xml:space="preserve"> Age-specific </w:t>
      </w:r>
      <w:r>
        <w:rPr>
          <w:rFonts w:ascii="Arial" w:hAnsi="Arial" w:cs="Arial"/>
          <w:sz w:val="18"/>
          <w:szCs w:val="18"/>
        </w:rPr>
        <w:t>prevalence of conjunctival scar grade</w:t>
      </w:r>
      <w:r w:rsidR="004D440E">
        <w:rPr>
          <w:rFonts w:ascii="Arial" w:hAnsi="Arial" w:cs="Arial"/>
          <w:sz w:val="18"/>
          <w:szCs w:val="18"/>
        </w:rPr>
        <w:t xml:space="preserve"> </w:t>
      </w:r>
      <w:r>
        <w:rPr>
          <w:rFonts w:ascii="Arial" w:hAnsi="Arial" w:cs="Arial"/>
          <w:sz w:val="18"/>
          <w:szCs w:val="18"/>
        </w:rPr>
        <w:t>in (</w:t>
      </w:r>
      <w:r w:rsidRPr="009501AC">
        <w:rPr>
          <w:rFonts w:ascii="Arial" w:hAnsi="Arial" w:cs="Arial"/>
          <w:b/>
          <w:sz w:val="18"/>
          <w:szCs w:val="18"/>
        </w:rPr>
        <w:t>A</w:t>
      </w:r>
      <w:r>
        <w:rPr>
          <w:rFonts w:ascii="Arial" w:hAnsi="Arial" w:cs="Arial"/>
          <w:sz w:val="18"/>
          <w:szCs w:val="18"/>
        </w:rPr>
        <w:t>) Vanuatu (n=1871) and (</w:t>
      </w:r>
      <w:r w:rsidRPr="009501AC">
        <w:rPr>
          <w:rFonts w:ascii="Arial" w:hAnsi="Arial" w:cs="Arial"/>
          <w:b/>
          <w:sz w:val="18"/>
          <w:szCs w:val="18"/>
        </w:rPr>
        <w:t>B</w:t>
      </w:r>
      <w:r>
        <w:rPr>
          <w:rFonts w:ascii="Arial" w:hAnsi="Arial" w:cs="Arial"/>
          <w:sz w:val="18"/>
          <w:szCs w:val="18"/>
        </w:rPr>
        <w:t xml:space="preserve">) Tarawa, Kiribati (n=1891). Group sizes are displayed above each bar. </w:t>
      </w:r>
      <w:r w:rsidR="008D140E" w:rsidRPr="008D140E">
        <w:rPr>
          <w:rFonts w:ascii="Arial" w:hAnsi="Arial" w:cs="Arial"/>
          <w:sz w:val="18"/>
          <w:szCs w:val="18"/>
        </w:rPr>
        <w:t>C0: No scarring on the conjunctiva</w:t>
      </w:r>
      <w:r w:rsidR="008D140E">
        <w:rPr>
          <w:rFonts w:ascii="Arial" w:hAnsi="Arial" w:cs="Arial"/>
          <w:sz w:val="18"/>
          <w:szCs w:val="18"/>
        </w:rPr>
        <w:t xml:space="preserve"> (not shown)</w:t>
      </w:r>
      <w:r w:rsidR="004D440E">
        <w:rPr>
          <w:rFonts w:ascii="Arial" w:hAnsi="Arial" w:cs="Arial"/>
          <w:sz w:val="18"/>
          <w:szCs w:val="18"/>
        </w:rPr>
        <w:t>;</w:t>
      </w:r>
      <w:r w:rsidR="008D140E" w:rsidRPr="008D140E">
        <w:rPr>
          <w:rFonts w:ascii="Arial" w:hAnsi="Arial" w:cs="Arial"/>
          <w:sz w:val="18"/>
          <w:szCs w:val="18"/>
        </w:rPr>
        <w:t xml:space="preserve"> C1: Mild: Fine, scattered scars on the upper tarsal conjunctiva or scars on other parts of the conjunctiva</w:t>
      </w:r>
      <w:r w:rsidR="004D440E">
        <w:rPr>
          <w:rFonts w:ascii="Arial" w:hAnsi="Arial" w:cs="Arial"/>
          <w:sz w:val="18"/>
          <w:szCs w:val="18"/>
        </w:rPr>
        <w:t>;</w:t>
      </w:r>
      <w:r w:rsidR="008D140E" w:rsidRPr="008D140E">
        <w:rPr>
          <w:rFonts w:ascii="Arial" w:hAnsi="Arial" w:cs="Arial"/>
          <w:sz w:val="18"/>
          <w:szCs w:val="18"/>
        </w:rPr>
        <w:t xml:space="preserve"> C2: Moderate: more severe scarring, but without shortening or distortion of the upper tarsus</w:t>
      </w:r>
      <w:r w:rsidR="004D440E">
        <w:rPr>
          <w:rFonts w:ascii="Arial" w:hAnsi="Arial" w:cs="Arial"/>
          <w:sz w:val="18"/>
          <w:szCs w:val="18"/>
        </w:rPr>
        <w:t>;</w:t>
      </w:r>
      <w:r w:rsidR="008D140E" w:rsidRPr="008D140E">
        <w:rPr>
          <w:rFonts w:ascii="Arial" w:hAnsi="Arial" w:cs="Arial"/>
          <w:sz w:val="18"/>
          <w:szCs w:val="18"/>
        </w:rPr>
        <w:t xml:space="preserve"> C3: Severe: Scarring with distortion of the upper tarsus</w:t>
      </w:r>
      <w:r w:rsidR="004D440E">
        <w:rPr>
          <w:rFonts w:ascii="Arial" w:hAnsi="Arial" w:cs="Arial"/>
          <w:sz w:val="18"/>
          <w:szCs w:val="18"/>
        </w:rPr>
        <w:t xml:space="preserve"> </w:t>
      </w:r>
      <w:r w:rsidR="004D440E">
        <w:rPr>
          <w:rFonts w:ascii="Arial" w:hAnsi="Arial" w:cs="Arial"/>
          <w:sz w:val="18"/>
          <w:szCs w:val="18"/>
        </w:rPr>
        <w:fldChar w:fldCharType="begin" w:fldLock="1"/>
      </w:r>
      <w:r w:rsidR="004D440E">
        <w:rPr>
          <w:rFonts w:ascii="Arial" w:hAnsi="Arial" w:cs="Arial"/>
          <w:sz w:val="18"/>
          <w:szCs w:val="18"/>
        </w:rPr>
        <w:instrText>ADDIN CSL_CITATION {"citationItems":[{"id":"ITEM-1","itemData":{"author":[{"dropping-particle":"","family":"Dawson","given":"Chandler R","non-dropping-particle":"","parse-names":false,"suffix":""},{"dropping-particle":"","family":"Jones","given":"Barrie R","non-dropping-particle":"","parse-names":false,"suffix":""},{"dropping-particle":"","family":"Tarizzo","given":"M L","non-dropping-particle":"","parse-names":false,"suffix":""},{"dropping-particle":"","family":"World Health Organization","given":"","non-dropping-particle":"","parse-names":false,"suffix":""}],"id":"ITEM-1","issued":{"date-parts":[["1981"]]},"number-of-pages":"56","publisher-place":"Geneva, Switzerland: World Health Organization","title":"Guide to trachoma control in programmes for the prevention of blindness.","type":"report"},"uris":["http://www.mendeley.com/documents/?uuid=2c646b8d-6bbc-43ea-8d96-7de78e994b4c"]}],"mendeley":{"formattedCitation":"[22]","plainTextFormattedCitation":"[22]"},"properties":{"noteIndex":0},"schema":"https://github.com/citation-style-language/schema/raw/master/csl-citation.json"}</w:instrText>
      </w:r>
      <w:r w:rsidR="004D440E">
        <w:rPr>
          <w:rFonts w:ascii="Arial" w:hAnsi="Arial" w:cs="Arial"/>
          <w:sz w:val="18"/>
          <w:szCs w:val="18"/>
        </w:rPr>
        <w:fldChar w:fldCharType="separate"/>
      </w:r>
      <w:r w:rsidR="004D440E" w:rsidRPr="004D440E">
        <w:rPr>
          <w:rFonts w:ascii="Arial" w:hAnsi="Arial" w:cs="Arial"/>
          <w:noProof/>
          <w:sz w:val="18"/>
          <w:szCs w:val="18"/>
        </w:rPr>
        <w:t>[22]</w:t>
      </w:r>
      <w:r w:rsidR="004D440E">
        <w:rPr>
          <w:rFonts w:ascii="Arial" w:hAnsi="Arial" w:cs="Arial"/>
          <w:sz w:val="18"/>
          <w:szCs w:val="18"/>
        </w:rPr>
        <w:fldChar w:fldCharType="end"/>
      </w:r>
      <w:r w:rsidR="004D440E">
        <w:rPr>
          <w:rFonts w:ascii="Arial" w:hAnsi="Arial" w:cs="Arial"/>
          <w:sz w:val="18"/>
          <w:szCs w:val="18"/>
        </w:rPr>
        <w:t>.</w:t>
      </w:r>
    </w:p>
    <w:p w14:paraId="3296B23A" w14:textId="3C850762" w:rsidR="0050484F" w:rsidRDefault="00541BB1" w:rsidP="008B5BE3">
      <w:pPr>
        <w:widowControl w:val="0"/>
        <w:autoSpaceDE w:val="0"/>
        <w:autoSpaceDN w:val="0"/>
        <w:adjustRightInd w:val="0"/>
        <w:spacing w:line="480" w:lineRule="auto"/>
        <w:rPr>
          <w:rFonts w:ascii="Arial" w:hAnsi="Arial" w:cs="Arial"/>
          <w:b/>
          <w:sz w:val="21"/>
          <w:szCs w:val="21"/>
        </w:rPr>
      </w:pPr>
      <w:r>
        <w:rPr>
          <w:noProof/>
        </w:rPr>
        <w:lastRenderedPageBreak/>
        <w:drawing>
          <wp:anchor distT="0" distB="0" distL="114300" distR="114300" simplePos="0" relativeHeight="251660288" behindDoc="0" locked="0" layoutInCell="1" allowOverlap="1" wp14:anchorId="6C88A5A7" wp14:editId="30C135F9">
            <wp:simplePos x="0" y="0"/>
            <wp:positionH relativeFrom="column">
              <wp:posOffset>0</wp:posOffset>
            </wp:positionH>
            <wp:positionV relativeFrom="paragraph">
              <wp:posOffset>0</wp:posOffset>
            </wp:positionV>
            <wp:extent cx="6184900" cy="6184900"/>
            <wp:effectExtent l="0" t="0" r="6350"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4900" cy="618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658BF3" w14:textId="43EB1018" w:rsidR="0050484F" w:rsidRDefault="0050484F" w:rsidP="008B5BE3">
      <w:pPr>
        <w:widowControl w:val="0"/>
        <w:autoSpaceDE w:val="0"/>
        <w:autoSpaceDN w:val="0"/>
        <w:adjustRightInd w:val="0"/>
        <w:spacing w:line="480" w:lineRule="auto"/>
        <w:rPr>
          <w:rFonts w:ascii="Arial" w:hAnsi="Arial" w:cs="Arial"/>
          <w:sz w:val="18"/>
          <w:szCs w:val="18"/>
        </w:rPr>
      </w:pPr>
      <w:r w:rsidRPr="002C221E">
        <w:rPr>
          <w:rFonts w:ascii="Arial" w:hAnsi="Arial" w:cs="Arial"/>
          <w:b/>
          <w:sz w:val="18"/>
          <w:szCs w:val="18"/>
        </w:rPr>
        <w:t>Figure 3</w:t>
      </w:r>
      <w:r w:rsidRPr="002C221E">
        <w:rPr>
          <w:rFonts w:ascii="Arial" w:hAnsi="Arial" w:cs="Arial"/>
          <w:sz w:val="18"/>
          <w:szCs w:val="18"/>
        </w:rPr>
        <w:t xml:space="preserve">. </w:t>
      </w:r>
      <w:r>
        <w:rPr>
          <w:rFonts w:ascii="Arial" w:hAnsi="Arial" w:cs="Arial"/>
          <w:sz w:val="18"/>
          <w:szCs w:val="18"/>
        </w:rPr>
        <w:t>Upper panels show a</w:t>
      </w:r>
      <w:r w:rsidRPr="002C221E">
        <w:rPr>
          <w:rFonts w:ascii="Arial" w:hAnsi="Arial" w:cs="Arial"/>
          <w:sz w:val="18"/>
          <w:szCs w:val="18"/>
        </w:rPr>
        <w:t xml:space="preserve">ge-specific anti-Pgp3 seroprevalence </w:t>
      </w:r>
      <w:r>
        <w:rPr>
          <w:rFonts w:ascii="Arial" w:hAnsi="Arial" w:cs="Arial"/>
          <w:sz w:val="18"/>
          <w:szCs w:val="18"/>
        </w:rPr>
        <w:t>in children aged 1–9 years in</w:t>
      </w:r>
      <w:r w:rsidRPr="002C221E">
        <w:rPr>
          <w:rFonts w:ascii="Arial" w:hAnsi="Arial" w:cs="Arial"/>
          <w:sz w:val="18"/>
          <w:szCs w:val="18"/>
        </w:rPr>
        <w:t xml:space="preserve"> (</w:t>
      </w:r>
      <w:r w:rsidRPr="002C221E">
        <w:rPr>
          <w:rFonts w:ascii="Arial" w:hAnsi="Arial" w:cs="Arial"/>
          <w:b/>
          <w:sz w:val="18"/>
          <w:szCs w:val="18"/>
        </w:rPr>
        <w:t>A</w:t>
      </w:r>
      <w:r w:rsidRPr="002C221E">
        <w:rPr>
          <w:rFonts w:ascii="Arial" w:hAnsi="Arial" w:cs="Arial"/>
          <w:sz w:val="18"/>
          <w:szCs w:val="18"/>
        </w:rPr>
        <w:t xml:space="preserve">) Vanuatu </w:t>
      </w:r>
      <w:r>
        <w:rPr>
          <w:rFonts w:ascii="Arial" w:hAnsi="Arial" w:cs="Arial"/>
          <w:sz w:val="18"/>
          <w:szCs w:val="18"/>
        </w:rPr>
        <w:t xml:space="preserve">(n = 1084) </w:t>
      </w:r>
      <w:r w:rsidRPr="002C221E">
        <w:rPr>
          <w:rFonts w:ascii="Arial" w:hAnsi="Arial" w:cs="Arial"/>
          <w:sz w:val="18"/>
          <w:szCs w:val="18"/>
        </w:rPr>
        <w:t>and (</w:t>
      </w:r>
      <w:r w:rsidRPr="002C221E">
        <w:rPr>
          <w:rFonts w:ascii="Arial" w:hAnsi="Arial" w:cs="Arial"/>
          <w:b/>
          <w:sz w:val="18"/>
          <w:szCs w:val="18"/>
        </w:rPr>
        <w:t>B</w:t>
      </w:r>
      <w:r w:rsidRPr="002C221E">
        <w:rPr>
          <w:rFonts w:ascii="Arial" w:hAnsi="Arial" w:cs="Arial"/>
          <w:sz w:val="18"/>
          <w:szCs w:val="18"/>
        </w:rPr>
        <w:t>) Tarawa</w:t>
      </w:r>
      <w:r>
        <w:rPr>
          <w:rFonts w:ascii="Arial" w:hAnsi="Arial" w:cs="Arial"/>
          <w:sz w:val="18"/>
          <w:szCs w:val="18"/>
        </w:rPr>
        <w:t>, Kiribati (n = 1015)</w:t>
      </w:r>
      <w:r w:rsidRPr="002C221E">
        <w:rPr>
          <w:rFonts w:ascii="Arial" w:hAnsi="Arial" w:cs="Arial"/>
          <w:sz w:val="18"/>
          <w:szCs w:val="18"/>
        </w:rPr>
        <w:t>.</w:t>
      </w:r>
      <w:r>
        <w:rPr>
          <w:rFonts w:ascii="Arial" w:hAnsi="Arial" w:cs="Arial"/>
          <w:sz w:val="18"/>
          <w:szCs w:val="18"/>
        </w:rPr>
        <w:t xml:space="preserve"> Lower panels show age-specific anti-Pgp3 seroprevalence in people of all ages in (</w:t>
      </w:r>
      <w:r w:rsidRPr="0074663B">
        <w:rPr>
          <w:rFonts w:ascii="Arial" w:hAnsi="Arial" w:cs="Arial"/>
          <w:b/>
          <w:sz w:val="18"/>
          <w:szCs w:val="18"/>
        </w:rPr>
        <w:t>C</w:t>
      </w:r>
      <w:r>
        <w:rPr>
          <w:rFonts w:ascii="Arial" w:hAnsi="Arial" w:cs="Arial"/>
          <w:sz w:val="18"/>
          <w:szCs w:val="18"/>
        </w:rPr>
        <w:t>) Vanuatu (n = 3401) and (</w:t>
      </w:r>
      <w:r w:rsidRPr="0074663B">
        <w:rPr>
          <w:rFonts w:ascii="Arial" w:hAnsi="Arial" w:cs="Arial"/>
          <w:b/>
          <w:sz w:val="18"/>
          <w:szCs w:val="18"/>
        </w:rPr>
        <w:t>D</w:t>
      </w:r>
      <w:r>
        <w:rPr>
          <w:rFonts w:ascii="Arial" w:hAnsi="Arial" w:cs="Arial"/>
          <w:sz w:val="18"/>
          <w:szCs w:val="18"/>
        </w:rPr>
        <w:t>) Tarawa, Kiribati (n = 2805). Samples collected June–September 2016. Red whiskers indicate 95% confidence intervals.</w:t>
      </w:r>
    </w:p>
    <w:tbl>
      <w:tblPr>
        <w:tblStyle w:val="TableGrid"/>
        <w:tblW w:w="974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161"/>
        <w:gridCol w:w="784"/>
        <w:gridCol w:w="1015"/>
        <w:gridCol w:w="611"/>
        <w:gridCol w:w="617"/>
        <w:gridCol w:w="527"/>
        <w:gridCol w:w="1150"/>
        <w:gridCol w:w="1121"/>
        <w:gridCol w:w="545"/>
        <w:gridCol w:w="1088"/>
        <w:gridCol w:w="1121"/>
      </w:tblGrid>
      <w:tr w:rsidR="00541BB1" w:rsidRPr="00E26D67" w14:paraId="5BB976D1" w14:textId="77777777" w:rsidTr="00AF3422">
        <w:trPr>
          <w:trHeight w:val="721"/>
        </w:trPr>
        <w:tc>
          <w:tcPr>
            <w:tcW w:w="1161" w:type="dxa"/>
            <w:shd w:val="clear" w:color="auto" w:fill="D9D9D9" w:themeFill="background1" w:themeFillShade="D9"/>
            <w:vAlign w:val="center"/>
          </w:tcPr>
          <w:p w14:paraId="3F8234E4" w14:textId="77777777" w:rsidR="00541BB1" w:rsidRPr="00E26D67" w:rsidRDefault="00541BB1" w:rsidP="00AF3422">
            <w:pPr>
              <w:spacing w:line="480" w:lineRule="auto"/>
              <w:jc w:val="left"/>
              <w:rPr>
                <w:rFonts w:ascii="Arial" w:hAnsi="Arial" w:cs="Arial"/>
                <w:b/>
                <w:sz w:val="16"/>
                <w:szCs w:val="16"/>
              </w:rPr>
            </w:pPr>
            <w:r w:rsidRPr="00E26D67">
              <w:rPr>
                <w:rFonts w:ascii="Arial" w:hAnsi="Arial" w:cs="Arial"/>
                <w:b/>
                <w:sz w:val="16"/>
                <w:szCs w:val="16"/>
              </w:rPr>
              <w:t>EU (population estimate*)</w:t>
            </w:r>
          </w:p>
        </w:tc>
        <w:tc>
          <w:tcPr>
            <w:tcW w:w="784" w:type="dxa"/>
            <w:shd w:val="clear" w:color="auto" w:fill="D9D9D9" w:themeFill="background1" w:themeFillShade="D9"/>
            <w:vAlign w:val="center"/>
          </w:tcPr>
          <w:p w14:paraId="0133EE4A" w14:textId="77777777" w:rsidR="00541BB1" w:rsidRPr="00E26D67" w:rsidRDefault="00541BB1" w:rsidP="00AF3422">
            <w:pPr>
              <w:spacing w:line="480" w:lineRule="auto"/>
              <w:jc w:val="left"/>
              <w:rPr>
                <w:rFonts w:ascii="Arial" w:hAnsi="Arial" w:cs="Arial"/>
                <w:b/>
                <w:sz w:val="16"/>
                <w:szCs w:val="16"/>
              </w:rPr>
            </w:pPr>
            <w:r w:rsidRPr="00E26D67">
              <w:rPr>
                <w:rFonts w:ascii="Arial" w:hAnsi="Arial" w:cs="Arial"/>
                <w:b/>
                <w:sz w:val="16"/>
                <w:szCs w:val="16"/>
              </w:rPr>
              <w:t>Age group (years)</w:t>
            </w:r>
          </w:p>
        </w:tc>
        <w:tc>
          <w:tcPr>
            <w:tcW w:w="1015" w:type="dxa"/>
            <w:shd w:val="clear" w:color="auto" w:fill="D9D9D9" w:themeFill="background1" w:themeFillShade="D9"/>
            <w:vAlign w:val="center"/>
          </w:tcPr>
          <w:p w14:paraId="40495018" w14:textId="77777777" w:rsidR="00541BB1" w:rsidRPr="00E26D67" w:rsidRDefault="00541BB1" w:rsidP="00AF3422">
            <w:pPr>
              <w:spacing w:line="480" w:lineRule="auto"/>
              <w:jc w:val="center"/>
              <w:rPr>
                <w:rFonts w:ascii="Arial" w:hAnsi="Arial" w:cs="Arial"/>
                <w:b/>
                <w:sz w:val="16"/>
                <w:szCs w:val="16"/>
              </w:rPr>
            </w:pPr>
            <w:r w:rsidRPr="00E26D67">
              <w:rPr>
                <w:rFonts w:ascii="Arial" w:hAnsi="Arial" w:cs="Arial"/>
                <w:b/>
                <w:sz w:val="16"/>
                <w:szCs w:val="16"/>
              </w:rPr>
              <w:t>Number examined</w:t>
            </w:r>
          </w:p>
        </w:tc>
        <w:tc>
          <w:tcPr>
            <w:tcW w:w="611" w:type="dxa"/>
            <w:shd w:val="clear" w:color="auto" w:fill="D9D9D9" w:themeFill="background1" w:themeFillShade="D9"/>
            <w:vAlign w:val="center"/>
          </w:tcPr>
          <w:p w14:paraId="57927FEF" w14:textId="77777777" w:rsidR="00541BB1" w:rsidRPr="00E26D67" w:rsidRDefault="00541BB1" w:rsidP="00AF3422">
            <w:pPr>
              <w:spacing w:line="480" w:lineRule="auto"/>
              <w:jc w:val="center"/>
              <w:rPr>
                <w:rFonts w:ascii="Arial" w:hAnsi="Arial" w:cs="Arial"/>
                <w:b/>
                <w:sz w:val="16"/>
                <w:szCs w:val="16"/>
              </w:rPr>
            </w:pPr>
            <w:r w:rsidRPr="00E26D67">
              <w:rPr>
                <w:rFonts w:ascii="Arial" w:hAnsi="Arial" w:cs="Arial"/>
                <w:b/>
                <w:sz w:val="16"/>
                <w:szCs w:val="16"/>
              </w:rPr>
              <w:t>% male</w:t>
            </w:r>
          </w:p>
        </w:tc>
        <w:tc>
          <w:tcPr>
            <w:tcW w:w="617" w:type="dxa"/>
            <w:shd w:val="clear" w:color="auto" w:fill="D9D9D9" w:themeFill="background1" w:themeFillShade="D9"/>
            <w:vAlign w:val="center"/>
          </w:tcPr>
          <w:p w14:paraId="2A42E99D" w14:textId="77777777" w:rsidR="00541BB1" w:rsidRPr="00E26D67" w:rsidRDefault="00541BB1" w:rsidP="00AF3422">
            <w:pPr>
              <w:spacing w:line="480" w:lineRule="auto"/>
              <w:jc w:val="center"/>
              <w:rPr>
                <w:rFonts w:ascii="Arial" w:hAnsi="Arial" w:cs="Arial"/>
                <w:b/>
                <w:sz w:val="16"/>
                <w:szCs w:val="16"/>
              </w:rPr>
            </w:pPr>
            <w:r w:rsidRPr="00E26D67">
              <w:rPr>
                <w:rFonts w:ascii="Arial" w:hAnsi="Arial" w:cs="Arial"/>
                <w:b/>
                <w:sz w:val="16"/>
                <w:szCs w:val="16"/>
              </w:rPr>
              <w:t xml:space="preserve">TF </w:t>
            </w:r>
          </w:p>
        </w:tc>
        <w:tc>
          <w:tcPr>
            <w:tcW w:w="527" w:type="dxa"/>
            <w:shd w:val="clear" w:color="auto" w:fill="D9D9D9" w:themeFill="background1" w:themeFillShade="D9"/>
            <w:vAlign w:val="center"/>
          </w:tcPr>
          <w:p w14:paraId="6408F430" w14:textId="77777777" w:rsidR="00541BB1" w:rsidRPr="00E26D67" w:rsidRDefault="00541BB1" w:rsidP="00AF3422">
            <w:pPr>
              <w:spacing w:line="480" w:lineRule="auto"/>
              <w:jc w:val="center"/>
              <w:rPr>
                <w:rFonts w:ascii="Arial" w:hAnsi="Arial" w:cs="Arial"/>
                <w:b/>
                <w:sz w:val="16"/>
                <w:szCs w:val="16"/>
              </w:rPr>
            </w:pPr>
            <w:r w:rsidRPr="00E26D67">
              <w:rPr>
                <w:rFonts w:ascii="Arial" w:hAnsi="Arial" w:cs="Arial"/>
                <w:b/>
                <w:sz w:val="16"/>
                <w:szCs w:val="16"/>
              </w:rPr>
              <w:t xml:space="preserve">TI ± TF </w:t>
            </w:r>
          </w:p>
        </w:tc>
        <w:tc>
          <w:tcPr>
            <w:tcW w:w="1150" w:type="dxa"/>
            <w:shd w:val="clear" w:color="auto" w:fill="D9D9D9" w:themeFill="background1" w:themeFillShade="D9"/>
          </w:tcPr>
          <w:p w14:paraId="468CD291" w14:textId="77777777" w:rsidR="00541BB1" w:rsidRPr="00E26D67" w:rsidRDefault="00541BB1" w:rsidP="00AF3422">
            <w:pPr>
              <w:spacing w:line="480" w:lineRule="auto"/>
              <w:jc w:val="center"/>
              <w:rPr>
                <w:rFonts w:ascii="Arial" w:hAnsi="Arial" w:cs="Arial"/>
                <w:b/>
                <w:sz w:val="16"/>
                <w:szCs w:val="16"/>
              </w:rPr>
            </w:pPr>
            <w:r w:rsidRPr="00E26D67">
              <w:rPr>
                <w:rFonts w:ascii="Arial" w:hAnsi="Arial" w:cs="Arial"/>
                <w:b/>
                <w:sz w:val="16"/>
                <w:szCs w:val="16"/>
              </w:rPr>
              <w:t>Unadjusted* TF prevalence (95% CI)</w:t>
            </w:r>
          </w:p>
        </w:tc>
        <w:tc>
          <w:tcPr>
            <w:tcW w:w="1121" w:type="dxa"/>
            <w:shd w:val="clear" w:color="auto" w:fill="D9D9D9" w:themeFill="background1" w:themeFillShade="D9"/>
            <w:vAlign w:val="center"/>
          </w:tcPr>
          <w:p w14:paraId="2376EB8E" w14:textId="77777777" w:rsidR="00541BB1" w:rsidRPr="00E26D67" w:rsidRDefault="00541BB1" w:rsidP="00AF3422">
            <w:pPr>
              <w:spacing w:line="480" w:lineRule="auto"/>
              <w:jc w:val="center"/>
              <w:rPr>
                <w:rFonts w:ascii="Arial" w:hAnsi="Arial" w:cs="Arial"/>
                <w:b/>
                <w:sz w:val="16"/>
                <w:szCs w:val="16"/>
              </w:rPr>
            </w:pPr>
            <w:r w:rsidRPr="00E26D67">
              <w:rPr>
                <w:rFonts w:ascii="Arial" w:hAnsi="Arial" w:cs="Arial"/>
                <w:b/>
                <w:sz w:val="16"/>
                <w:szCs w:val="16"/>
              </w:rPr>
              <w:t>Adjusted* TF prevalence (95% CI)</w:t>
            </w:r>
          </w:p>
        </w:tc>
        <w:tc>
          <w:tcPr>
            <w:tcW w:w="545" w:type="dxa"/>
            <w:shd w:val="clear" w:color="auto" w:fill="D9D9D9" w:themeFill="background1" w:themeFillShade="D9"/>
            <w:vAlign w:val="center"/>
          </w:tcPr>
          <w:p w14:paraId="24376920" w14:textId="77777777" w:rsidR="00541BB1" w:rsidRPr="00E26D67" w:rsidRDefault="00541BB1" w:rsidP="00AF3422">
            <w:pPr>
              <w:spacing w:line="480" w:lineRule="auto"/>
              <w:jc w:val="center"/>
              <w:rPr>
                <w:rFonts w:ascii="Arial" w:hAnsi="Arial" w:cs="Arial"/>
                <w:b/>
                <w:sz w:val="16"/>
                <w:szCs w:val="16"/>
              </w:rPr>
            </w:pPr>
            <w:r w:rsidRPr="00E26D67">
              <w:rPr>
                <w:rFonts w:ascii="Arial" w:hAnsi="Arial" w:cs="Arial"/>
                <w:b/>
                <w:sz w:val="16"/>
                <w:szCs w:val="16"/>
              </w:rPr>
              <w:t>TT (%)</w:t>
            </w:r>
          </w:p>
        </w:tc>
        <w:tc>
          <w:tcPr>
            <w:tcW w:w="1088" w:type="dxa"/>
            <w:shd w:val="clear" w:color="auto" w:fill="D9D9D9" w:themeFill="background1" w:themeFillShade="D9"/>
          </w:tcPr>
          <w:p w14:paraId="7CC8AF7D" w14:textId="77777777" w:rsidR="00541BB1" w:rsidRPr="00E26D67" w:rsidRDefault="00541BB1" w:rsidP="00AF3422">
            <w:pPr>
              <w:spacing w:line="480" w:lineRule="auto"/>
              <w:jc w:val="center"/>
              <w:rPr>
                <w:rFonts w:ascii="Arial" w:hAnsi="Arial" w:cs="Arial"/>
                <w:b/>
                <w:sz w:val="16"/>
                <w:szCs w:val="16"/>
              </w:rPr>
            </w:pPr>
            <w:r w:rsidRPr="00E26D67">
              <w:rPr>
                <w:rFonts w:ascii="Arial" w:hAnsi="Arial" w:cs="Arial"/>
                <w:b/>
                <w:sz w:val="16"/>
                <w:szCs w:val="16"/>
              </w:rPr>
              <w:t>Unadjusted TT prevalence (95% CI)</w:t>
            </w:r>
          </w:p>
        </w:tc>
        <w:tc>
          <w:tcPr>
            <w:tcW w:w="1121" w:type="dxa"/>
            <w:shd w:val="clear" w:color="auto" w:fill="D9D9D9" w:themeFill="background1" w:themeFillShade="D9"/>
            <w:vAlign w:val="center"/>
          </w:tcPr>
          <w:p w14:paraId="3A013776" w14:textId="77777777" w:rsidR="00541BB1" w:rsidRPr="00E26D67" w:rsidRDefault="00541BB1" w:rsidP="00AF3422">
            <w:pPr>
              <w:spacing w:line="480" w:lineRule="auto"/>
              <w:jc w:val="center"/>
              <w:rPr>
                <w:rFonts w:ascii="Arial" w:hAnsi="Arial" w:cs="Arial"/>
                <w:b/>
                <w:sz w:val="16"/>
                <w:szCs w:val="16"/>
              </w:rPr>
            </w:pPr>
            <w:r w:rsidRPr="00E26D67">
              <w:rPr>
                <w:rFonts w:ascii="Arial" w:hAnsi="Arial" w:cs="Arial"/>
                <w:b/>
                <w:sz w:val="16"/>
                <w:szCs w:val="16"/>
              </w:rPr>
              <w:t>Adjusted* TT prevalence (95% CI)</w:t>
            </w:r>
          </w:p>
        </w:tc>
      </w:tr>
      <w:tr w:rsidR="00541BB1" w:rsidRPr="00E26D67" w14:paraId="7B3617FF" w14:textId="77777777" w:rsidTr="00AF3422">
        <w:trPr>
          <w:trHeight w:val="273"/>
        </w:trPr>
        <w:tc>
          <w:tcPr>
            <w:tcW w:w="1161" w:type="dxa"/>
            <w:vMerge w:val="restart"/>
            <w:vAlign w:val="center"/>
          </w:tcPr>
          <w:p w14:paraId="75101EAB" w14:textId="77777777" w:rsidR="00541BB1" w:rsidRPr="00E26D67" w:rsidRDefault="00541BB1" w:rsidP="00AF3422">
            <w:pPr>
              <w:spacing w:line="480" w:lineRule="auto"/>
              <w:jc w:val="left"/>
              <w:rPr>
                <w:rFonts w:ascii="Arial" w:hAnsi="Arial" w:cs="Arial"/>
                <w:sz w:val="16"/>
                <w:szCs w:val="16"/>
              </w:rPr>
            </w:pPr>
            <w:r w:rsidRPr="00E26D67">
              <w:rPr>
                <w:rFonts w:ascii="Arial" w:hAnsi="Arial" w:cs="Arial"/>
                <w:sz w:val="16"/>
                <w:szCs w:val="16"/>
              </w:rPr>
              <w:t>Vanuatu (176,828)</w:t>
            </w:r>
          </w:p>
        </w:tc>
        <w:tc>
          <w:tcPr>
            <w:tcW w:w="784" w:type="dxa"/>
            <w:vAlign w:val="center"/>
          </w:tcPr>
          <w:p w14:paraId="067571CC" w14:textId="77777777" w:rsidR="00541BB1" w:rsidRPr="00E26D67" w:rsidRDefault="00541BB1" w:rsidP="00AF3422">
            <w:pPr>
              <w:spacing w:line="480" w:lineRule="auto"/>
              <w:jc w:val="left"/>
              <w:rPr>
                <w:rFonts w:ascii="Arial" w:hAnsi="Arial" w:cs="Arial"/>
                <w:sz w:val="16"/>
                <w:szCs w:val="16"/>
              </w:rPr>
            </w:pPr>
            <w:r w:rsidRPr="00E26D67">
              <w:rPr>
                <w:rFonts w:ascii="Arial" w:hAnsi="Arial" w:cs="Arial"/>
                <w:sz w:val="16"/>
                <w:szCs w:val="16"/>
              </w:rPr>
              <w:t>1–9</w:t>
            </w:r>
          </w:p>
        </w:tc>
        <w:tc>
          <w:tcPr>
            <w:tcW w:w="1015" w:type="dxa"/>
            <w:vAlign w:val="center"/>
          </w:tcPr>
          <w:p w14:paraId="629B5355"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sz w:val="16"/>
                <w:szCs w:val="16"/>
              </w:rPr>
              <w:t>1112</w:t>
            </w:r>
          </w:p>
        </w:tc>
        <w:tc>
          <w:tcPr>
            <w:tcW w:w="611" w:type="dxa"/>
            <w:vAlign w:val="center"/>
          </w:tcPr>
          <w:p w14:paraId="7BD8D4DE"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sz w:val="16"/>
                <w:szCs w:val="16"/>
              </w:rPr>
              <w:t>52.5</w:t>
            </w:r>
          </w:p>
        </w:tc>
        <w:tc>
          <w:tcPr>
            <w:tcW w:w="617" w:type="dxa"/>
            <w:vAlign w:val="center"/>
          </w:tcPr>
          <w:p w14:paraId="486B458E"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sz w:val="16"/>
                <w:szCs w:val="16"/>
              </w:rPr>
              <w:t>184</w:t>
            </w:r>
          </w:p>
        </w:tc>
        <w:tc>
          <w:tcPr>
            <w:tcW w:w="527" w:type="dxa"/>
            <w:vAlign w:val="center"/>
          </w:tcPr>
          <w:p w14:paraId="56582AA2"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sz w:val="16"/>
                <w:szCs w:val="16"/>
              </w:rPr>
              <w:t>0</w:t>
            </w:r>
          </w:p>
        </w:tc>
        <w:tc>
          <w:tcPr>
            <w:tcW w:w="1150" w:type="dxa"/>
          </w:tcPr>
          <w:p w14:paraId="0F685EB9"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sz w:val="16"/>
                <w:szCs w:val="16"/>
              </w:rPr>
              <w:t xml:space="preserve">16.5 </w:t>
            </w:r>
          </w:p>
          <w:p w14:paraId="320698D4"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sz w:val="16"/>
                <w:szCs w:val="16"/>
              </w:rPr>
              <w:lastRenderedPageBreak/>
              <w:t>(14.3–18.7)</w:t>
            </w:r>
          </w:p>
        </w:tc>
        <w:tc>
          <w:tcPr>
            <w:tcW w:w="1121" w:type="dxa"/>
            <w:vAlign w:val="center"/>
          </w:tcPr>
          <w:p w14:paraId="4221CAA4"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sz w:val="16"/>
                <w:szCs w:val="16"/>
              </w:rPr>
              <w:lastRenderedPageBreak/>
              <w:t xml:space="preserve">16.5 </w:t>
            </w:r>
          </w:p>
          <w:p w14:paraId="2567D650"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sz w:val="16"/>
                <w:szCs w:val="16"/>
              </w:rPr>
              <w:lastRenderedPageBreak/>
              <w:t>(14.3–18.7)</w:t>
            </w:r>
          </w:p>
        </w:tc>
        <w:tc>
          <w:tcPr>
            <w:tcW w:w="545" w:type="dxa"/>
            <w:vAlign w:val="center"/>
          </w:tcPr>
          <w:p w14:paraId="1B9581A6" w14:textId="77777777" w:rsidR="00541BB1" w:rsidRPr="00E26D67" w:rsidRDefault="00541BB1" w:rsidP="00AF3422">
            <w:pPr>
              <w:spacing w:line="480" w:lineRule="auto"/>
              <w:jc w:val="center"/>
              <w:rPr>
                <w:rFonts w:ascii="Arial" w:hAnsi="Arial" w:cs="Arial"/>
                <w:sz w:val="16"/>
                <w:szCs w:val="16"/>
              </w:rPr>
            </w:pPr>
            <w:r>
              <w:rPr>
                <w:rFonts w:ascii="Arial" w:hAnsi="Arial" w:cs="Arial"/>
                <w:sz w:val="16"/>
                <w:szCs w:val="16"/>
              </w:rPr>
              <w:lastRenderedPageBreak/>
              <w:t>-</w:t>
            </w:r>
          </w:p>
        </w:tc>
        <w:tc>
          <w:tcPr>
            <w:tcW w:w="1088" w:type="dxa"/>
            <w:vAlign w:val="center"/>
          </w:tcPr>
          <w:p w14:paraId="519B74D3"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sz w:val="16"/>
                <w:szCs w:val="16"/>
              </w:rPr>
              <w:t>-</w:t>
            </w:r>
          </w:p>
        </w:tc>
        <w:tc>
          <w:tcPr>
            <w:tcW w:w="1121" w:type="dxa"/>
            <w:vAlign w:val="center"/>
          </w:tcPr>
          <w:p w14:paraId="53DDB358"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sz w:val="16"/>
                <w:szCs w:val="16"/>
              </w:rPr>
              <w:t>-</w:t>
            </w:r>
          </w:p>
        </w:tc>
      </w:tr>
      <w:tr w:rsidR="00541BB1" w:rsidRPr="00E26D67" w14:paraId="386D4177" w14:textId="77777777" w:rsidTr="00AF3422">
        <w:trPr>
          <w:trHeight w:val="295"/>
        </w:trPr>
        <w:tc>
          <w:tcPr>
            <w:tcW w:w="1161" w:type="dxa"/>
            <w:vMerge/>
            <w:vAlign w:val="center"/>
          </w:tcPr>
          <w:p w14:paraId="65439A74" w14:textId="77777777" w:rsidR="00541BB1" w:rsidRPr="00E26D67" w:rsidRDefault="00541BB1" w:rsidP="00AF3422">
            <w:pPr>
              <w:spacing w:line="480" w:lineRule="auto"/>
              <w:jc w:val="left"/>
              <w:rPr>
                <w:rFonts w:ascii="Arial" w:hAnsi="Arial" w:cs="Arial"/>
                <w:sz w:val="16"/>
                <w:szCs w:val="16"/>
              </w:rPr>
            </w:pPr>
          </w:p>
        </w:tc>
        <w:tc>
          <w:tcPr>
            <w:tcW w:w="784" w:type="dxa"/>
            <w:vAlign w:val="center"/>
          </w:tcPr>
          <w:p w14:paraId="6D89480D" w14:textId="77777777" w:rsidR="00541BB1" w:rsidRPr="00E26D67" w:rsidRDefault="00541BB1" w:rsidP="00AF3422">
            <w:pPr>
              <w:spacing w:line="480" w:lineRule="auto"/>
              <w:jc w:val="left"/>
              <w:rPr>
                <w:rFonts w:ascii="Arial" w:hAnsi="Arial" w:cs="Arial"/>
                <w:sz w:val="16"/>
                <w:szCs w:val="16"/>
              </w:rPr>
            </w:pPr>
            <w:r w:rsidRPr="00E26D67">
              <w:rPr>
                <w:rFonts w:ascii="Arial" w:hAnsi="Arial" w:cs="Arial"/>
                <w:sz w:val="16"/>
                <w:szCs w:val="16"/>
              </w:rPr>
              <w:t>10–14</w:t>
            </w:r>
          </w:p>
        </w:tc>
        <w:tc>
          <w:tcPr>
            <w:tcW w:w="1015" w:type="dxa"/>
            <w:vAlign w:val="center"/>
          </w:tcPr>
          <w:p w14:paraId="469E1ADA"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sz w:val="16"/>
                <w:szCs w:val="16"/>
              </w:rPr>
              <w:t>418</w:t>
            </w:r>
          </w:p>
        </w:tc>
        <w:tc>
          <w:tcPr>
            <w:tcW w:w="611" w:type="dxa"/>
            <w:vAlign w:val="center"/>
          </w:tcPr>
          <w:p w14:paraId="3A78E80D"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sz w:val="16"/>
                <w:szCs w:val="16"/>
              </w:rPr>
              <w:t>51.9</w:t>
            </w:r>
          </w:p>
        </w:tc>
        <w:tc>
          <w:tcPr>
            <w:tcW w:w="617" w:type="dxa"/>
            <w:vAlign w:val="center"/>
          </w:tcPr>
          <w:p w14:paraId="4B6AFFCE"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sz w:val="16"/>
                <w:szCs w:val="16"/>
              </w:rPr>
              <w:t>60</w:t>
            </w:r>
          </w:p>
        </w:tc>
        <w:tc>
          <w:tcPr>
            <w:tcW w:w="527" w:type="dxa"/>
            <w:vAlign w:val="center"/>
          </w:tcPr>
          <w:p w14:paraId="62E46DCE"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sz w:val="16"/>
                <w:szCs w:val="16"/>
              </w:rPr>
              <w:t xml:space="preserve">0 </w:t>
            </w:r>
          </w:p>
        </w:tc>
        <w:tc>
          <w:tcPr>
            <w:tcW w:w="1150" w:type="dxa"/>
          </w:tcPr>
          <w:p w14:paraId="70556E38"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sz w:val="16"/>
                <w:szCs w:val="16"/>
              </w:rPr>
              <w:t>-</w:t>
            </w:r>
          </w:p>
        </w:tc>
        <w:tc>
          <w:tcPr>
            <w:tcW w:w="1121" w:type="dxa"/>
            <w:vAlign w:val="center"/>
          </w:tcPr>
          <w:p w14:paraId="18725A40"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sz w:val="16"/>
                <w:szCs w:val="16"/>
              </w:rPr>
              <w:t>-</w:t>
            </w:r>
          </w:p>
        </w:tc>
        <w:tc>
          <w:tcPr>
            <w:tcW w:w="545" w:type="dxa"/>
            <w:vAlign w:val="center"/>
          </w:tcPr>
          <w:p w14:paraId="75FCFF1F" w14:textId="77777777" w:rsidR="00541BB1" w:rsidRPr="00E26D67" w:rsidRDefault="00541BB1" w:rsidP="00AF3422">
            <w:pPr>
              <w:spacing w:line="480" w:lineRule="auto"/>
              <w:jc w:val="center"/>
              <w:rPr>
                <w:rFonts w:ascii="Arial" w:hAnsi="Arial" w:cs="Arial"/>
                <w:sz w:val="16"/>
                <w:szCs w:val="16"/>
              </w:rPr>
            </w:pPr>
            <w:r>
              <w:rPr>
                <w:rFonts w:ascii="Arial" w:hAnsi="Arial" w:cs="Arial"/>
                <w:sz w:val="16"/>
                <w:szCs w:val="16"/>
              </w:rPr>
              <w:t>-</w:t>
            </w:r>
          </w:p>
        </w:tc>
        <w:tc>
          <w:tcPr>
            <w:tcW w:w="1088" w:type="dxa"/>
          </w:tcPr>
          <w:p w14:paraId="05D4391C"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sz w:val="16"/>
                <w:szCs w:val="16"/>
              </w:rPr>
              <w:t>-</w:t>
            </w:r>
          </w:p>
        </w:tc>
        <w:tc>
          <w:tcPr>
            <w:tcW w:w="1121" w:type="dxa"/>
            <w:vAlign w:val="center"/>
          </w:tcPr>
          <w:p w14:paraId="399F8991"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sz w:val="16"/>
                <w:szCs w:val="16"/>
              </w:rPr>
              <w:t>-</w:t>
            </w:r>
          </w:p>
        </w:tc>
      </w:tr>
      <w:tr w:rsidR="00541BB1" w:rsidRPr="00E26D67" w14:paraId="3D613243" w14:textId="77777777" w:rsidTr="00AF3422">
        <w:trPr>
          <w:trHeight w:val="273"/>
        </w:trPr>
        <w:tc>
          <w:tcPr>
            <w:tcW w:w="1161" w:type="dxa"/>
            <w:vMerge/>
            <w:vAlign w:val="center"/>
          </w:tcPr>
          <w:p w14:paraId="52753823" w14:textId="77777777" w:rsidR="00541BB1" w:rsidRPr="00E26D67" w:rsidRDefault="00541BB1" w:rsidP="00AF3422">
            <w:pPr>
              <w:spacing w:line="480" w:lineRule="auto"/>
              <w:jc w:val="left"/>
              <w:rPr>
                <w:rFonts w:ascii="Arial" w:hAnsi="Arial" w:cs="Arial"/>
                <w:sz w:val="16"/>
                <w:szCs w:val="16"/>
              </w:rPr>
            </w:pPr>
          </w:p>
        </w:tc>
        <w:tc>
          <w:tcPr>
            <w:tcW w:w="784" w:type="dxa"/>
            <w:vAlign w:val="center"/>
          </w:tcPr>
          <w:p w14:paraId="75F7829C" w14:textId="77777777" w:rsidR="00541BB1" w:rsidRPr="00E26D67" w:rsidRDefault="00541BB1" w:rsidP="00AF3422">
            <w:pPr>
              <w:spacing w:line="480" w:lineRule="auto"/>
              <w:jc w:val="left"/>
              <w:rPr>
                <w:rFonts w:ascii="Arial" w:hAnsi="Arial" w:cs="Arial"/>
                <w:sz w:val="16"/>
                <w:szCs w:val="16"/>
              </w:rPr>
            </w:pPr>
            <w:r w:rsidRPr="00E26D67">
              <w:rPr>
                <w:rFonts w:ascii="Arial" w:hAnsi="Arial" w:cs="Arial"/>
                <w:sz w:val="16"/>
                <w:szCs w:val="16"/>
              </w:rPr>
              <w:t>≥15</w:t>
            </w:r>
          </w:p>
        </w:tc>
        <w:tc>
          <w:tcPr>
            <w:tcW w:w="1015" w:type="dxa"/>
            <w:vAlign w:val="center"/>
          </w:tcPr>
          <w:p w14:paraId="335A8A17"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sz w:val="16"/>
                <w:szCs w:val="16"/>
              </w:rPr>
              <w:t>1940</w:t>
            </w:r>
          </w:p>
        </w:tc>
        <w:tc>
          <w:tcPr>
            <w:tcW w:w="611" w:type="dxa"/>
            <w:vAlign w:val="center"/>
          </w:tcPr>
          <w:p w14:paraId="33707218"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sz w:val="16"/>
                <w:szCs w:val="16"/>
              </w:rPr>
              <w:t>42.1</w:t>
            </w:r>
          </w:p>
        </w:tc>
        <w:tc>
          <w:tcPr>
            <w:tcW w:w="617" w:type="dxa"/>
            <w:vAlign w:val="center"/>
          </w:tcPr>
          <w:p w14:paraId="7BD5BF1C"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sz w:val="16"/>
                <w:szCs w:val="16"/>
              </w:rPr>
              <w:t xml:space="preserve">15 </w:t>
            </w:r>
          </w:p>
        </w:tc>
        <w:tc>
          <w:tcPr>
            <w:tcW w:w="527" w:type="dxa"/>
            <w:vAlign w:val="center"/>
          </w:tcPr>
          <w:p w14:paraId="52117E72"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sz w:val="16"/>
                <w:szCs w:val="16"/>
              </w:rPr>
              <w:t>0</w:t>
            </w:r>
          </w:p>
        </w:tc>
        <w:tc>
          <w:tcPr>
            <w:tcW w:w="1150" w:type="dxa"/>
          </w:tcPr>
          <w:p w14:paraId="042CBD33"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sz w:val="16"/>
                <w:szCs w:val="16"/>
              </w:rPr>
              <w:t>-</w:t>
            </w:r>
          </w:p>
        </w:tc>
        <w:tc>
          <w:tcPr>
            <w:tcW w:w="1121" w:type="dxa"/>
            <w:vAlign w:val="center"/>
          </w:tcPr>
          <w:p w14:paraId="43630294"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sz w:val="16"/>
                <w:szCs w:val="16"/>
              </w:rPr>
              <w:t>-</w:t>
            </w:r>
          </w:p>
        </w:tc>
        <w:tc>
          <w:tcPr>
            <w:tcW w:w="545" w:type="dxa"/>
            <w:vAlign w:val="center"/>
          </w:tcPr>
          <w:p w14:paraId="4866B252"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sz w:val="16"/>
                <w:szCs w:val="16"/>
              </w:rPr>
              <w:t>0</w:t>
            </w:r>
          </w:p>
        </w:tc>
        <w:tc>
          <w:tcPr>
            <w:tcW w:w="1088" w:type="dxa"/>
          </w:tcPr>
          <w:p w14:paraId="26D3C35D"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sz w:val="16"/>
                <w:szCs w:val="16"/>
              </w:rPr>
              <w:t>0 (0.0–0.2)</w:t>
            </w:r>
          </w:p>
        </w:tc>
        <w:tc>
          <w:tcPr>
            <w:tcW w:w="1121" w:type="dxa"/>
            <w:vAlign w:val="center"/>
          </w:tcPr>
          <w:p w14:paraId="24FA9CE1"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sz w:val="16"/>
                <w:szCs w:val="16"/>
              </w:rPr>
              <w:t>0 (0.0–0.3)</w:t>
            </w:r>
          </w:p>
        </w:tc>
      </w:tr>
      <w:tr w:rsidR="00541BB1" w:rsidRPr="00E26D67" w14:paraId="09774AFC" w14:textId="77777777" w:rsidTr="00AF3422">
        <w:trPr>
          <w:trHeight w:val="273"/>
        </w:trPr>
        <w:tc>
          <w:tcPr>
            <w:tcW w:w="1161" w:type="dxa"/>
            <w:vMerge w:val="restart"/>
            <w:vAlign w:val="center"/>
          </w:tcPr>
          <w:p w14:paraId="54D21BF7" w14:textId="77777777" w:rsidR="00541BB1" w:rsidRPr="00E26D67" w:rsidRDefault="00541BB1" w:rsidP="00AF3422">
            <w:pPr>
              <w:spacing w:line="480" w:lineRule="auto"/>
              <w:jc w:val="left"/>
              <w:rPr>
                <w:rFonts w:ascii="Arial" w:hAnsi="Arial" w:cs="Arial"/>
                <w:sz w:val="16"/>
                <w:szCs w:val="16"/>
              </w:rPr>
            </w:pPr>
            <w:r w:rsidRPr="00E26D67">
              <w:rPr>
                <w:rFonts w:ascii="Arial" w:hAnsi="Arial" w:cs="Arial"/>
                <w:sz w:val="16"/>
                <w:szCs w:val="16"/>
              </w:rPr>
              <w:t>Tarawa (63,017)</w:t>
            </w:r>
          </w:p>
        </w:tc>
        <w:tc>
          <w:tcPr>
            <w:tcW w:w="784" w:type="dxa"/>
            <w:vAlign w:val="center"/>
          </w:tcPr>
          <w:p w14:paraId="1B87B497" w14:textId="77777777" w:rsidR="00541BB1" w:rsidRPr="00E26D67" w:rsidRDefault="00541BB1" w:rsidP="00AF3422">
            <w:pPr>
              <w:spacing w:line="480" w:lineRule="auto"/>
              <w:jc w:val="left"/>
              <w:rPr>
                <w:rFonts w:ascii="Arial" w:hAnsi="Arial" w:cs="Arial"/>
                <w:sz w:val="16"/>
                <w:szCs w:val="16"/>
              </w:rPr>
            </w:pPr>
            <w:r w:rsidRPr="00E26D67">
              <w:rPr>
                <w:rFonts w:ascii="Arial" w:hAnsi="Arial" w:cs="Arial"/>
                <w:color w:val="000000" w:themeColor="text1"/>
                <w:sz w:val="16"/>
                <w:szCs w:val="16"/>
              </w:rPr>
              <w:t>1–9</w:t>
            </w:r>
          </w:p>
        </w:tc>
        <w:tc>
          <w:tcPr>
            <w:tcW w:w="1015" w:type="dxa"/>
            <w:vAlign w:val="center"/>
          </w:tcPr>
          <w:p w14:paraId="4027C0E0"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color w:val="000000" w:themeColor="text1"/>
                <w:sz w:val="16"/>
                <w:szCs w:val="16"/>
              </w:rPr>
              <w:t>1059</w:t>
            </w:r>
          </w:p>
        </w:tc>
        <w:tc>
          <w:tcPr>
            <w:tcW w:w="611" w:type="dxa"/>
            <w:vAlign w:val="center"/>
          </w:tcPr>
          <w:p w14:paraId="501F17CF"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color w:val="000000" w:themeColor="text1"/>
                <w:sz w:val="16"/>
                <w:szCs w:val="16"/>
              </w:rPr>
              <w:t>49.5</w:t>
            </w:r>
          </w:p>
        </w:tc>
        <w:tc>
          <w:tcPr>
            <w:tcW w:w="617" w:type="dxa"/>
            <w:vAlign w:val="center"/>
          </w:tcPr>
          <w:p w14:paraId="53E13026"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color w:val="000000" w:themeColor="text1"/>
                <w:sz w:val="16"/>
                <w:szCs w:val="16"/>
              </w:rPr>
              <w:t>436</w:t>
            </w:r>
          </w:p>
        </w:tc>
        <w:tc>
          <w:tcPr>
            <w:tcW w:w="527" w:type="dxa"/>
            <w:vAlign w:val="center"/>
          </w:tcPr>
          <w:p w14:paraId="0100F461"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color w:val="000000" w:themeColor="text1"/>
                <w:sz w:val="16"/>
                <w:szCs w:val="16"/>
              </w:rPr>
              <w:t>7</w:t>
            </w:r>
          </w:p>
        </w:tc>
        <w:tc>
          <w:tcPr>
            <w:tcW w:w="1150" w:type="dxa"/>
          </w:tcPr>
          <w:p w14:paraId="1CABE729" w14:textId="77777777" w:rsidR="00541BB1" w:rsidRPr="00E26D67" w:rsidRDefault="00541BB1" w:rsidP="00AF3422">
            <w:pPr>
              <w:spacing w:line="480" w:lineRule="auto"/>
              <w:jc w:val="center"/>
              <w:rPr>
                <w:rFonts w:ascii="Arial" w:hAnsi="Arial" w:cs="Arial"/>
                <w:color w:val="000000" w:themeColor="text1"/>
                <w:sz w:val="16"/>
                <w:szCs w:val="16"/>
              </w:rPr>
            </w:pPr>
            <w:r w:rsidRPr="00E26D67">
              <w:rPr>
                <w:rFonts w:ascii="Arial" w:hAnsi="Arial" w:cs="Arial"/>
                <w:color w:val="000000" w:themeColor="text1"/>
                <w:sz w:val="16"/>
                <w:szCs w:val="16"/>
              </w:rPr>
              <w:t>41.1</w:t>
            </w:r>
          </w:p>
          <w:p w14:paraId="09CFD309" w14:textId="77777777" w:rsidR="00541BB1" w:rsidRPr="00E26D67" w:rsidRDefault="00541BB1" w:rsidP="00AF3422">
            <w:pPr>
              <w:spacing w:line="480" w:lineRule="auto"/>
              <w:jc w:val="center"/>
              <w:rPr>
                <w:rFonts w:ascii="Arial" w:hAnsi="Arial" w:cs="Arial"/>
                <w:color w:val="000000" w:themeColor="text1"/>
                <w:sz w:val="16"/>
                <w:szCs w:val="16"/>
              </w:rPr>
            </w:pPr>
            <w:r w:rsidRPr="00E26D67">
              <w:rPr>
                <w:rFonts w:ascii="Arial" w:hAnsi="Arial" w:cs="Arial"/>
                <w:color w:val="000000" w:themeColor="text1"/>
                <w:sz w:val="16"/>
                <w:szCs w:val="16"/>
              </w:rPr>
              <w:t xml:space="preserve"> (38.1–44.1)</w:t>
            </w:r>
          </w:p>
        </w:tc>
        <w:tc>
          <w:tcPr>
            <w:tcW w:w="1121" w:type="dxa"/>
            <w:vAlign w:val="center"/>
          </w:tcPr>
          <w:p w14:paraId="04DFB5A9" w14:textId="77777777" w:rsidR="00541BB1" w:rsidRPr="00E26D67" w:rsidRDefault="00541BB1" w:rsidP="00AF3422">
            <w:pPr>
              <w:spacing w:line="480" w:lineRule="auto"/>
              <w:jc w:val="center"/>
              <w:rPr>
                <w:rFonts w:ascii="Arial" w:hAnsi="Arial" w:cs="Arial"/>
                <w:color w:val="000000" w:themeColor="text1"/>
                <w:sz w:val="16"/>
                <w:szCs w:val="16"/>
              </w:rPr>
            </w:pPr>
            <w:r w:rsidRPr="00E26D67">
              <w:rPr>
                <w:rFonts w:ascii="Arial" w:hAnsi="Arial" w:cs="Arial"/>
                <w:color w:val="000000" w:themeColor="text1"/>
                <w:sz w:val="16"/>
                <w:szCs w:val="16"/>
              </w:rPr>
              <w:t>38.2</w:t>
            </w:r>
          </w:p>
          <w:p w14:paraId="1548C4C4"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color w:val="000000" w:themeColor="text1"/>
                <w:sz w:val="16"/>
                <w:szCs w:val="16"/>
              </w:rPr>
              <w:t>(35.7–41.5)</w:t>
            </w:r>
          </w:p>
        </w:tc>
        <w:tc>
          <w:tcPr>
            <w:tcW w:w="545" w:type="dxa"/>
            <w:vAlign w:val="center"/>
          </w:tcPr>
          <w:p w14:paraId="23B13D0D"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color w:val="000000" w:themeColor="text1"/>
                <w:sz w:val="16"/>
                <w:szCs w:val="16"/>
              </w:rPr>
              <w:t>-</w:t>
            </w:r>
          </w:p>
        </w:tc>
        <w:tc>
          <w:tcPr>
            <w:tcW w:w="1088" w:type="dxa"/>
            <w:vAlign w:val="center"/>
          </w:tcPr>
          <w:p w14:paraId="617FF380" w14:textId="77777777" w:rsidR="00541BB1" w:rsidRPr="00E26D67" w:rsidRDefault="00541BB1" w:rsidP="00AF3422">
            <w:pPr>
              <w:spacing w:line="480" w:lineRule="auto"/>
              <w:jc w:val="center"/>
              <w:rPr>
                <w:rFonts w:ascii="Arial" w:hAnsi="Arial" w:cs="Arial"/>
                <w:color w:val="000000" w:themeColor="text1"/>
                <w:sz w:val="16"/>
                <w:szCs w:val="16"/>
              </w:rPr>
            </w:pPr>
            <w:r w:rsidRPr="00E26D67">
              <w:rPr>
                <w:rFonts w:ascii="Arial" w:hAnsi="Arial" w:cs="Arial"/>
                <w:color w:val="000000" w:themeColor="text1"/>
                <w:sz w:val="16"/>
                <w:szCs w:val="16"/>
              </w:rPr>
              <w:t>-</w:t>
            </w:r>
          </w:p>
        </w:tc>
        <w:tc>
          <w:tcPr>
            <w:tcW w:w="1121" w:type="dxa"/>
            <w:vAlign w:val="center"/>
          </w:tcPr>
          <w:p w14:paraId="04AD5A8B"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color w:val="000000" w:themeColor="text1"/>
                <w:sz w:val="16"/>
                <w:szCs w:val="16"/>
              </w:rPr>
              <w:t>-</w:t>
            </w:r>
          </w:p>
        </w:tc>
      </w:tr>
      <w:tr w:rsidR="00541BB1" w:rsidRPr="00E26D67" w14:paraId="3D5CB6AC" w14:textId="77777777" w:rsidTr="00AF3422">
        <w:trPr>
          <w:trHeight w:val="273"/>
        </w:trPr>
        <w:tc>
          <w:tcPr>
            <w:tcW w:w="1161" w:type="dxa"/>
            <w:vMerge/>
            <w:vAlign w:val="center"/>
          </w:tcPr>
          <w:p w14:paraId="408459C6" w14:textId="77777777" w:rsidR="00541BB1" w:rsidRPr="00E26D67" w:rsidRDefault="00541BB1" w:rsidP="00AF3422">
            <w:pPr>
              <w:spacing w:line="480" w:lineRule="auto"/>
              <w:jc w:val="left"/>
              <w:rPr>
                <w:rFonts w:ascii="Arial" w:hAnsi="Arial" w:cs="Arial"/>
                <w:sz w:val="16"/>
                <w:szCs w:val="16"/>
              </w:rPr>
            </w:pPr>
          </w:p>
        </w:tc>
        <w:tc>
          <w:tcPr>
            <w:tcW w:w="784" w:type="dxa"/>
            <w:vAlign w:val="center"/>
          </w:tcPr>
          <w:p w14:paraId="3074CB8F" w14:textId="77777777" w:rsidR="00541BB1" w:rsidRPr="00E26D67" w:rsidRDefault="00541BB1" w:rsidP="00AF3422">
            <w:pPr>
              <w:spacing w:line="480" w:lineRule="auto"/>
              <w:jc w:val="left"/>
              <w:rPr>
                <w:rFonts w:ascii="Arial" w:hAnsi="Arial" w:cs="Arial"/>
                <w:sz w:val="16"/>
                <w:szCs w:val="16"/>
              </w:rPr>
            </w:pPr>
            <w:r w:rsidRPr="00E26D67">
              <w:rPr>
                <w:rFonts w:ascii="Arial" w:hAnsi="Arial" w:cs="Arial"/>
                <w:color w:val="000000" w:themeColor="text1"/>
                <w:sz w:val="16"/>
                <w:szCs w:val="16"/>
              </w:rPr>
              <w:t>10–14</w:t>
            </w:r>
          </w:p>
        </w:tc>
        <w:tc>
          <w:tcPr>
            <w:tcW w:w="1015" w:type="dxa"/>
            <w:vAlign w:val="center"/>
          </w:tcPr>
          <w:p w14:paraId="0BB2037F"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color w:val="000000" w:themeColor="text1"/>
                <w:sz w:val="16"/>
                <w:szCs w:val="16"/>
              </w:rPr>
              <w:t>252</w:t>
            </w:r>
          </w:p>
        </w:tc>
        <w:tc>
          <w:tcPr>
            <w:tcW w:w="611" w:type="dxa"/>
            <w:vAlign w:val="center"/>
          </w:tcPr>
          <w:p w14:paraId="473CCABF"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color w:val="000000" w:themeColor="text1"/>
                <w:sz w:val="16"/>
                <w:szCs w:val="16"/>
              </w:rPr>
              <w:t>53.6</w:t>
            </w:r>
          </w:p>
        </w:tc>
        <w:tc>
          <w:tcPr>
            <w:tcW w:w="617" w:type="dxa"/>
            <w:vAlign w:val="center"/>
          </w:tcPr>
          <w:p w14:paraId="023AD04A"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color w:val="000000" w:themeColor="text1"/>
                <w:sz w:val="16"/>
                <w:szCs w:val="16"/>
              </w:rPr>
              <w:t>141</w:t>
            </w:r>
          </w:p>
        </w:tc>
        <w:tc>
          <w:tcPr>
            <w:tcW w:w="527" w:type="dxa"/>
            <w:vAlign w:val="center"/>
          </w:tcPr>
          <w:p w14:paraId="255564A0"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color w:val="000000" w:themeColor="text1"/>
                <w:sz w:val="16"/>
                <w:szCs w:val="16"/>
              </w:rPr>
              <w:t>6</w:t>
            </w:r>
          </w:p>
        </w:tc>
        <w:tc>
          <w:tcPr>
            <w:tcW w:w="1150" w:type="dxa"/>
          </w:tcPr>
          <w:p w14:paraId="58021B61" w14:textId="77777777" w:rsidR="00541BB1" w:rsidRPr="00E26D67" w:rsidRDefault="00541BB1" w:rsidP="00AF3422">
            <w:pPr>
              <w:spacing w:line="480" w:lineRule="auto"/>
              <w:jc w:val="center"/>
              <w:rPr>
                <w:rFonts w:ascii="Arial" w:hAnsi="Arial" w:cs="Arial"/>
                <w:color w:val="000000" w:themeColor="text1"/>
                <w:sz w:val="16"/>
                <w:szCs w:val="16"/>
              </w:rPr>
            </w:pPr>
            <w:r w:rsidRPr="00E26D67">
              <w:rPr>
                <w:rFonts w:ascii="Arial" w:hAnsi="Arial" w:cs="Arial"/>
                <w:color w:val="000000" w:themeColor="text1"/>
                <w:sz w:val="16"/>
                <w:szCs w:val="16"/>
              </w:rPr>
              <w:t>-</w:t>
            </w:r>
          </w:p>
        </w:tc>
        <w:tc>
          <w:tcPr>
            <w:tcW w:w="1121" w:type="dxa"/>
            <w:vAlign w:val="center"/>
          </w:tcPr>
          <w:p w14:paraId="63E12D21"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color w:val="000000" w:themeColor="text1"/>
                <w:sz w:val="16"/>
                <w:szCs w:val="16"/>
              </w:rPr>
              <w:t>-</w:t>
            </w:r>
          </w:p>
        </w:tc>
        <w:tc>
          <w:tcPr>
            <w:tcW w:w="545" w:type="dxa"/>
            <w:vAlign w:val="center"/>
          </w:tcPr>
          <w:p w14:paraId="508D4379"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color w:val="000000" w:themeColor="text1"/>
                <w:sz w:val="16"/>
                <w:szCs w:val="16"/>
              </w:rPr>
              <w:t>-</w:t>
            </w:r>
          </w:p>
        </w:tc>
        <w:tc>
          <w:tcPr>
            <w:tcW w:w="1088" w:type="dxa"/>
          </w:tcPr>
          <w:p w14:paraId="566255CB" w14:textId="77777777" w:rsidR="00541BB1" w:rsidRPr="00E26D67" w:rsidRDefault="00541BB1" w:rsidP="00AF3422">
            <w:pPr>
              <w:spacing w:line="480" w:lineRule="auto"/>
              <w:jc w:val="center"/>
              <w:rPr>
                <w:rFonts w:ascii="Arial" w:hAnsi="Arial" w:cs="Arial"/>
                <w:color w:val="000000" w:themeColor="text1"/>
                <w:sz w:val="16"/>
                <w:szCs w:val="16"/>
              </w:rPr>
            </w:pPr>
            <w:r w:rsidRPr="00E26D67">
              <w:rPr>
                <w:rFonts w:ascii="Arial" w:hAnsi="Arial" w:cs="Arial"/>
                <w:color w:val="000000" w:themeColor="text1"/>
                <w:sz w:val="16"/>
                <w:szCs w:val="16"/>
              </w:rPr>
              <w:t>-</w:t>
            </w:r>
          </w:p>
        </w:tc>
        <w:tc>
          <w:tcPr>
            <w:tcW w:w="1121" w:type="dxa"/>
            <w:vAlign w:val="center"/>
          </w:tcPr>
          <w:p w14:paraId="1582289C"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color w:val="000000" w:themeColor="text1"/>
                <w:sz w:val="16"/>
                <w:szCs w:val="16"/>
              </w:rPr>
              <w:t>-</w:t>
            </w:r>
          </w:p>
        </w:tc>
      </w:tr>
      <w:tr w:rsidR="00541BB1" w:rsidRPr="00E26D67" w14:paraId="6B45B4CB" w14:textId="77777777" w:rsidTr="00AF3422">
        <w:trPr>
          <w:trHeight w:val="273"/>
        </w:trPr>
        <w:tc>
          <w:tcPr>
            <w:tcW w:w="1161" w:type="dxa"/>
            <w:vMerge/>
            <w:vAlign w:val="center"/>
          </w:tcPr>
          <w:p w14:paraId="28D8C1B2" w14:textId="77777777" w:rsidR="00541BB1" w:rsidRPr="00E26D67" w:rsidRDefault="00541BB1" w:rsidP="00AF3422">
            <w:pPr>
              <w:spacing w:line="480" w:lineRule="auto"/>
              <w:jc w:val="left"/>
              <w:rPr>
                <w:rFonts w:ascii="Arial" w:hAnsi="Arial" w:cs="Arial"/>
                <w:sz w:val="16"/>
                <w:szCs w:val="16"/>
              </w:rPr>
            </w:pPr>
          </w:p>
        </w:tc>
        <w:tc>
          <w:tcPr>
            <w:tcW w:w="784" w:type="dxa"/>
            <w:vAlign w:val="center"/>
          </w:tcPr>
          <w:p w14:paraId="1E8BA202" w14:textId="77777777" w:rsidR="00541BB1" w:rsidRPr="00E26D67" w:rsidRDefault="00541BB1" w:rsidP="00AF3422">
            <w:pPr>
              <w:spacing w:line="480" w:lineRule="auto"/>
              <w:jc w:val="left"/>
              <w:rPr>
                <w:rFonts w:ascii="Arial" w:hAnsi="Arial" w:cs="Arial"/>
                <w:sz w:val="16"/>
                <w:szCs w:val="16"/>
              </w:rPr>
            </w:pPr>
            <w:r w:rsidRPr="00E26D67">
              <w:rPr>
                <w:rFonts w:ascii="Arial" w:hAnsi="Arial" w:cs="Arial"/>
                <w:color w:val="000000" w:themeColor="text1"/>
                <w:sz w:val="16"/>
                <w:szCs w:val="16"/>
              </w:rPr>
              <w:t>≥15</w:t>
            </w:r>
          </w:p>
        </w:tc>
        <w:tc>
          <w:tcPr>
            <w:tcW w:w="1015" w:type="dxa"/>
            <w:vAlign w:val="center"/>
          </w:tcPr>
          <w:p w14:paraId="6DD2E01F"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color w:val="000000" w:themeColor="text1"/>
                <w:sz w:val="16"/>
                <w:szCs w:val="16"/>
              </w:rPr>
              <w:t>1611</w:t>
            </w:r>
          </w:p>
        </w:tc>
        <w:tc>
          <w:tcPr>
            <w:tcW w:w="611" w:type="dxa"/>
            <w:vAlign w:val="center"/>
          </w:tcPr>
          <w:p w14:paraId="4DECE458"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color w:val="000000" w:themeColor="text1"/>
                <w:sz w:val="16"/>
                <w:szCs w:val="16"/>
              </w:rPr>
              <w:t>31.8</w:t>
            </w:r>
          </w:p>
        </w:tc>
        <w:tc>
          <w:tcPr>
            <w:tcW w:w="617" w:type="dxa"/>
            <w:vAlign w:val="center"/>
          </w:tcPr>
          <w:p w14:paraId="1400F124"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color w:val="000000" w:themeColor="text1"/>
                <w:sz w:val="16"/>
                <w:szCs w:val="16"/>
              </w:rPr>
              <w:t xml:space="preserve">119 </w:t>
            </w:r>
          </w:p>
        </w:tc>
        <w:tc>
          <w:tcPr>
            <w:tcW w:w="527" w:type="dxa"/>
            <w:vAlign w:val="center"/>
          </w:tcPr>
          <w:p w14:paraId="032FBE82" w14:textId="77777777" w:rsidR="00541BB1" w:rsidRPr="00E26D67" w:rsidRDefault="00541BB1" w:rsidP="00AF3422">
            <w:pPr>
              <w:spacing w:line="480" w:lineRule="auto"/>
              <w:jc w:val="center"/>
              <w:rPr>
                <w:rFonts w:ascii="Arial" w:hAnsi="Arial" w:cs="Arial"/>
                <w:sz w:val="16"/>
                <w:szCs w:val="16"/>
              </w:rPr>
            </w:pPr>
            <w:r w:rsidRPr="00E26D67">
              <w:rPr>
                <w:rFonts w:ascii="Arial" w:eastAsia="Times New Roman" w:hAnsi="Arial" w:cs="Arial"/>
                <w:color w:val="000000" w:themeColor="text1"/>
                <w:sz w:val="16"/>
                <w:szCs w:val="16"/>
                <w:lang w:eastAsia="en-GB"/>
              </w:rPr>
              <w:t>30</w:t>
            </w:r>
          </w:p>
        </w:tc>
        <w:tc>
          <w:tcPr>
            <w:tcW w:w="1150" w:type="dxa"/>
          </w:tcPr>
          <w:p w14:paraId="59AC3F31" w14:textId="77777777" w:rsidR="00541BB1" w:rsidRPr="00E26D67" w:rsidRDefault="00541BB1" w:rsidP="00AF3422">
            <w:pPr>
              <w:spacing w:line="480" w:lineRule="auto"/>
              <w:jc w:val="center"/>
              <w:rPr>
                <w:rFonts w:ascii="Arial" w:hAnsi="Arial" w:cs="Arial"/>
                <w:color w:val="000000" w:themeColor="text1"/>
                <w:sz w:val="16"/>
                <w:szCs w:val="16"/>
              </w:rPr>
            </w:pPr>
            <w:r w:rsidRPr="00E26D67">
              <w:rPr>
                <w:rFonts w:ascii="Arial" w:hAnsi="Arial" w:cs="Arial"/>
                <w:color w:val="000000" w:themeColor="text1"/>
                <w:sz w:val="16"/>
                <w:szCs w:val="16"/>
              </w:rPr>
              <w:t>-</w:t>
            </w:r>
          </w:p>
        </w:tc>
        <w:tc>
          <w:tcPr>
            <w:tcW w:w="1121" w:type="dxa"/>
            <w:vAlign w:val="center"/>
          </w:tcPr>
          <w:p w14:paraId="40011CF6"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color w:val="000000" w:themeColor="text1"/>
                <w:sz w:val="16"/>
                <w:szCs w:val="16"/>
              </w:rPr>
              <w:t>-</w:t>
            </w:r>
          </w:p>
        </w:tc>
        <w:tc>
          <w:tcPr>
            <w:tcW w:w="545" w:type="dxa"/>
            <w:vAlign w:val="center"/>
          </w:tcPr>
          <w:p w14:paraId="05C0D1E7"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color w:val="000000" w:themeColor="text1"/>
                <w:sz w:val="16"/>
                <w:szCs w:val="16"/>
              </w:rPr>
              <w:t>18</w:t>
            </w:r>
          </w:p>
        </w:tc>
        <w:tc>
          <w:tcPr>
            <w:tcW w:w="1088" w:type="dxa"/>
          </w:tcPr>
          <w:p w14:paraId="514137CD" w14:textId="77777777" w:rsidR="00541BB1" w:rsidRPr="00E26D67" w:rsidRDefault="00541BB1" w:rsidP="00AF3422">
            <w:pPr>
              <w:spacing w:line="480" w:lineRule="auto"/>
              <w:jc w:val="center"/>
              <w:rPr>
                <w:rFonts w:ascii="Arial" w:hAnsi="Arial" w:cs="Arial"/>
                <w:color w:val="000000" w:themeColor="text1"/>
                <w:sz w:val="16"/>
                <w:szCs w:val="16"/>
              </w:rPr>
            </w:pPr>
            <w:r w:rsidRPr="00E26D67">
              <w:rPr>
                <w:rFonts w:ascii="Arial" w:hAnsi="Arial" w:cs="Arial"/>
                <w:color w:val="000000" w:themeColor="text1"/>
                <w:sz w:val="16"/>
                <w:szCs w:val="16"/>
              </w:rPr>
              <w:t>1.1 (0.6–1.6)</w:t>
            </w:r>
          </w:p>
        </w:tc>
        <w:tc>
          <w:tcPr>
            <w:tcW w:w="1121" w:type="dxa"/>
            <w:vAlign w:val="center"/>
          </w:tcPr>
          <w:p w14:paraId="4E0685BE" w14:textId="77777777" w:rsidR="00541BB1" w:rsidRPr="00E26D67" w:rsidRDefault="00541BB1" w:rsidP="00AF3422">
            <w:pPr>
              <w:spacing w:line="480" w:lineRule="auto"/>
              <w:jc w:val="center"/>
              <w:rPr>
                <w:rFonts w:ascii="Arial" w:hAnsi="Arial" w:cs="Arial"/>
                <w:sz w:val="16"/>
                <w:szCs w:val="16"/>
              </w:rPr>
            </w:pPr>
            <w:r w:rsidRPr="00E26D67">
              <w:rPr>
                <w:rFonts w:ascii="Arial" w:hAnsi="Arial" w:cs="Arial"/>
                <w:color w:val="000000" w:themeColor="text1"/>
                <w:sz w:val="16"/>
                <w:szCs w:val="16"/>
              </w:rPr>
              <w:t>0.</w:t>
            </w:r>
            <w:r>
              <w:rPr>
                <w:rFonts w:ascii="Arial" w:hAnsi="Arial" w:cs="Arial"/>
                <w:color w:val="000000" w:themeColor="text1"/>
                <w:sz w:val="16"/>
                <w:szCs w:val="16"/>
              </w:rPr>
              <w:t>8</w:t>
            </w:r>
            <w:r w:rsidRPr="00E26D67">
              <w:rPr>
                <w:rFonts w:ascii="Arial" w:hAnsi="Arial" w:cs="Arial"/>
                <w:color w:val="000000" w:themeColor="text1"/>
                <w:sz w:val="16"/>
                <w:szCs w:val="16"/>
              </w:rPr>
              <w:t xml:space="preserve"> (0.</w:t>
            </w:r>
            <w:r>
              <w:rPr>
                <w:rFonts w:ascii="Arial" w:hAnsi="Arial" w:cs="Arial"/>
                <w:color w:val="000000" w:themeColor="text1"/>
                <w:sz w:val="16"/>
                <w:szCs w:val="16"/>
              </w:rPr>
              <w:t>4</w:t>
            </w:r>
            <w:r w:rsidRPr="00E26D67">
              <w:rPr>
                <w:rFonts w:ascii="Arial" w:hAnsi="Arial" w:cs="Arial"/>
                <w:color w:val="000000" w:themeColor="text1"/>
                <w:sz w:val="16"/>
                <w:szCs w:val="16"/>
              </w:rPr>
              <w:t>-1.2)</w:t>
            </w:r>
          </w:p>
        </w:tc>
      </w:tr>
      <w:tr w:rsidR="00541BB1" w:rsidRPr="00E26D67" w14:paraId="2B13E4D1" w14:textId="77777777" w:rsidTr="00AF3422">
        <w:trPr>
          <w:trHeight w:val="741"/>
        </w:trPr>
        <w:tc>
          <w:tcPr>
            <w:tcW w:w="9740" w:type="dxa"/>
            <w:gridSpan w:val="11"/>
          </w:tcPr>
          <w:p w14:paraId="6C35C9BA" w14:textId="77777777" w:rsidR="00541BB1" w:rsidRPr="00E26D67" w:rsidRDefault="00541BB1" w:rsidP="00AF3422">
            <w:pPr>
              <w:spacing w:line="480" w:lineRule="auto"/>
              <w:rPr>
                <w:rFonts w:ascii="Arial" w:hAnsi="Arial" w:cs="Arial"/>
                <w:color w:val="000000" w:themeColor="text1"/>
                <w:sz w:val="16"/>
                <w:szCs w:val="16"/>
              </w:rPr>
            </w:pPr>
            <w:r w:rsidRPr="00E26D67">
              <w:rPr>
                <w:rFonts w:ascii="Arial" w:hAnsi="Arial" w:cs="Arial"/>
                <w:color w:val="000000" w:themeColor="text1"/>
                <w:sz w:val="16"/>
                <w:szCs w:val="16"/>
              </w:rPr>
              <w:t>* Population estimates and age/gender adjustments calculated using most recent census data in Vanuatu</w:t>
            </w:r>
            <w:r>
              <w:rPr>
                <w:rFonts w:ascii="Arial" w:hAnsi="Arial" w:cs="Arial"/>
                <w:color w:val="000000" w:themeColor="text1"/>
                <w:sz w:val="16"/>
                <w:szCs w:val="16"/>
              </w:rPr>
              <w:t xml:space="preserve"> (20) </w:t>
            </w:r>
            <w:r w:rsidRPr="00E26D67">
              <w:rPr>
                <w:rFonts w:ascii="Arial" w:hAnsi="Arial" w:cs="Arial"/>
                <w:color w:val="000000" w:themeColor="text1"/>
                <w:sz w:val="16"/>
                <w:szCs w:val="16"/>
              </w:rPr>
              <w:t>and Kiribati</w:t>
            </w:r>
            <w:r>
              <w:rPr>
                <w:rFonts w:ascii="Arial" w:hAnsi="Arial" w:cs="Arial"/>
                <w:color w:val="000000" w:themeColor="text1"/>
                <w:sz w:val="16"/>
                <w:szCs w:val="16"/>
              </w:rPr>
              <w:t xml:space="preserve"> (21)</w:t>
            </w:r>
            <w:r w:rsidRPr="00E26D67">
              <w:rPr>
                <w:rFonts w:ascii="Arial" w:hAnsi="Arial" w:cs="Arial"/>
                <w:color w:val="000000" w:themeColor="text1"/>
                <w:sz w:val="16"/>
                <w:szCs w:val="16"/>
              </w:rPr>
              <w:t>. TF estimates were adjusted for age and gender in one-year age bands and TT estimates were adjusted for age and gender in five-year age bands.</w:t>
            </w:r>
          </w:p>
          <w:p w14:paraId="6688D9AE" w14:textId="77777777" w:rsidR="00541BB1" w:rsidRPr="00E26D67" w:rsidRDefault="00541BB1" w:rsidP="00AF3422">
            <w:pPr>
              <w:spacing w:line="480" w:lineRule="auto"/>
              <w:rPr>
                <w:rFonts w:ascii="Arial" w:hAnsi="Arial" w:cs="Arial"/>
                <w:color w:val="000000" w:themeColor="text1"/>
                <w:sz w:val="16"/>
                <w:szCs w:val="16"/>
                <w:lang w:val="fr-CH"/>
              </w:rPr>
            </w:pPr>
            <w:r w:rsidRPr="00E26D67">
              <w:rPr>
                <w:rFonts w:ascii="Arial" w:hAnsi="Arial" w:cs="Arial"/>
                <w:color w:val="000000" w:themeColor="text1"/>
                <w:sz w:val="16"/>
                <w:szCs w:val="16"/>
                <w:lang w:val="fr-CH"/>
              </w:rPr>
              <w:t xml:space="preserve">CI: confidence </w:t>
            </w:r>
            <w:proofErr w:type="spellStart"/>
            <w:r w:rsidRPr="00E26D67">
              <w:rPr>
                <w:rFonts w:ascii="Arial" w:hAnsi="Arial" w:cs="Arial"/>
                <w:color w:val="000000" w:themeColor="text1"/>
                <w:sz w:val="16"/>
                <w:szCs w:val="16"/>
                <w:lang w:val="fr-CH"/>
              </w:rPr>
              <w:t>interval</w:t>
            </w:r>
            <w:proofErr w:type="spellEnd"/>
            <w:r w:rsidRPr="00E26D67">
              <w:rPr>
                <w:rFonts w:ascii="Arial" w:hAnsi="Arial" w:cs="Arial"/>
                <w:color w:val="000000" w:themeColor="text1"/>
                <w:sz w:val="16"/>
                <w:szCs w:val="16"/>
                <w:lang w:val="fr-CH"/>
              </w:rPr>
              <w:t xml:space="preserve">; EU: </w:t>
            </w:r>
            <w:proofErr w:type="spellStart"/>
            <w:r w:rsidRPr="00E26D67">
              <w:rPr>
                <w:rFonts w:ascii="Arial" w:hAnsi="Arial" w:cs="Arial"/>
                <w:color w:val="000000" w:themeColor="text1"/>
                <w:sz w:val="16"/>
                <w:szCs w:val="16"/>
                <w:lang w:val="fr-CH"/>
              </w:rPr>
              <w:t>evaluation</w:t>
            </w:r>
            <w:proofErr w:type="spellEnd"/>
            <w:r w:rsidRPr="00E26D67">
              <w:rPr>
                <w:rFonts w:ascii="Arial" w:hAnsi="Arial" w:cs="Arial"/>
                <w:color w:val="000000" w:themeColor="text1"/>
                <w:sz w:val="16"/>
                <w:szCs w:val="16"/>
                <w:lang w:val="fr-CH"/>
              </w:rPr>
              <w:t xml:space="preserve"> unit; TF: </w:t>
            </w:r>
            <w:proofErr w:type="spellStart"/>
            <w:r w:rsidRPr="00E26D67">
              <w:rPr>
                <w:rFonts w:ascii="Arial" w:hAnsi="Arial" w:cs="Arial"/>
                <w:color w:val="000000" w:themeColor="text1"/>
                <w:sz w:val="16"/>
                <w:szCs w:val="16"/>
                <w:lang w:val="fr-CH"/>
              </w:rPr>
              <w:t>trachomatous</w:t>
            </w:r>
            <w:proofErr w:type="spellEnd"/>
            <w:r w:rsidRPr="00E26D67">
              <w:rPr>
                <w:rFonts w:ascii="Arial" w:hAnsi="Arial" w:cs="Arial"/>
                <w:color w:val="000000" w:themeColor="text1"/>
                <w:sz w:val="16"/>
                <w:szCs w:val="16"/>
                <w:lang w:val="fr-CH"/>
              </w:rPr>
              <w:t xml:space="preserve"> inflammation—</w:t>
            </w:r>
            <w:proofErr w:type="spellStart"/>
            <w:r w:rsidRPr="00E26D67">
              <w:rPr>
                <w:rFonts w:ascii="Arial" w:hAnsi="Arial" w:cs="Arial"/>
                <w:color w:val="000000" w:themeColor="text1"/>
                <w:sz w:val="16"/>
                <w:szCs w:val="16"/>
                <w:lang w:val="fr-CH"/>
              </w:rPr>
              <w:t>follicular</w:t>
            </w:r>
            <w:proofErr w:type="spellEnd"/>
            <w:r w:rsidRPr="00E26D67">
              <w:rPr>
                <w:rFonts w:ascii="Arial" w:hAnsi="Arial" w:cs="Arial"/>
                <w:color w:val="000000" w:themeColor="text1"/>
                <w:sz w:val="16"/>
                <w:szCs w:val="16"/>
                <w:lang w:val="fr-CH"/>
              </w:rPr>
              <w:t xml:space="preserve">; TI: </w:t>
            </w:r>
            <w:proofErr w:type="spellStart"/>
            <w:r w:rsidRPr="00E26D67">
              <w:rPr>
                <w:rFonts w:ascii="Arial" w:hAnsi="Arial" w:cs="Arial"/>
                <w:color w:val="000000" w:themeColor="text1"/>
                <w:sz w:val="16"/>
                <w:szCs w:val="16"/>
                <w:lang w:val="fr-CH"/>
              </w:rPr>
              <w:t>trachomatous</w:t>
            </w:r>
            <w:proofErr w:type="spellEnd"/>
            <w:r w:rsidRPr="00E26D67">
              <w:rPr>
                <w:rFonts w:ascii="Arial" w:hAnsi="Arial" w:cs="Arial"/>
                <w:color w:val="000000" w:themeColor="text1"/>
                <w:sz w:val="16"/>
                <w:szCs w:val="16"/>
                <w:lang w:val="fr-CH"/>
              </w:rPr>
              <w:t xml:space="preserve"> inflammation—intense; TT: </w:t>
            </w:r>
            <w:proofErr w:type="spellStart"/>
            <w:r w:rsidRPr="00E26D67">
              <w:rPr>
                <w:rFonts w:ascii="Arial" w:hAnsi="Arial" w:cs="Arial"/>
                <w:color w:val="000000" w:themeColor="text1"/>
                <w:sz w:val="16"/>
                <w:szCs w:val="16"/>
                <w:lang w:val="fr-CH"/>
              </w:rPr>
              <w:t>trachomatous</w:t>
            </w:r>
            <w:proofErr w:type="spellEnd"/>
            <w:r w:rsidRPr="00E26D67">
              <w:rPr>
                <w:rFonts w:ascii="Arial" w:hAnsi="Arial" w:cs="Arial"/>
                <w:color w:val="000000" w:themeColor="text1"/>
                <w:sz w:val="16"/>
                <w:szCs w:val="16"/>
                <w:lang w:val="fr-CH"/>
              </w:rPr>
              <w:t xml:space="preserve"> trichiasis</w:t>
            </w:r>
          </w:p>
        </w:tc>
      </w:tr>
    </w:tbl>
    <w:p w14:paraId="3026318A" w14:textId="77777777" w:rsidR="0050484F" w:rsidRDefault="0050484F" w:rsidP="0050484F">
      <w:pPr>
        <w:spacing w:line="480" w:lineRule="auto"/>
        <w:jc w:val="both"/>
        <w:rPr>
          <w:rFonts w:ascii="Arial" w:hAnsi="Arial" w:cs="Arial"/>
          <w:b/>
          <w:sz w:val="18"/>
          <w:szCs w:val="18"/>
        </w:rPr>
      </w:pPr>
    </w:p>
    <w:p w14:paraId="28C03144" w14:textId="03394ACF" w:rsidR="0050484F" w:rsidRDefault="0050484F" w:rsidP="0050484F">
      <w:pPr>
        <w:spacing w:line="480" w:lineRule="auto"/>
        <w:jc w:val="both"/>
        <w:rPr>
          <w:rFonts w:ascii="Arial" w:hAnsi="Arial" w:cs="Arial"/>
          <w:sz w:val="18"/>
          <w:szCs w:val="18"/>
        </w:rPr>
      </w:pPr>
      <w:r w:rsidRPr="00A6124B">
        <w:rPr>
          <w:rFonts w:ascii="Arial" w:hAnsi="Arial" w:cs="Arial"/>
          <w:b/>
          <w:sz w:val="18"/>
          <w:szCs w:val="18"/>
        </w:rPr>
        <w:t xml:space="preserve">Table </w:t>
      </w:r>
      <w:r>
        <w:rPr>
          <w:rFonts w:ascii="Arial" w:hAnsi="Arial" w:cs="Arial"/>
          <w:b/>
          <w:sz w:val="18"/>
          <w:szCs w:val="18"/>
        </w:rPr>
        <w:t>1</w:t>
      </w:r>
      <w:r w:rsidRPr="00A6124B">
        <w:rPr>
          <w:rFonts w:ascii="Arial" w:hAnsi="Arial" w:cs="Arial"/>
          <w:b/>
          <w:sz w:val="18"/>
          <w:szCs w:val="18"/>
        </w:rPr>
        <w:t>.</w:t>
      </w:r>
      <w:r w:rsidRPr="00A6124B">
        <w:rPr>
          <w:rFonts w:ascii="Arial" w:hAnsi="Arial" w:cs="Arial"/>
          <w:sz w:val="18"/>
          <w:szCs w:val="18"/>
        </w:rPr>
        <w:t xml:space="preserve"> Prevalence of </w:t>
      </w:r>
      <w:r>
        <w:rPr>
          <w:rFonts w:ascii="Arial" w:hAnsi="Arial" w:cs="Arial"/>
          <w:sz w:val="18"/>
          <w:szCs w:val="18"/>
        </w:rPr>
        <w:t xml:space="preserve">selected </w:t>
      </w:r>
      <w:r w:rsidRPr="00A6124B">
        <w:rPr>
          <w:rFonts w:ascii="Arial" w:hAnsi="Arial" w:cs="Arial"/>
          <w:sz w:val="18"/>
          <w:szCs w:val="18"/>
        </w:rPr>
        <w:t xml:space="preserve">signs of </w:t>
      </w:r>
      <w:r>
        <w:rPr>
          <w:rFonts w:ascii="Arial" w:hAnsi="Arial" w:cs="Arial"/>
          <w:sz w:val="18"/>
          <w:szCs w:val="18"/>
        </w:rPr>
        <w:t>trachoma</w:t>
      </w:r>
      <w:r w:rsidRPr="00A6124B">
        <w:rPr>
          <w:rFonts w:ascii="Arial" w:hAnsi="Arial" w:cs="Arial"/>
          <w:sz w:val="18"/>
          <w:szCs w:val="18"/>
        </w:rPr>
        <w:t xml:space="preserve"> in Vanuatu and Tarawa</w:t>
      </w:r>
      <w:r>
        <w:rPr>
          <w:rFonts w:ascii="Arial" w:hAnsi="Arial" w:cs="Arial"/>
          <w:sz w:val="18"/>
          <w:szCs w:val="18"/>
        </w:rPr>
        <w:t>, Kiribati,</w:t>
      </w:r>
      <w:r w:rsidRPr="00A6124B">
        <w:rPr>
          <w:rFonts w:ascii="Arial" w:hAnsi="Arial" w:cs="Arial"/>
          <w:sz w:val="18"/>
          <w:szCs w:val="18"/>
        </w:rPr>
        <w:t xml:space="preserve"> 2016.</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34"/>
        <w:gridCol w:w="1786"/>
        <w:gridCol w:w="1950"/>
        <w:gridCol w:w="1776"/>
        <w:gridCol w:w="1752"/>
      </w:tblGrid>
      <w:tr w:rsidR="00541BB1" w:rsidRPr="00D95E62" w14:paraId="23627BBA" w14:textId="77777777" w:rsidTr="00AF3422">
        <w:trPr>
          <w:trHeight w:val="193"/>
        </w:trPr>
        <w:tc>
          <w:tcPr>
            <w:tcW w:w="2234" w:type="dxa"/>
            <w:vMerge w:val="restart"/>
            <w:shd w:val="clear" w:color="auto" w:fill="D9D9D9" w:themeFill="background1" w:themeFillShade="D9"/>
          </w:tcPr>
          <w:p w14:paraId="67E8F9C2" w14:textId="77777777" w:rsidR="00541BB1" w:rsidRPr="00F35930" w:rsidRDefault="00541BB1" w:rsidP="00AF3422">
            <w:pPr>
              <w:spacing w:line="480" w:lineRule="auto"/>
              <w:rPr>
                <w:rFonts w:ascii="Arial" w:hAnsi="Arial" w:cs="Arial"/>
                <w:b/>
                <w:sz w:val="18"/>
                <w:szCs w:val="18"/>
              </w:rPr>
            </w:pPr>
            <w:r w:rsidRPr="00F35930">
              <w:rPr>
                <w:rFonts w:ascii="Arial" w:hAnsi="Arial" w:cs="Arial"/>
                <w:b/>
                <w:sz w:val="18"/>
                <w:szCs w:val="18"/>
              </w:rPr>
              <w:t>Evaluation unit</w:t>
            </w:r>
          </w:p>
        </w:tc>
        <w:tc>
          <w:tcPr>
            <w:tcW w:w="1786" w:type="dxa"/>
            <w:vMerge w:val="restart"/>
            <w:shd w:val="clear" w:color="auto" w:fill="D9D9D9" w:themeFill="background1" w:themeFillShade="D9"/>
          </w:tcPr>
          <w:p w14:paraId="6FC28562" w14:textId="77777777" w:rsidR="00541BB1" w:rsidRPr="00F35930" w:rsidRDefault="00541BB1" w:rsidP="00AF3422">
            <w:pPr>
              <w:spacing w:line="480" w:lineRule="auto"/>
              <w:rPr>
                <w:rFonts w:ascii="Arial" w:hAnsi="Arial" w:cs="Arial"/>
                <w:b/>
                <w:sz w:val="18"/>
                <w:szCs w:val="18"/>
              </w:rPr>
            </w:pPr>
            <w:proofErr w:type="spellStart"/>
            <w:r w:rsidRPr="00F35930">
              <w:rPr>
                <w:rFonts w:ascii="Arial" w:hAnsi="Arial" w:cs="Arial"/>
                <w:b/>
                <w:sz w:val="18"/>
                <w:szCs w:val="18"/>
              </w:rPr>
              <w:t>ddPCR</w:t>
            </w:r>
            <w:proofErr w:type="spellEnd"/>
            <w:r w:rsidRPr="00F35930">
              <w:rPr>
                <w:rFonts w:ascii="Arial" w:hAnsi="Arial" w:cs="Arial"/>
                <w:b/>
                <w:sz w:val="18"/>
                <w:szCs w:val="18"/>
              </w:rPr>
              <w:t xml:space="preserve"> (%)</w:t>
            </w:r>
          </w:p>
        </w:tc>
        <w:tc>
          <w:tcPr>
            <w:tcW w:w="5478" w:type="dxa"/>
            <w:gridSpan w:val="3"/>
            <w:shd w:val="clear" w:color="auto" w:fill="D9D9D9" w:themeFill="background1" w:themeFillShade="D9"/>
            <w:vAlign w:val="center"/>
          </w:tcPr>
          <w:p w14:paraId="1483E7DB" w14:textId="77777777" w:rsidR="00541BB1" w:rsidRPr="00F35930" w:rsidRDefault="00541BB1" w:rsidP="00AF3422">
            <w:pPr>
              <w:spacing w:line="480" w:lineRule="auto"/>
              <w:jc w:val="center"/>
              <w:rPr>
                <w:rFonts w:ascii="Arial" w:hAnsi="Arial" w:cs="Arial"/>
                <w:b/>
                <w:sz w:val="18"/>
                <w:szCs w:val="18"/>
              </w:rPr>
            </w:pPr>
            <w:r w:rsidRPr="00F35930">
              <w:rPr>
                <w:rFonts w:ascii="Arial" w:hAnsi="Arial" w:cs="Arial"/>
                <w:b/>
                <w:sz w:val="18"/>
                <w:szCs w:val="18"/>
              </w:rPr>
              <w:t>TF ± TI in the right eye</w:t>
            </w:r>
          </w:p>
        </w:tc>
      </w:tr>
      <w:tr w:rsidR="00541BB1" w:rsidRPr="00D95E62" w14:paraId="7CC96137" w14:textId="77777777" w:rsidTr="00AF3422">
        <w:trPr>
          <w:trHeight w:val="270"/>
        </w:trPr>
        <w:tc>
          <w:tcPr>
            <w:tcW w:w="2234" w:type="dxa"/>
            <w:vMerge/>
            <w:shd w:val="clear" w:color="auto" w:fill="D9D9D9" w:themeFill="background1" w:themeFillShade="D9"/>
          </w:tcPr>
          <w:p w14:paraId="143146C5" w14:textId="77777777" w:rsidR="00541BB1" w:rsidRPr="00F35930" w:rsidRDefault="00541BB1" w:rsidP="00AF3422">
            <w:pPr>
              <w:spacing w:line="480" w:lineRule="auto"/>
              <w:rPr>
                <w:rFonts w:ascii="Arial" w:hAnsi="Arial" w:cs="Arial"/>
                <w:b/>
                <w:sz w:val="18"/>
                <w:szCs w:val="18"/>
              </w:rPr>
            </w:pPr>
          </w:p>
        </w:tc>
        <w:tc>
          <w:tcPr>
            <w:tcW w:w="1786" w:type="dxa"/>
            <w:vMerge/>
            <w:shd w:val="clear" w:color="auto" w:fill="D9D9D9" w:themeFill="background1" w:themeFillShade="D9"/>
          </w:tcPr>
          <w:p w14:paraId="4174AFE2" w14:textId="77777777" w:rsidR="00541BB1" w:rsidRPr="00F35930" w:rsidRDefault="00541BB1" w:rsidP="00AF3422">
            <w:pPr>
              <w:spacing w:line="480" w:lineRule="auto"/>
              <w:rPr>
                <w:rFonts w:ascii="Arial" w:hAnsi="Arial" w:cs="Arial"/>
                <w:b/>
                <w:sz w:val="18"/>
                <w:szCs w:val="18"/>
              </w:rPr>
            </w:pPr>
          </w:p>
        </w:tc>
        <w:tc>
          <w:tcPr>
            <w:tcW w:w="1950" w:type="dxa"/>
            <w:shd w:val="clear" w:color="auto" w:fill="D9D9D9" w:themeFill="background1" w:themeFillShade="D9"/>
            <w:vAlign w:val="center"/>
          </w:tcPr>
          <w:p w14:paraId="348C5369" w14:textId="77777777" w:rsidR="00541BB1" w:rsidRPr="00F35930" w:rsidRDefault="00541BB1" w:rsidP="00AF3422">
            <w:pPr>
              <w:spacing w:line="480" w:lineRule="auto"/>
              <w:jc w:val="center"/>
              <w:rPr>
                <w:rFonts w:ascii="Arial" w:hAnsi="Arial" w:cs="Arial"/>
                <w:b/>
                <w:sz w:val="18"/>
                <w:szCs w:val="18"/>
              </w:rPr>
            </w:pPr>
            <w:r w:rsidRPr="00F35930">
              <w:rPr>
                <w:rFonts w:ascii="Arial" w:hAnsi="Arial" w:cs="Arial"/>
                <w:b/>
                <w:sz w:val="18"/>
                <w:szCs w:val="18"/>
              </w:rPr>
              <w:t>No</w:t>
            </w:r>
          </w:p>
        </w:tc>
        <w:tc>
          <w:tcPr>
            <w:tcW w:w="1776" w:type="dxa"/>
            <w:shd w:val="clear" w:color="auto" w:fill="D9D9D9" w:themeFill="background1" w:themeFillShade="D9"/>
            <w:vAlign w:val="center"/>
          </w:tcPr>
          <w:p w14:paraId="0668A29D" w14:textId="77777777" w:rsidR="00541BB1" w:rsidRPr="00F35930" w:rsidRDefault="00541BB1" w:rsidP="00AF3422">
            <w:pPr>
              <w:spacing w:line="480" w:lineRule="auto"/>
              <w:jc w:val="center"/>
              <w:rPr>
                <w:rFonts w:ascii="Arial" w:hAnsi="Arial" w:cs="Arial"/>
                <w:b/>
                <w:sz w:val="18"/>
                <w:szCs w:val="18"/>
              </w:rPr>
            </w:pPr>
            <w:r w:rsidRPr="00F35930">
              <w:rPr>
                <w:rFonts w:ascii="Arial" w:hAnsi="Arial" w:cs="Arial"/>
                <w:b/>
                <w:sz w:val="18"/>
                <w:szCs w:val="18"/>
              </w:rPr>
              <w:t>Yes</w:t>
            </w:r>
          </w:p>
        </w:tc>
        <w:tc>
          <w:tcPr>
            <w:tcW w:w="1752" w:type="dxa"/>
            <w:shd w:val="clear" w:color="auto" w:fill="D9D9D9" w:themeFill="background1" w:themeFillShade="D9"/>
            <w:vAlign w:val="center"/>
          </w:tcPr>
          <w:p w14:paraId="77330EBD" w14:textId="77777777" w:rsidR="00541BB1" w:rsidRPr="00F35930" w:rsidRDefault="00541BB1" w:rsidP="00AF3422">
            <w:pPr>
              <w:spacing w:line="480" w:lineRule="auto"/>
              <w:jc w:val="center"/>
              <w:rPr>
                <w:rFonts w:ascii="Arial" w:hAnsi="Arial" w:cs="Arial"/>
                <w:b/>
                <w:sz w:val="18"/>
                <w:szCs w:val="18"/>
              </w:rPr>
            </w:pPr>
            <w:r w:rsidRPr="00F35930">
              <w:rPr>
                <w:rFonts w:ascii="Arial" w:hAnsi="Arial" w:cs="Arial"/>
                <w:b/>
                <w:sz w:val="18"/>
                <w:szCs w:val="18"/>
              </w:rPr>
              <w:t>Total</w:t>
            </w:r>
          </w:p>
        </w:tc>
      </w:tr>
      <w:tr w:rsidR="00541BB1" w:rsidRPr="00D95E62" w14:paraId="5C456059" w14:textId="77777777" w:rsidTr="00AF3422">
        <w:trPr>
          <w:trHeight w:val="256"/>
        </w:trPr>
        <w:tc>
          <w:tcPr>
            <w:tcW w:w="2234" w:type="dxa"/>
            <w:vMerge w:val="restart"/>
          </w:tcPr>
          <w:p w14:paraId="54A38539" w14:textId="77777777" w:rsidR="00541BB1" w:rsidRPr="00F35930" w:rsidRDefault="00541BB1" w:rsidP="00AF3422">
            <w:pPr>
              <w:spacing w:line="480" w:lineRule="auto"/>
              <w:rPr>
                <w:rFonts w:ascii="Arial" w:hAnsi="Arial" w:cs="Arial"/>
                <w:sz w:val="18"/>
                <w:szCs w:val="18"/>
              </w:rPr>
            </w:pPr>
            <w:r w:rsidRPr="00F35930">
              <w:rPr>
                <w:rFonts w:ascii="Arial" w:hAnsi="Arial" w:cs="Arial"/>
                <w:sz w:val="18"/>
                <w:szCs w:val="18"/>
              </w:rPr>
              <w:t>Vanuatu</w:t>
            </w:r>
          </w:p>
        </w:tc>
        <w:tc>
          <w:tcPr>
            <w:tcW w:w="1786" w:type="dxa"/>
          </w:tcPr>
          <w:p w14:paraId="203ABA7E" w14:textId="77777777" w:rsidR="00541BB1" w:rsidRPr="00F35930" w:rsidRDefault="00541BB1" w:rsidP="00AF3422">
            <w:pPr>
              <w:spacing w:line="480" w:lineRule="auto"/>
              <w:rPr>
                <w:rFonts w:ascii="Arial" w:hAnsi="Arial" w:cs="Arial"/>
                <w:sz w:val="18"/>
                <w:szCs w:val="18"/>
              </w:rPr>
            </w:pPr>
            <w:r w:rsidRPr="00F35930">
              <w:rPr>
                <w:rFonts w:ascii="Arial" w:hAnsi="Arial" w:cs="Arial"/>
                <w:sz w:val="18"/>
                <w:szCs w:val="18"/>
              </w:rPr>
              <w:t>Negative</w:t>
            </w:r>
          </w:p>
        </w:tc>
        <w:tc>
          <w:tcPr>
            <w:tcW w:w="1950" w:type="dxa"/>
            <w:vAlign w:val="center"/>
          </w:tcPr>
          <w:p w14:paraId="08114500" w14:textId="77777777" w:rsidR="00541BB1" w:rsidRPr="00F35930" w:rsidRDefault="00541BB1" w:rsidP="00AF3422">
            <w:pPr>
              <w:spacing w:line="480" w:lineRule="auto"/>
              <w:jc w:val="center"/>
              <w:rPr>
                <w:rFonts w:ascii="Arial" w:hAnsi="Arial" w:cs="Arial"/>
                <w:sz w:val="18"/>
                <w:szCs w:val="18"/>
              </w:rPr>
            </w:pPr>
            <w:r w:rsidRPr="00F35930">
              <w:rPr>
                <w:rFonts w:ascii="Arial" w:hAnsi="Arial" w:cs="Arial"/>
                <w:sz w:val="18"/>
                <w:szCs w:val="18"/>
              </w:rPr>
              <w:t>731 (98.3)</w:t>
            </w:r>
          </w:p>
        </w:tc>
        <w:tc>
          <w:tcPr>
            <w:tcW w:w="1776" w:type="dxa"/>
            <w:vAlign w:val="center"/>
          </w:tcPr>
          <w:p w14:paraId="1990C095" w14:textId="77777777" w:rsidR="00541BB1" w:rsidRPr="00F35930" w:rsidRDefault="00541BB1" w:rsidP="00AF3422">
            <w:pPr>
              <w:spacing w:line="480" w:lineRule="auto"/>
              <w:jc w:val="center"/>
              <w:rPr>
                <w:rFonts w:ascii="Arial" w:hAnsi="Arial" w:cs="Arial"/>
                <w:sz w:val="18"/>
                <w:szCs w:val="18"/>
              </w:rPr>
            </w:pPr>
            <w:r w:rsidRPr="00F35930">
              <w:rPr>
                <w:rFonts w:ascii="Arial" w:hAnsi="Arial" w:cs="Arial"/>
                <w:sz w:val="18"/>
                <w:szCs w:val="18"/>
              </w:rPr>
              <w:t>152 (98.1)</w:t>
            </w:r>
          </w:p>
        </w:tc>
        <w:tc>
          <w:tcPr>
            <w:tcW w:w="1752" w:type="dxa"/>
            <w:vAlign w:val="center"/>
          </w:tcPr>
          <w:p w14:paraId="6138D4B7" w14:textId="77777777" w:rsidR="00541BB1" w:rsidRPr="00F35930" w:rsidRDefault="00541BB1" w:rsidP="00AF3422">
            <w:pPr>
              <w:spacing w:line="480" w:lineRule="auto"/>
              <w:jc w:val="center"/>
              <w:rPr>
                <w:rFonts w:ascii="Arial" w:hAnsi="Arial" w:cs="Arial"/>
                <w:sz w:val="18"/>
                <w:szCs w:val="18"/>
              </w:rPr>
            </w:pPr>
            <w:r w:rsidRPr="00F35930">
              <w:rPr>
                <w:rFonts w:ascii="Arial" w:hAnsi="Arial" w:cs="Arial"/>
                <w:sz w:val="18"/>
                <w:szCs w:val="18"/>
              </w:rPr>
              <w:t>883 (98.2)</w:t>
            </w:r>
          </w:p>
        </w:tc>
      </w:tr>
      <w:tr w:rsidR="00541BB1" w:rsidRPr="00D95E62" w14:paraId="4CB4E7DE" w14:textId="77777777" w:rsidTr="00AF3422">
        <w:trPr>
          <w:trHeight w:val="256"/>
        </w:trPr>
        <w:tc>
          <w:tcPr>
            <w:tcW w:w="2234" w:type="dxa"/>
            <w:vMerge/>
          </w:tcPr>
          <w:p w14:paraId="6C8E1770" w14:textId="77777777" w:rsidR="00541BB1" w:rsidRPr="00F35930" w:rsidRDefault="00541BB1" w:rsidP="00AF3422">
            <w:pPr>
              <w:spacing w:line="480" w:lineRule="auto"/>
              <w:rPr>
                <w:rFonts w:ascii="Arial" w:hAnsi="Arial" w:cs="Arial"/>
                <w:sz w:val="18"/>
                <w:szCs w:val="18"/>
              </w:rPr>
            </w:pPr>
          </w:p>
        </w:tc>
        <w:tc>
          <w:tcPr>
            <w:tcW w:w="1786" w:type="dxa"/>
          </w:tcPr>
          <w:p w14:paraId="22260D1D" w14:textId="77777777" w:rsidR="00541BB1" w:rsidRPr="00F35930" w:rsidRDefault="00541BB1" w:rsidP="00AF3422">
            <w:pPr>
              <w:spacing w:line="480" w:lineRule="auto"/>
              <w:rPr>
                <w:rFonts w:ascii="Arial" w:hAnsi="Arial" w:cs="Arial"/>
                <w:sz w:val="18"/>
                <w:szCs w:val="18"/>
              </w:rPr>
            </w:pPr>
            <w:r w:rsidRPr="00F35930">
              <w:rPr>
                <w:rFonts w:ascii="Arial" w:hAnsi="Arial" w:cs="Arial"/>
                <w:sz w:val="18"/>
                <w:szCs w:val="18"/>
              </w:rPr>
              <w:t>Positive</w:t>
            </w:r>
          </w:p>
        </w:tc>
        <w:tc>
          <w:tcPr>
            <w:tcW w:w="1950" w:type="dxa"/>
            <w:vAlign w:val="center"/>
          </w:tcPr>
          <w:p w14:paraId="28D1DAE4" w14:textId="77777777" w:rsidR="00541BB1" w:rsidRPr="00F35930" w:rsidRDefault="00541BB1" w:rsidP="00AF3422">
            <w:pPr>
              <w:spacing w:line="480" w:lineRule="auto"/>
              <w:jc w:val="center"/>
              <w:rPr>
                <w:rFonts w:ascii="Arial" w:hAnsi="Arial" w:cs="Arial"/>
                <w:sz w:val="18"/>
                <w:szCs w:val="18"/>
              </w:rPr>
            </w:pPr>
            <w:r w:rsidRPr="00F35930">
              <w:rPr>
                <w:rFonts w:ascii="Arial" w:hAnsi="Arial" w:cs="Arial"/>
                <w:sz w:val="18"/>
                <w:szCs w:val="18"/>
              </w:rPr>
              <w:t>13 (1.7)</w:t>
            </w:r>
          </w:p>
        </w:tc>
        <w:tc>
          <w:tcPr>
            <w:tcW w:w="1776" w:type="dxa"/>
            <w:vAlign w:val="center"/>
          </w:tcPr>
          <w:p w14:paraId="15C73000" w14:textId="77777777" w:rsidR="00541BB1" w:rsidRPr="00F35930" w:rsidRDefault="00541BB1" w:rsidP="00AF3422">
            <w:pPr>
              <w:spacing w:line="480" w:lineRule="auto"/>
              <w:jc w:val="center"/>
              <w:rPr>
                <w:rFonts w:ascii="Arial" w:hAnsi="Arial" w:cs="Arial"/>
                <w:sz w:val="18"/>
                <w:szCs w:val="18"/>
              </w:rPr>
            </w:pPr>
            <w:r w:rsidRPr="00F35930">
              <w:rPr>
                <w:rFonts w:ascii="Arial" w:hAnsi="Arial" w:cs="Arial"/>
                <w:sz w:val="18"/>
                <w:szCs w:val="18"/>
              </w:rPr>
              <w:t>3 (1.9)</w:t>
            </w:r>
          </w:p>
        </w:tc>
        <w:tc>
          <w:tcPr>
            <w:tcW w:w="1752" w:type="dxa"/>
            <w:vAlign w:val="center"/>
          </w:tcPr>
          <w:p w14:paraId="15893B4E" w14:textId="77777777" w:rsidR="00541BB1" w:rsidRPr="00F35930" w:rsidRDefault="00541BB1" w:rsidP="00AF3422">
            <w:pPr>
              <w:spacing w:line="480" w:lineRule="auto"/>
              <w:jc w:val="center"/>
              <w:rPr>
                <w:rFonts w:ascii="Arial" w:hAnsi="Arial" w:cs="Arial"/>
                <w:sz w:val="18"/>
                <w:szCs w:val="18"/>
              </w:rPr>
            </w:pPr>
            <w:r w:rsidRPr="00F35930">
              <w:rPr>
                <w:rFonts w:ascii="Arial" w:hAnsi="Arial" w:cs="Arial"/>
                <w:sz w:val="18"/>
                <w:szCs w:val="18"/>
              </w:rPr>
              <w:t>16 (1.8)</w:t>
            </w:r>
          </w:p>
        </w:tc>
      </w:tr>
      <w:tr w:rsidR="00541BB1" w:rsidRPr="00D95E62" w14:paraId="62E1F3D9" w14:textId="77777777" w:rsidTr="00AF3422">
        <w:trPr>
          <w:trHeight w:val="276"/>
        </w:trPr>
        <w:tc>
          <w:tcPr>
            <w:tcW w:w="2234" w:type="dxa"/>
            <w:vMerge/>
          </w:tcPr>
          <w:p w14:paraId="533002E5" w14:textId="77777777" w:rsidR="00541BB1" w:rsidRPr="00F35930" w:rsidRDefault="00541BB1" w:rsidP="00AF3422">
            <w:pPr>
              <w:spacing w:line="480" w:lineRule="auto"/>
              <w:rPr>
                <w:rFonts w:ascii="Arial" w:hAnsi="Arial" w:cs="Arial"/>
                <w:sz w:val="18"/>
                <w:szCs w:val="18"/>
              </w:rPr>
            </w:pPr>
          </w:p>
        </w:tc>
        <w:tc>
          <w:tcPr>
            <w:tcW w:w="1786" w:type="dxa"/>
          </w:tcPr>
          <w:p w14:paraId="73EBDD76" w14:textId="77777777" w:rsidR="00541BB1" w:rsidRPr="00F35930" w:rsidRDefault="00541BB1" w:rsidP="00AF3422">
            <w:pPr>
              <w:spacing w:line="480" w:lineRule="auto"/>
              <w:rPr>
                <w:rFonts w:ascii="Arial" w:hAnsi="Arial" w:cs="Arial"/>
                <w:sz w:val="18"/>
                <w:szCs w:val="18"/>
              </w:rPr>
            </w:pPr>
            <w:r w:rsidRPr="00F35930">
              <w:rPr>
                <w:rFonts w:ascii="Arial" w:hAnsi="Arial" w:cs="Arial"/>
                <w:sz w:val="18"/>
                <w:szCs w:val="18"/>
              </w:rPr>
              <w:t>Total</w:t>
            </w:r>
          </w:p>
        </w:tc>
        <w:tc>
          <w:tcPr>
            <w:tcW w:w="1950" w:type="dxa"/>
            <w:vAlign w:val="center"/>
          </w:tcPr>
          <w:p w14:paraId="3A9BE2A4" w14:textId="77777777" w:rsidR="00541BB1" w:rsidRPr="00F35930" w:rsidRDefault="00541BB1" w:rsidP="00AF3422">
            <w:pPr>
              <w:spacing w:line="480" w:lineRule="auto"/>
              <w:jc w:val="center"/>
              <w:rPr>
                <w:rFonts w:ascii="Arial" w:hAnsi="Arial" w:cs="Arial"/>
                <w:sz w:val="18"/>
                <w:szCs w:val="18"/>
              </w:rPr>
            </w:pPr>
            <w:r w:rsidRPr="00F35930">
              <w:rPr>
                <w:rFonts w:ascii="Arial" w:hAnsi="Arial" w:cs="Arial"/>
                <w:sz w:val="18"/>
                <w:szCs w:val="18"/>
              </w:rPr>
              <w:t>744</w:t>
            </w:r>
          </w:p>
        </w:tc>
        <w:tc>
          <w:tcPr>
            <w:tcW w:w="1776" w:type="dxa"/>
            <w:vAlign w:val="center"/>
          </w:tcPr>
          <w:p w14:paraId="09528147" w14:textId="77777777" w:rsidR="00541BB1" w:rsidRPr="00F35930" w:rsidRDefault="00541BB1" w:rsidP="00AF3422">
            <w:pPr>
              <w:spacing w:line="480" w:lineRule="auto"/>
              <w:jc w:val="center"/>
              <w:rPr>
                <w:rFonts w:ascii="Arial" w:hAnsi="Arial" w:cs="Arial"/>
                <w:sz w:val="18"/>
                <w:szCs w:val="18"/>
              </w:rPr>
            </w:pPr>
            <w:r w:rsidRPr="00F35930">
              <w:rPr>
                <w:rFonts w:ascii="Arial" w:hAnsi="Arial" w:cs="Arial"/>
                <w:sz w:val="18"/>
                <w:szCs w:val="18"/>
              </w:rPr>
              <w:t>155</w:t>
            </w:r>
          </w:p>
        </w:tc>
        <w:tc>
          <w:tcPr>
            <w:tcW w:w="1752" w:type="dxa"/>
            <w:vAlign w:val="center"/>
          </w:tcPr>
          <w:p w14:paraId="3D363026" w14:textId="77777777" w:rsidR="00541BB1" w:rsidRPr="00F35930" w:rsidRDefault="00541BB1" w:rsidP="00AF3422">
            <w:pPr>
              <w:spacing w:line="480" w:lineRule="auto"/>
              <w:jc w:val="center"/>
              <w:rPr>
                <w:rFonts w:ascii="Arial" w:hAnsi="Arial" w:cs="Arial"/>
                <w:sz w:val="18"/>
                <w:szCs w:val="18"/>
              </w:rPr>
            </w:pPr>
            <w:r w:rsidRPr="00F35930">
              <w:rPr>
                <w:rFonts w:ascii="Arial" w:hAnsi="Arial" w:cs="Arial"/>
                <w:sz w:val="18"/>
                <w:szCs w:val="18"/>
              </w:rPr>
              <w:t>899</w:t>
            </w:r>
          </w:p>
        </w:tc>
      </w:tr>
      <w:tr w:rsidR="00541BB1" w:rsidRPr="00D95E62" w14:paraId="28A59B4C" w14:textId="77777777" w:rsidTr="00AF3422">
        <w:trPr>
          <w:trHeight w:val="256"/>
        </w:trPr>
        <w:tc>
          <w:tcPr>
            <w:tcW w:w="2234" w:type="dxa"/>
            <w:vMerge w:val="restart"/>
          </w:tcPr>
          <w:p w14:paraId="1154C811" w14:textId="77777777" w:rsidR="00541BB1" w:rsidRPr="00F35930" w:rsidRDefault="00541BB1" w:rsidP="00AF3422">
            <w:pPr>
              <w:spacing w:line="480" w:lineRule="auto"/>
              <w:rPr>
                <w:rFonts w:ascii="Arial" w:hAnsi="Arial" w:cs="Arial"/>
                <w:sz w:val="18"/>
                <w:szCs w:val="18"/>
              </w:rPr>
            </w:pPr>
            <w:r w:rsidRPr="00F35930">
              <w:rPr>
                <w:rFonts w:ascii="Arial" w:hAnsi="Arial" w:cs="Arial"/>
                <w:sz w:val="18"/>
                <w:szCs w:val="18"/>
              </w:rPr>
              <w:t>Tarawa</w:t>
            </w:r>
          </w:p>
        </w:tc>
        <w:tc>
          <w:tcPr>
            <w:tcW w:w="1786" w:type="dxa"/>
          </w:tcPr>
          <w:p w14:paraId="7C8BEDCB" w14:textId="77777777" w:rsidR="00541BB1" w:rsidRPr="00F35930" w:rsidRDefault="00541BB1" w:rsidP="00AF3422">
            <w:pPr>
              <w:spacing w:line="480" w:lineRule="auto"/>
              <w:rPr>
                <w:rFonts w:ascii="Arial" w:hAnsi="Arial" w:cs="Arial"/>
                <w:sz w:val="18"/>
                <w:szCs w:val="18"/>
              </w:rPr>
            </w:pPr>
            <w:r w:rsidRPr="00F35930">
              <w:rPr>
                <w:rFonts w:ascii="Arial" w:hAnsi="Arial" w:cs="Arial"/>
                <w:sz w:val="18"/>
                <w:szCs w:val="18"/>
              </w:rPr>
              <w:t>Negative</w:t>
            </w:r>
          </w:p>
        </w:tc>
        <w:tc>
          <w:tcPr>
            <w:tcW w:w="1950" w:type="dxa"/>
            <w:vAlign w:val="center"/>
          </w:tcPr>
          <w:p w14:paraId="1F2E78BD" w14:textId="77777777" w:rsidR="00541BB1" w:rsidRPr="00F35930" w:rsidRDefault="00541BB1" w:rsidP="00AF3422">
            <w:pPr>
              <w:spacing w:line="480" w:lineRule="auto"/>
              <w:jc w:val="center"/>
              <w:rPr>
                <w:rFonts w:ascii="Arial" w:hAnsi="Arial" w:cs="Arial"/>
                <w:sz w:val="18"/>
                <w:szCs w:val="18"/>
              </w:rPr>
            </w:pPr>
            <w:r w:rsidRPr="00F35930">
              <w:rPr>
                <w:rFonts w:ascii="Arial" w:hAnsi="Arial" w:cs="Arial"/>
                <w:sz w:val="18"/>
                <w:szCs w:val="18"/>
              </w:rPr>
              <w:t>521 (83.0)</w:t>
            </w:r>
          </w:p>
        </w:tc>
        <w:tc>
          <w:tcPr>
            <w:tcW w:w="1776" w:type="dxa"/>
            <w:vAlign w:val="center"/>
          </w:tcPr>
          <w:p w14:paraId="54DAA507" w14:textId="77777777" w:rsidR="00541BB1" w:rsidRPr="00F35930" w:rsidRDefault="00541BB1" w:rsidP="00AF3422">
            <w:pPr>
              <w:spacing w:line="480" w:lineRule="auto"/>
              <w:jc w:val="center"/>
              <w:rPr>
                <w:rFonts w:ascii="Arial" w:hAnsi="Arial" w:cs="Arial"/>
                <w:sz w:val="18"/>
                <w:szCs w:val="18"/>
              </w:rPr>
            </w:pPr>
            <w:r w:rsidRPr="00F35930">
              <w:rPr>
                <w:rFonts w:ascii="Arial" w:hAnsi="Arial" w:cs="Arial"/>
                <w:sz w:val="18"/>
                <w:szCs w:val="18"/>
              </w:rPr>
              <w:t>195 (51.2)</w:t>
            </w:r>
          </w:p>
        </w:tc>
        <w:tc>
          <w:tcPr>
            <w:tcW w:w="1752" w:type="dxa"/>
            <w:vAlign w:val="center"/>
          </w:tcPr>
          <w:p w14:paraId="62F9EA7D" w14:textId="77777777" w:rsidR="00541BB1" w:rsidRPr="00F35930" w:rsidRDefault="00541BB1" w:rsidP="00AF3422">
            <w:pPr>
              <w:spacing w:line="480" w:lineRule="auto"/>
              <w:jc w:val="center"/>
              <w:rPr>
                <w:rFonts w:ascii="Arial" w:hAnsi="Arial" w:cs="Arial"/>
                <w:sz w:val="18"/>
                <w:szCs w:val="18"/>
              </w:rPr>
            </w:pPr>
            <w:r w:rsidRPr="00F35930">
              <w:rPr>
                <w:rFonts w:ascii="Arial" w:hAnsi="Arial" w:cs="Arial"/>
                <w:sz w:val="18"/>
                <w:szCs w:val="18"/>
              </w:rPr>
              <w:t>716</w:t>
            </w:r>
            <w:r>
              <w:rPr>
                <w:rFonts w:ascii="Arial" w:hAnsi="Arial" w:cs="Arial"/>
                <w:sz w:val="18"/>
                <w:szCs w:val="18"/>
              </w:rPr>
              <w:t xml:space="preserve"> (71.0)</w:t>
            </w:r>
          </w:p>
        </w:tc>
      </w:tr>
      <w:tr w:rsidR="00541BB1" w:rsidRPr="00D95E62" w14:paraId="3CCFA60A" w14:textId="77777777" w:rsidTr="00AF3422">
        <w:trPr>
          <w:trHeight w:val="276"/>
        </w:trPr>
        <w:tc>
          <w:tcPr>
            <w:tcW w:w="2234" w:type="dxa"/>
            <w:vMerge/>
          </w:tcPr>
          <w:p w14:paraId="74437CEF" w14:textId="77777777" w:rsidR="00541BB1" w:rsidRPr="00F35930" w:rsidRDefault="00541BB1" w:rsidP="00AF3422">
            <w:pPr>
              <w:spacing w:line="480" w:lineRule="auto"/>
              <w:rPr>
                <w:rFonts w:ascii="Arial" w:hAnsi="Arial" w:cs="Arial"/>
                <w:sz w:val="18"/>
                <w:szCs w:val="18"/>
              </w:rPr>
            </w:pPr>
          </w:p>
        </w:tc>
        <w:tc>
          <w:tcPr>
            <w:tcW w:w="1786" w:type="dxa"/>
          </w:tcPr>
          <w:p w14:paraId="5C1CE438" w14:textId="77777777" w:rsidR="00541BB1" w:rsidRPr="00F35930" w:rsidRDefault="00541BB1" w:rsidP="00AF3422">
            <w:pPr>
              <w:spacing w:line="480" w:lineRule="auto"/>
              <w:rPr>
                <w:rFonts w:ascii="Arial" w:hAnsi="Arial" w:cs="Arial"/>
                <w:sz w:val="18"/>
                <w:szCs w:val="18"/>
              </w:rPr>
            </w:pPr>
            <w:r w:rsidRPr="00F35930">
              <w:rPr>
                <w:rFonts w:ascii="Arial" w:hAnsi="Arial" w:cs="Arial"/>
                <w:sz w:val="18"/>
                <w:szCs w:val="18"/>
              </w:rPr>
              <w:t>Positive</w:t>
            </w:r>
          </w:p>
        </w:tc>
        <w:tc>
          <w:tcPr>
            <w:tcW w:w="1950" w:type="dxa"/>
            <w:vAlign w:val="center"/>
          </w:tcPr>
          <w:p w14:paraId="5B6C1AE0" w14:textId="77777777" w:rsidR="00541BB1" w:rsidRPr="00F35930" w:rsidRDefault="00541BB1" w:rsidP="00AF3422">
            <w:pPr>
              <w:spacing w:line="480" w:lineRule="auto"/>
              <w:jc w:val="center"/>
              <w:rPr>
                <w:rFonts w:ascii="Arial" w:hAnsi="Arial" w:cs="Arial"/>
                <w:sz w:val="18"/>
                <w:szCs w:val="18"/>
              </w:rPr>
            </w:pPr>
            <w:r w:rsidRPr="00F35930">
              <w:rPr>
                <w:rFonts w:ascii="Arial" w:hAnsi="Arial" w:cs="Arial"/>
                <w:sz w:val="18"/>
                <w:szCs w:val="18"/>
              </w:rPr>
              <w:t>107 (17.0)</w:t>
            </w:r>
          </w:p>
        </w:tc>
        <w:tc>
          <w:tcPr>
            <w:tcW w:w="1776" w:type="dxa"/>
            <w:vAlign w:val="center"/>
          </w:tcPr>
          <w:p w14:paraId="5D4FD7BE" w14:textId="77777777" w:rsidR="00541BB1" w:rsidRPr="00F35930" w:rsidRDefault="00541BB1" w:rsidP="00AF3422">
            <w:pPr>
              <w:spacing w:line="480" w:lineRule="auto"/>
              <w:jc w:val="center"/>
              <w:rPr>
                <w:rFonts w:ascii="Arial" w:hAnsi="Arial" w:cs="Arial"/>
                <w:sz w:val="18"/>
                <w:szCs w:val="18"/>
              </w:rPr>
            </w:pPr>
            <w:r w:rsidRPr="00F35930">
              <w:rPr>
                <w:rFonts w:ascii="Arial" w:hAnsi="Arial" w:cs="Arial"/>
                <w:sz w:val="18"/>
                <w:szCs w:val="18"/>
              </w:rPr>
              <w:t>186 (48.8)</w:t>
            </w:r>
          </w:p>
        </w:tc>
        <w:tc>
          <w:tcPr>
            <w:tcW w:w="1752" w:type="dxa"/>
            <w:vAlign w:val="center"/>
          </w:tcPr>
          <w:p w14:paraId="5B148217" w14:textId="77777777" w:rsidR="00541BB1" w:rsidRPr="00F35930" w:rsidRDefault="00541BB1" w:rsidP="00AF3422">
            <w:pPr>
              <w:spacing w:line="480" w:lineRule="auto"/>
              <w:jc w:val="center"/>
              <w:rPr>
                <w:rFonts w:ascii="Arial" w:hAnsi="Arial" w:cs="Arial"/>
                <w:sz w:val="18"/>
                <w:szCs w:val="18"/>
              </w:rPr>
            </w:pPr>
            <w:r w:rsidRPr="00F35930">
              <w:rPr>
                <w:rFonts w:ascii="Arial" w:hAnsi="Arial" w:cs="Arial"/>
                <w:sz w:val="18"/>
                <w:szCs w:val="18"/>
              </w:rPr>
              <w:t>293</w:t>
            </w:r>
            <w:r>
              <w:rPr>
                <w:rFonts w:ascii="Arial" w:hAnsi="Arial" w:cs="Arial"/>
                <w:sz w:val="18"/>
                <w:szCs w:val="18"/>
              </w:rPr>
              <w:t xml:space="preserve"> (29.0)</w:t>
            </w:r>
          </w:p>
        </w:tc>
      </w:tr>
      <w:tr w:rsidR="00541BB1" w:rsidRPr="00D95E62" w14:paraId="0CD32EAB" w14:textId="77777777" w:rsidTr="00AF3422">
        <w:trPr>
          <w:trHeight w:val="236"/>
        </w:trPr>
        <w:tc>
          <w:tcPr>
            <w:tcW w:w="2234" w:type="dxa"/>
            <w:vMerge/>
          </w:tcPr>
          <w:p w14:paraId="0521A6E0" w14:textId="77777777" w:rsidR="00541BB1" w:rsidRPr="00F35930" w:rsidRDefault="00541BB1" w:rsidP="00AF3422">
            <w:pPr>
              <w:spacing w:line="480" w:lineRule="auto"/>
              <w:rPr>
                <w:rFonts w:ascii="Arial" w:hAnsi="Arial" w:cs="Arial"/>
                <w:sz w:val="18"/>
                <w:szCs w:val="18"/>
              </w:rPr>
            </w:pPr>
          </w:p>
        </w:tc>
        <w:tc>
          <w:tcPr>
            <w:tcW w:w="1786" w:type="dxa"/>
          </w:tcPr>
          <w:p w14:paraId="770B9FA9" w14:textId="77777777" w:rsidR="00541BB1" w:rsidRPr="00F35930" w:rsidRDefault="00541BB1" w:rsidP="00AF3422">
            <w:pPr>
              <w:spacing w:line="480" w:lineRule="auto"/>
              <w:rPr>
                <w:rFonts w:ascii="Arial" w:hAnsi="Arial" w:cs="Arial"/>
                <w:sz w:val="18"/>
                <w:szCs w:val="18"/>
              </w:rPr>
            </w:pPr>
            <w:r w:rsidRPr="00F35930">
              <w:rPr>
                <w:rFonts w:ascii="Arial" w:hAnsi="Arial" w:cs="Arial"/>
                <w:sz w:val="18"/>
                <w:szCs w:val="18"/>
              </w:rPr>
              <w:t>Total</w:t>
            </w:r>
          </w:p>
        </w:tc>
        <w:tc>
          <w:tcPr>
            <w:tcW w:w="1950" w:type="dxa"/>
            <w:vAlign w:val="center"/>
          </w:tcPr>
          <w:p w14:paraId="13F910C1" w14:textId="77777777" w:rsidR="00541BB1" w:rsidRPr="00F35930" w:rsidRDefault="00541BB1" w:rsidP="00AF3422">
            <w:pPr>
              <w:spacing w:line="480" w:lineRule="auto"/>
              <w:jc w:val="center"/>
              <w:rPr>
                <w:rFonts w:ascii="Arial" w:hAnsi="Arial" w:cs="Arial"/>
                <w:sz w:val="18"/>
                <w:szCs w:val="18"/>
              </w:rPr>
            </w:pPr>
            <w:r w:rsidRPr="00F35930">
              <w:rPr>
                <w:rFonts w:ascii="Arial" w:hAnsi="Arial" w:cs="Arial"/>
                <w:sz w:val="18"/>
                <w:szCs w:val="18"/>
              </w:rPr>
              <w:t>628</w:t>
            </w:r>
          </w:p>
        </w:tc>
        <w:tc>
          <w:tcPr>
            <w:tcW w:w="1776" w:type="dxa"/>
            <w:vAlign w:val="center"/>
          </w:tcPr>
          <w:p w14:paraId="5504876A" w14:textId="77777777" w:rsidR="00541BB1" w:rsidRPr="00F35930" w:rsidRDefault="00541BB1" w:rsidP="00AF3422">
            <w:pPr>
              <w:spacing w:line="480" w:lineRule="auto"/>
              <w:jc w:val="center"/>
              <w:rPr>
                <w:rFonts w:ascii="Arial" w:hAnsi="Arial" w:cs="Arial"/>
                <w:sz w:val="18"/>
                <w:szCs w:val="18"/>
              </w:rPr>
            </w:pPr>
            <w:r w:rsidRPr="00F35930">
              <w:rPr>
                <w:rFonts w:ascii="Arial" w:hAnsi="Arial" w:cs="Arial"/>
                <w:sz w:val="18"/>
                <w:szCs w:val="18"/>
              </w:rPr>
              <w:t xml:space="preserve"> 381</w:t>
            </w:r>
          </w:p>
        </w:tc>
        <w:tc>
          <w:tcPr>
            <w:tcW w:w="1752" w:type="dxa"/>
            <w:vAlign w:val="center"/>
          </w:tcPr>
          <w:p w14:paraId="29CBDC67" w14:textId="77777777" w:rsidR="00541BB1" w:rsidRPr="00F35930" w:rsidRDefault="00541BB1" w:rsidP="00AF3422">
            <w:pPr>
              <w:spacing w:line="480" w:lineRule="auto"/>
              <w:jc w:val="center"/>
              <w:rPr>
                <w:rFonts w:ascii="Arial" w:hAnsi="Arial" w:cs="Arial"/>
                <w:sz w:val="18"/>
                <w:szCs w:val="18"/>
              </w:rPr>
            </w:pPr>
            <w:r w:rsidRPr="00F35930">
              <w:rPr>
                <w:rFonts w:ascii="Arial" w:hAnsi="Arial" w:cs="Arial"/>
                <w:sz w:val="18"/>
                <w:szCs w:val="18"/>
              </w:rPr>
              <w:t>1009</w:t>
            </w:r>
          </w:p>
        </w:tc>
      </w:tr>
    </w:tbl>
    <w:p w14:paraId="565E165C" w14:textId="77777777" w:rsidR="0050484F" w:rsidRDefault="0050484F" w:rsidP="008B5BE3">
      <w:pPr>
        <w:widowControl w:val="0"/>
        <w:autoSpaceDE w:val="0"/>
        <w:autoSpaceDN w:val="0"/>
        <w:adjustRightInd w:val="0"/>
        <w:spacing w:line="480" w:lineRule="auto"/>
        <w:rPr>
          <w:rFonts w:ascii="Arial" w:hAnsi="Arial" w:cs="Arial"/>
          <w:sz w:val="18"/>
          <w:szCs w:val="18"/>
        </w:rPr>
      </w:pPr>
    </w:p>
    <w:p w14:paraId="3B41DBD9" w14:textId="77777777" w:rsidR="0050484F" w:rsidRPr="00D95E62" w:rsidRDefault="0050484F" w:rsidP="0050484F">
      <w:pPr>
        <w:spacing w:line="480" w:lineRule="auto"/>
        <w:jc w:val="both"/>
        <w:rPr>
          <w:rFonts w:ascii="Arial" w:hAnsi="Arial" w:cs="Arial"/>
          <w:sz w:val="18"/>
          <w:szCs w:val="18"/>
        </w:rPr>
      </w:pPr>
      <w:r w:rsidRPr="00D95E62">
        <w:rPr>
          <w:rFonts w:ascii="Arial" w:hAnsi="Arial" w:cs="Arial"/>
          <w:b/>
          <w:sz w:val="18"/>
          <w:szCs w:val="18"/>
        </w:rPr>
        <w:t xml:space="preserve">Table </w:t>
      </w:r>
      <w:r>
        <w:rPr>
          <w:rFonts w:ascii="Arial" w:hAnsi="Arial" w:cs="Arial"/>
          <w:b/>
          <w:sz w:val="18"/>
          <w:szCs w:val="18"/>
        </w:rPr>
        <w:t>2</w:t>
      </w:r>
      <w:r w:rsidRPr="00D95E62">
        <w:rPr>
          <w:rFonts w:ascii="Arial" w:hAnsi="Arial" w:cs="Arial"/>
          <w:b/>
          <w:sz w:val="18"/>
          <w:szCs w:val="18"/>
        </w:rPr>
        <w:t>.</w:t>
      </w:r>
      <w:r w:rsidRPr="00D95E62">
        <w:rPr>
          <w:rFonts w:ascii="Arial" w:hAnsi="Arial" w:cs="Arial"/>
          <w:sz w:val="18"/>
          <w:szCs w:val="18"/>
        </w:rPr>
        <w:t xml:space="preserve"> Relationship between active trachoma and ocular </w:t>
      </w:r>
      <w:r w:rsidRPr="00D95E62">
        <w:rPr>
          <w:rFonts w:ascii="Arial" w:hAnsi="Arial" w:cs="Arial"/>
          <w:i/>
          <w:sz w:val="18"/>
          <w:szCs w:val="18"/>
        </w:rPr>
        <w:t xml:space="preserve">Ct </w:t>
      </w:r>
      <w:r w:rsidRPr="00D95E62">
        <w:rPr>
          <w:rFonts w:ascii="Arial" w:hAnsi="Arial" w:cs="Arial"/>
          <w:sz w:val="18"/>
          <w:szCs w:val="18"/>
        </w:rPr>
        <w:t xml:space="preserve">infection in Vanuatu and </w:t>
      </w:r>
      <w:r>
        <w:rPr>
          <w:rFonts w:ascii="Arial" w:hAnsi="Arial" w:cs="Arial"/>
          <w:sz w:val="18"/>
          <w:szCs w:val="18"/>
        </w:rPr>
        <w:t xml:space="preserve">Tarawa, </w:t>
      </w:r>
      <w:r w:rsidRPr="00D95E62">
        <w:rPr>
          <w:rFonts w:ascii="Arial" w:hAnsi="Arial" w:cs="Arial"/>
          <w:sz w:val="18"/>
          <w:szCs w:val="18"/>
        </w:rPr>
        <w:t>Kiribati.</w:t>
      </w:r>
    </w:p>
    <w:p w14:paraId="61CEF4FF" w14:textId="77777777" w:rsidR="0050484F" w:rsidRPr="00B519AB" w:rsidRDefault="0050484F" w:rsidP="008B5BE3">
      <w:pPr>
        <w:widowControl w:val="0"/>
        <w:autoSpaceDE w:val="0"/>
        <w:autoSpaceDN w:val="0"/>
        <w:adjustRightInd w:val="0"/>
        <w:spacing w:line="480" w:lineRule="auto"/>
        <w:rPr>
          <w:rFonts w:ascii="Arial" w:hAnsi="Arial" w:cs="Arial"/>
          <w:b/>
          <w:sz w:val="21"/>
          <w:szCs w:val="21"/>
        </w:rPr>
      </w:pPr>
    </w:p>
    <w:sectPr w:rsidR="0050484F" w:rsidRPr="00B519AB" w:rsidSect="00645EFC">
      <w:pgSz w:w="11900" w:h="16840"/>
      <w:pgMar w:top="1440" w:right="1080" w:bottom="1440" w:left="108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560AC"/>
    <w:multiLevelType w:val="hybridMultilevel"/>
    <w:tmpl w:val="D6086D58"/>
    <w:lvl w:ilvl="0" w:tplc="2D186E66">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41E98"/>
    <w:multiLevelType w:val="hybridMultilevel"/>
    <w:tmpl w:val="DEF04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FF69BF"/>
    <w:multiLevelType w:val="hybridMultilevel"/>
    <w:tmpl w:val="259C4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491871"/>
    <w:multiLevelType w:val="hybridMultilevel"/>
    <w:tmpl w:val="E53CC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9C5A37"/>
    <w:multiLevelType w:val="hybridMultilevel"/>
    <w:tmpl w:val="B6C407BC"/>
    <w:lvl w:ilvl="0" w:tplc="6A48CC9A">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F32BA0"/>
    <w:multiLevelType w:val="hybridMultilevel"/>
    <w:tmpl w:val="523E6D7C"/>
    <w:lvl w:ilvl="0" w:tplc="1E4A5CAA">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77B"/>
    <w:rsid w:val="000030F8"/>
    <w:rsid w:val="00025523"/>
    <w:rsid w:val="00030BA8"/>
    <w:rsid w:val="000351A1"/>
    <w:rsid w:val="000477C2"/>
    <w:rsid w:val="000530B7"/>
    <w:rsid w:val="000552CA"/>
    <w:rsid w:val="00070E65"/>
    <w:rsid w:val="00071C04"/>
    <w:rsid w:val="000720D0"/>
    <w:rsid w:val="00075237"/>
    <w:rsid w:val="000A59A8"/>
    <w:rsid w:val="000B5902"/>
    <w:rsid w:val="000B6171"/>
    <w:rsid w:val="000C3D05"/>
    <w:rsid w:val="000C78BD"/>
    <w:rsid w:val="000D49AD"/>
    <w:rsid w:val="000D5081"/>
    <w:rsid w:val="000E5290"/>
    <w:rsid w:val="000F0EC4"/>
    <w:rsid w:val="000F2C1D"/>
    <w:rsid w:val="0010661D"/>
    <w:rsid w:val="001133FA"/>
    <w:rsid w:val="0012372D"/>
    <w:rsid w:val="00137149"/>
    <w:rsid w:val="00137223"/>
    <w:rsid w:val="00140379"/>
    <w:rsid w:val="0015426B"/>
    <w:rsid w:val="001610D4"/>
    <w:rsid w:val="001662DD"/>
    <w:rsid w:val="001676CD"/>
    <w:rsid w:val="0018184B"/>
    <w:rsid w:val="00186B12"/>
    <w:rsid w:val="001A7DA0"/>
    <w:rsid w:val="001D44D0"/>
    <w:rsid w:val="001D5EB8"/>
    <w:rsid w:val="001E137D"/>
    <w:rsid w:val="001E257F"/>
    <w:rsid w:val="001F336C"/>
    <w:rsid w:val="001F63F0"/>
    <w:rsid w:val="001F690C"/>
    <w:rsid w:val="002023AA"/>
    <w:rsid w:val="00203F0C"/>
    <w:rsid w:val="0020416B"/>
    <w:rsid w:val="00205693"/>
    <w:rsid w:val="00205ED0"/>
    <w:rsid w:val="00222E9A"/>
    <w:rsid w:val="00224390"/>
    <w:rsid w:val="00227909"/>
    <w:rsid w:val="00231BE2"/>
    <w:rsid w:val="00231E32"/>
    <w:rsid w:val="00237069"/>
    <w:rsid w:val="002405CC"/>
    <w:rsid w:val="002414AA"/>
    <w:rsid w:val="0024389F"/>
    <w:rsid w:val="00274AD4"/>
    <w:rsid w:val="00283370"/>
    <w:rsid w:val="002926CB"/>
    <w:rsid w:val="00293591"/>
    <w:rsid w:val="002A3A39"/>
    <w:rsid w:val="002C221E"/>
    <w:rsid w:val="003044C1"/>
    <w:rsid w:val="003062E1"/>
    <w:rsid w:val="00313CEF"/>
    <w:rsid w:val="00336051"/>
    <w:rsid w:val="0033714E"/>
    <w:rsid w:val="003450D2"/>
    <w:rsid w:val="00360063"/>
    <w:rsid w:val="00367774"/>
    <w:rsid w:val="003729E0"/>
    <w:rsid w:val="0037612D"/>
    <w:rsid w:val="00376242"/>
    <w:rsid w:val="00395B52"/>
    <w:rsid w:val="00396DB5"/>
    <w:rsid w:val="003A177B"/>
    <w:rsid w:val="003A2BCA"/>
    <w:rsid w:val="003A6E21"/>
    <w:rsid w:val="003B4636"/>
    <w:rsid w:val="003C429A"/>
    <w:rsid w:val="003E3709"/>
    <w:rsid w:val="003F5E9C"/>
    <w:rsid w:val="003F6B0A"/>
    <w:rsid w:val="004070ED"/>
    <w:rsid w:val="004163ED"/>
    <w:rsid w:val="00427FDB"/>
    <w:rsid w:val="00442D02"/>
    <w:rsid w:val="00450C39"/>
    <w:rsid w:val="0046524E"/>
    <w:rsid w:val="004671B2"/>
    <w:rsid w:val="0049211C"/>
    <w:rsid w:val="004A174E"/>
    <w:rsid w:val="004A5E78"/>
    <w:rsid w:val="004D0B7A"/>
    <w:rsid w:val="004D440E"/>
    <w:rsid w:val="004E6F11"/>
    <w:rsid w:val="004E7BA7"/>
    <w:rsid w:val="004F01C6"/>
    <w:rsid w:val="004F2310"/>
    <w:rsid w:val="004F74B9"/>
    <w:rsid w:val="004F7941"/>
    <w:rsid w:val="0050381D"/>
    <w:rsid w:val="0050484F"/>
    <w:rsid w:val="00510A5B"/>
    <w:rsid w:val="00513EA5"/>
    <w:rsid w:val="0051523F"/>
    <w:rsid w:val="005266DB"/>
    <w:rsid w:val="00531080"/>
    <w:rsid w:val="00537CB8"/>
    <w:rsid w:val="00541BB1"/>
    <w:rsid w:val="00574173"/>
    <w:rsid w:val="005761C6"/>
    <w:rsid w:val="00580422"/>
    <w:rsid w:val="005919EB"/>
    <w:rsid w:val="00596C3F"/>
    <w:rsid w:val="005A4AE7"/>
    <w:rsid w:val="005C6653"/>
    <w:rsid w:val="005E01A4"/>
    <w:rsid w:val="005E3FB9"/>
    <w:rsid w:val="005E4C81"/>
    <w:rsid w:val="005F3059"/>
    <w:rsid w:val="005F375C"/>
    <w:rsid w:val="0060343B"/>
    <w:rsid w:val="00603717"/>
    <w:rsid w:val="006051FD"/>
    <w:rsid w:val="0061359C"/>
    <w:rsid w:val="00620CAE"/>
    <w:rsid w:val="00620D6B"/>
    <w:rsid w:val="006275F9"/>
    <w:rsid w:val="00631EEB"/>
    <w:rsid w:val="0063489F"/>
    <w:rsid w:val="00643BA9"/>
    <w:rsid w:val="00645041"/>
    <w:rsid w:val="00645EFC"/>
    <w:rsid w:val="006634E4"/>
    <w:rsid w:val="00677C9F"/>
    <w:rsid w:val="006860A7"/>
    <w:rsid w:val="00695975"/>
    <w:rsid w:val="006A427C"/>
    <w:rsid w:val="006B0D0F"/>
    <w:rsid w:val="006C1A8F"/>
    <w:rsid w:val="006C6D13"/>
    <w:rsid w:val="006E2E21"/>
    <w:rsid w:val="006E67AD"/>
    <w:rsid w:val="006F0280"/>
    <w:rsid w:val="00720781"/>
    <w:rsid w:val="00722800"/>
    <w:rsid w:val="007248A7"/>
    <w:rsid w:val="0074663B"/>
    <w:rsid w:val="00751410"/>
    <w:rsid w:val="00751A46"/>
    <w:rsid w:val="00753600"/>
    <w:rsid w:val="00754135"/>
    <w:rsid w:val="0075619A"/>
    <w:rsid w:val="00762659"/>
    <w:rsid w:val="00766556"/>
    <w:rsid w:val="007744D3"/>
    <w:rsid w:val="007934E2"/>
    <w:rsid w:val="00796650"/>
    <w:rsid w:val="007B23AC"/>
    <w:rsid w:val="007B4B1C"/>
    <w:rsid w:val="007C1FF6"/>
    <w:rsid w:val="007C3569"/>
    <w:rsid w:val="007E4DC5"/>
    <w:rsid w:val="007F2E66"/>
    <w:rsid w:val="007F5529"/>
    <w:rsid w:val="00806153"/>
    <w:rsid w:val="00812937"/>
    <w:rsid w:val="00812AC3"/>
    <w:rsid w:val="008138F8"/>
    <w:rsid w:val="00823365"/>
    <w:rsid w:val="008257CC"/>
    <w:rsid w:val="0082591D"/>
    <w:rsid w:val="0083664B"/>
    <w:rsid w:val="0084313F"/>
    <w:rsid w:val="00843DC9"/>
    <w:rsid w:val="0085265D"/>
    <w:rsid w:val="008601A5"/>
    <w:rsid w:val="00867289"/>
    <w:rsid w:val="00874204"/>
    <w:rsid w:val="00883261"/>
    <w:rsid w:val="008A5EA8"/>
    <w:rsid w:val="008A7A5F"/>
    <w:rsid w:val="008B0DE6"/>
    <w:rsid w:val="008B342E"/>
    <w:rsid w:val="008B5BE3"/>
    <w:rsid w:val="008B68C5"/>
    <w:rsid w:val="008B7E59"/>
    <w:rsid w:val="008C3919"/>
    <w:rsid w:val="008D140E"/>
    <w:rsid w:val="008D1A55"/>
    <w:rsid w:val="008D7D70"/>
    <w:rsid w:val="008E7320"/>
    <w:rsid w:val="008F029B"/>
    <w:rsid w:val="008F6530"/>
    <w:rsid w:val="009012FB"/>
    <w:rsid w:val="009044A4"/>
    <w:rsid w:val="009128DE"/>
    <w:rsid w:val="00926D83"/>
    <w:rsid w:val="009369DC"/>
    <w:rsid w:val="009501AC"/>
    <w:rsid w:val="009550FF"/>
    <w:rsid w:val="00955A93"/>
    <w:rsid w:val="00955EFD"/>
    <w:rsid w:val="009622CB"/>
    <w:rsid w:val="00973E3C"/>
    <w:rsid w:val="00980DC5"/>
    <w:rsid w:val="00980E6F"/>
    <w:rsid w:val="009848D4"/>
    <w:rsid w:val="00985C4D"/>
    <w:rsid w:val="00996DDD"/>
    <w:rsid w:val="00997794"/>
    <w:rsid w:val="009A0DD8"/>
    <w:rsid w:val="009C2F38"/>
    <w:rsid w:val="009C3A7D"/>
    <w:rsid w:val="009D4913"/>
    <w:rsid w:val="009D6D54"/>
    <w:rsid w:val="009D6F11"/>
    <w:rsid w:val="009F37F7"/>
    <w:rsid w:val="009F63E4"/>
    <w:rsid w:val="00A43F02"/>
    <w:rsid w:val="00A5240B"/>
    <w:rsid w:val="00A6124B"/>
    <w:rsid w:val="00A6248F"/>
    <w:rsid w:val="00A64151"/>
    <w:rsid w:val="00A654E4"/>
    <w:rsid w:val="00A91FB0"/>
    <w:rsid w:val="00A9245B"/>
    <w:rsid w:val="00AA20B7"/>
    <w:rsid w:val="00AA3207"/>
    <w:rsid w:val="00AB5523"/>
    <w:rsid w:val="00AC1512"/>
    <w:rsid w:val="00AD750A"/>
    <w:rsid w:val="00AE7D71"/>
    <w:rsid w:val="00AE7F56"/>
    <w:rsid w:val="00AF554B"/>
    <w:rsid w:val="00B17196"/>
    <w:rsid w:val="00B331C0"/>
    <w:rsid w:val="00B331E1"/>
    <w:rsid w:val="00B34B7F"/>
    <w:rsid w:val="00B366DB"/>
    <w:rsid w:val="00B458E4"/>
    <w:rsid w:val="00B519AB"/>
    <w:rsid w:val="00B525FE"/>
    <w:rsid w:val="00B546C1"/>
    <w:rsid w:val="00B57163"/>
    <w:rsid w:val="00B60655"/>
    <w:rsid w:val="00B611E8"/>
    <w:rsid w:val="00B7112F"/>
    <w:rsid w:val="00B73086"/>
    <w:rsid w:val="00B75144"/>
    <w:rsid w:val="00B751C9"/>
    <w:rsid w:val="00B82A9E"/>
    <w:rsid w:val="00B83CAF"/>
    <w:rsid w:val="00B92F41"/>
    <w:rsid w:val="00B95198"/>
    <w:rsid w:val="00BA1625"/>
    <w:rsid w:val="00BD1756"/>
    <w:rsid w:val="00BE24AF"/>
    <w:rsid w:val="00BF359A"/>
    <w:rsid w:val="00BF75A4"/>
    <w:rsid w:val="00BF7F14"/>
    <w:rsid w:val="00C25D3C"/>
    <w:rsid w:val="00C5749B"/>
    <w:rsid w:val="00C64F24"/>
    <w:rsid w:val="00C7193E"/>
    <w:rsid w:val="00C76109"/>
    <w:rsid w:val="00CB77C6"/>
    <w:rsid w:val="00CC4D89"/>
    <w:rsid w:val="00CC5A03"/>
    <w:rsid w:val="00CD30B5"/>
    <w:rsid w:val="00CD38A8"/>
    <w:rsid w:val="00CD6DA5"/>
    <w:rsid w:val="00CE7CF6"/>
    <w:rsid w:val="00CF5723"/>
    <w:rsid w:val="00D26029"/>
    <w:rsid w:val="00D266CD"/>
    <w:rsid w:val="00D3307C"/>
    <w:rsid w:val="00D37109"/>
    <w:rsid w:val="00D41B6A"/>
    <w:rsid w:val="00D46E10"/>
    <w:rsid w:val="00D506A7"/>
    <w:rsid w:val="00D53FB4"/>
    <w:rsid w:val="00D6192F"/>
    <w:rsid w:val="00D81618"/>
    <w:rsid w:val="00D83A53"/>
    <w:rsid w:val="00D92857"/>
    <w:rsid w:val="00D95E62"/>
    <w:rsid w:val="00DB0154"/>
    <w:rsid w:val="00DB3E76"/>
    <w:rsid w:val="00DB6C64"/>
    <w:rsid w:val="00DC1848"/>
    <w:rsid w:val="00DC20C0"/>
    <w:rsid w:val="00DC59B2"/>
    <w:rsid w:val="00DE3605"/>
    <w:rsid w:val="00DE6A53"/>
    <w:rsid w:val="00DF2947"/>
    <w:rsid w:val="00E0042E"/>
    <w:rsid w:val="00E02330"/>
    <w:rsid w:val="00E1233D"/>
    <w:rsid w:val="00E15BE5"/>
    <w:rsid w:val="00E20E16"/>
    <w:rsid w:val="00E26D67"/>
    <w:rsid w:val="00E34166"/>
    <w:rsid w:val="00E45142"/>
    <w:rsid w:val="00E45669"/>
    <w:rsid w:val="00E50540"/>
    <w:rsid w:val="00E85E06"/>
    <w:rsid w:val="00EC1A48"/>
    <w:rsid w:val="00EC4268"/>
    <w:rsid w:val="00EC6721"/>
    <w:rsid w:val="00ED40A0"/>
    <w:rsid w:val="00ED54E1"/>
    <w:rsid w:val="00ED6AAB"/>
    <w:rsid w:val="00ED7578"/>
    <w:rsid w:val="00EE4083"/>
    <w:rsid w:val="00EE6346"/>
    <w:rsid w:val="00EF288A"/>
    <w:rsid w:val="00F0036B"/>
    <w:rsid w:val="00F15D3C"/>
    <w:rsid w:val="00F31BE0"/>
    <w:rsid w:val="00F35930"/>
    <w:rsid w:val="00F41798"/>
    <w:rsid w:val="00F42087"/>
    <w:rsid w:val="00F443F0"/>
    <w:rsid w:val="00F466ED"/>
    <w:rsid w:val="00F54D19"/>
    <w:rsid w:val="00F74BFA"/>
    <w:rsid w:val="00F76178"/>
    <w:rsid w:val="00F8022A"/>
    <w:rsid w:val="00F86D35"/>
    <w:rsid w:val="00F96A1E"/>
    <w:rsid w:val="00FA2F15"/>
    <w:rsid w:val="00FA6850"/>
    <w:rsid w:val="00FB1B03"/>
    <w:rsid w:val="00FB4EF6"/>
    <w:rsid w:val="00FB565C"/>
    <w:rsid w:val="00FC162A"/>
    <w:rsid w:val="00FC513F"/>
    <w:rsid w:val="00FD077B"/>
    <w:rsid w:val="00FD33FC"/>
    <w:rsid w:val="00FD487B"/>
    <w:rsid w:val="00FE0E32"/>
    <w:rsid w:val="00FE7C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6B8FD"/>
  <w15:chartTrackingRefBased/>
  <w15:docId w15:val="{5E8DEDC4-717D-FD4F-B75E-A7F81383B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0540"/>
    <w:pPr>
      <w:ind w:left="720"/>
      <w:contextualSpacing/>
    </w:pPr>
  </w:style>
  <w:style w:type="character" w:styleId="Hyperlink">
    <w:name w:val="Hyperlink"/>
    <w:basedOn w:val="DefaultParagraphFont"/>
    <w:uiPriority w:val="99"/>
    <w:unhideWhenUsed/>
    <w:rsid w:val="00E50540"/>
    <w:rPr>
      <w:color w:val="0563C1" w:themeColor="hyperlink"/>
      <w:u w:val="single"/>
    </w:rPr>
  </w:style>
  <w:style w:type="character" w:styleId="UnresolvedMention">
    <w:name w:val="Unresolved Mention"/>
    <w:basedOn w:val="DefaultParagraphFont"/>
    <w:uiPriority w:val="99"/>
    <w:semiHidden/>
    <w:unhideWhenUsed/>
    <w:rsid w:val="00E50540"/>
    <w:rPr>
      <w:color w:val="605E5C"/>
      <w:shd w:val="clear" w:color="auto" w:fill="E1DFDD"/>
    </w:rPr>
  </w:style>
  <w:style w:type="table" w:styleId="TableGrid">
    <w:name w:val="Table Grid"/>
    <w:basedOn w:val="TableNormal"/>
    <w:uiPriority w:val="39"/>
    <w:rsid w:val="0083664B"/>
    <w:pPr>
      <w:jc w:val="both"/>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8366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83664B"/>
    <w:rPr>
      <w:rFonts w:ascii="Courier New" w:eastAsia="Times New Roman" w:hAnsi="Courier New" w:cs="Courier New"/>
      <w:sz w:val="20"/>
      <w:szCs w:val="20"/>
      <w:lang w:eastAsia="en-GB"/>
    </w:rPr>
  </w:style>
  <w:style w:type="table" w:customStyle="1" w:styleId="TableGrid1">
    <w:name w:val="Table Grid1"/>
    <w:basedOn w:val="TableNormal"/>
    <w:next w:val="TableGrid"/>
    <w:uiPriority w:val="39"/>
    <w:rsid w:val="009848D4"/>
    <w:pPr>
      <w:jc w:val="both"/>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F01C6"/>
    <w:rPr>
      <w:sz w:val="16"/>
      <w:szCs w:val="16"/>
    </w:rPr>
  </w:style>
  <w:style w:type="paragraph" w:styleId="CommentText">
    <w:name w:val="annotation text"/>
    <w:basedOn w:val="Normal"/>
    <w:link w:val="CommentTextChar"/>
    <w:uiPriority w:val="99"/>
    <w:semiHidden/>
    <w:unhideWhenUsed/>
    <w:rsid w:val="004F01C6"/>
    <w:rPr>
      <w:sz w:val="20"/>
      <w:szCs w:val="20"/>
    </w:rPr>
  </w:style>
  <w:style w:type="character" w:customStyle="1" w:styleId="CommentTextChar">
    <w:name w:val="Comment Text Char"/>
    <w:basedOn w:val="DefaultParagraphFont"/>
    <w:link w:val="CommentText"/>
    <w:uiPriority w:val="99"/>
    <w:semiHidden/>
    <w:rsid w:val="004F01C6"/>
    <w:rPr>
      <w:sz w:val="20"/>
      <w:szCs w:val="20"/>
    </w:rPr>
  </w:style>
  <w:style w:type="paragraph" w:styleId="CommentSubject">
    <w:name w:val="annotation subject"/>
    <w:basedOn w:val="CommentText"/>
    <w:next w:val="CommentText"/>
    <w:link w:val="CommentSubjectChar"/>
    <w:uiPriority w:val="99"/>
    <w:semiHidden/>
    <w:unhideWhenUsed/>
    <w:rsid w:val="004F01C6"/>
    <w:rPr>
      <w:b/>
      <w:bCs/>
    </w:rPr>
  </w:style>
  <w:style w:type="character" w:customStyle="1" w:styleId="CommentSubjectChar">
    <w:name w:val="Comment Subject Char"/>
    <w:basedOn w:val="CommentTextChar"/>
    <w:link w:val="CommentSubject"/>
    <w:uiPriority w:val="99"/>
    <w:semiHidden/>
    <w:rsid w:val="004F01C6"/>
    <w:rPr>
      <w:b/>
      <w:bCs/>
      <w:sz w:val="20"/>
      <w:szCs w:val="20"/>
    </w:rPr>
  </w:style>
  <w:style w:type="paragraph" w:styleId="BalloonText">
    <w:name w:val="Balloon Text"/>
    <w:basedOn w:val="Normal"/>
    <w:link w:val="BalloonTextChar"/>
    <w:uiPriority w:val="99"/>
    <w:semiHidden/>
    <w:unhideWhenUsed/>
    <w:rsid w:val="004F01C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F01C6"/>
    <w:rPr>
      <w:rFonts w:ascii="Times New Roman" w:hAnsi="Times New Roman" w:cs="Times New Roman"/>
      <w:sz w:val="18"/>
      <w:szCs w:val="18"/>
    </w:rPr>
  </w:style>
  <w:style w:type="paragraph" w:styleId="Revision">
    <w:name w:val="Revision"/>
    <w:hidden/>
    <w:uiPriority w:val="99"/>
    <w:semiHidden/>
    <w:rsid w:val="008257CC"/>
  </w:style>
  <w:style w:type="character" w:styleId="LineNumber">
    <w:name w:val="line number"/>
    <w:basedOn w:val="DefaultParagraphFont"/>
    <w:uiPriority w:val="99"/>
    <w:unhideWhenUsed/>
    <w:rsid w:val="00645EFC"/>
    <w:rPr>
      <w:rFonts w:ascii="Arial" w:hAnsi="Arial"/>
      <w:sz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27985">
      <w:bodyDiv w:val="1"/>
      <w:marLeft w:val="0"/>
      <w:marRight w:val="0"/>
      <w:marTop w:val="0"/>
      <w:marBottom w:val="0"/>
      <w:divBdr>
        <w:top w:val="none" w:sz="0" w:space="0" w:color="auto"/>
        <w:left w:val="none" w:sz="0" w:space="0" w:color="auto"/>
        <w:bottom w:val="none" w:sz="0" w:space="0" w:color="auto"/>
        <w:right w:val="none" w:sz="0" w:space="0" w:color="auto"/>
      </w:divBdr>
    </w:div>
    <w:div w:id="340553135">
      <w:bodyDiv w:val="1"/>
      <w:marLeft w:val="0"/>
      <w:marRight w:val="0"/>
      <w:marTop w:val="0"/>
      <w:marBottom w:val="0"/>
      <w:divBdr>
        <w:top w:val="none" w:sz="0" w:space="0" w:color="auto"/>
        <w:left w:val="none" w:sz="0" w:space="0" w:color="auto"/>
        <w:bottom w:val="none" w:sz="0" w:space="0" w:color="auto"/>
        <w:right w:val="none" w:sz="0" w:space="0" w:color="auto"/>
      </w:divBdr>
    </w:div>
    <w:div w:id="478034949">
      <w:bodyDiv w:val="1"/>
      <w:marLeft w:val="0"/>
      <w:marRight w:val="0"/>
      <w:marTop w:val="0"/>
      <w:marBottom w:val="0"/>
      <w:divBdr>
        <w:top w:val="none" w:sz="0" w:space="0" w:color="auto"/>
        <w:left w:val="none" w:sz="0" w:space="0" w:color="auto"/>
        <w:bottom w:val="none" w:sz="0" w:space="0" w:color="auto"/>
        <w:right w:val="none" w:sz="0" w:space="0" w:color="auto"/>
      </w:divBdr>
    </w:div>
    <w:div w:id="660498929">
      <w:bodyDiv w:val="1"/>
      <w:marLeft w:val="0"/>
      <w:marRight w:val="0"/>
      <w:marTop w:val="0"/>
      <w:marBottom w:val="0"/>
      <w:divBdr>
        <w:top w:val="none" w:sz="0" w:space="0" w:color="auto"/>
        <w:left w:val="none" w:sz="0" w:space="0" w:color="auto"/>
        <w:bottom w:val="none" w:sz="0" w:space="0" w:color="auto"/>
        <w:right w:val="none" w:sz="0" w:space="0" w:color="auto"/>
      </w:divBdr>
    </w:div>
    <w:div w:id="681904975">
      <w:bodyDiv w:val="1"/>
      <w:marLeft w:val="0"/>
      <w:marRight w:val="0"/>
      <w:marTop w:val="0"/>
      <w:marBottom w:val="0"/>
      <w:divBdr>
        <w:top w:val="none" w:sz="0" w:space="0" w:color="auto"/>
        <w:left w:val="none" w:sz="0" w:space="0" w:color="auto"/>
        <w:bottom w:val="none" w:sz="0" w:space="0" w:color="auto"/>
        <w:right w:val="none" w:sz="0" w:space="0" w:color="auto"/>
      </w:divBdr>
    </w:div>
    <w:div w:id="756710229">
      <w:bodyDiv w:val="1"/>
      <w:marLeft w:val="0"/>
      <w:marRight w:val="0"/>
      <w:marTop w:val="0"/>
      <w:marBottom w:val="0"/>
      <w:divBdr>
        <w:top w:val="none" w:sz="0" w:space="0" w:color="auto"/>
        <w:left w:val="none" w:sz="0" w:space="0" w:color="auto"/>
        <w:bottom w:val="none" w:sz="0" w:space="0" w:color="auto"/>
        <w:right w:val="none" w:sz="0" w:space="0" w:color="auto"/>
      </w:divBdr>
    </w:div>
    <w:div w:id="1127772336">
      <w:bodyDiv w:val="1"/>
      <w:marLeft w:val="0"/>
      <w:marRight w:val="0"/>
      <w:marTop w:val="0"/>
      <w:marBottom w:val="0"/>
      <w:divBdr>
        <w:top w:val="none" w:sz="0" w:space="0" w:color="auto"/>
        <w:left w:val="none" w:sz="0" w:space="0" w:color="auto"/>
        <w:bottom w:val="none" w:sz="0" w:space="0" w:color="auto"/>
        <w:right w:val="none" w:sz="0" w:space="0" w:color="auto"/>
      </w:divBdr>
    </w:div>
    <w:div w:id="1334843640">
      <w:bodyDiv w:val="1"/>
      <w:marLeft w:val="0"/>
      <w:marRight w:val="0"/>
      <w:marTop w:val="0"/>
      <w:marBottom w:val="0"/>
      <w:divBdr>
        <w:top w:val="none" w:sz="0" w:space="0" w:color="auto"/>
        <w:left w:val="none" w:sz="0" w:space="0" w:color="auto"/>
        <w:bottom w:val="none" w:sz="0" w:space="0" w:color="auto"/>
        <w:right w:val="none" w:sz="0" w:space="0" w:color="auto"/>
      </w:divBdr>
    </w:div>
    <w:div w:id="1352412518">
      <w:bodyDiv w:val="1"/>
      <w:marLeft w:val="0"/>
      <w:marRight w:val="0"/>
      <w:marTop w:val="0"/>
      <w:marBottom w:val="0"/>
      <w:divBdr>
        <w:top w:val="none" w:sz="0" w:space="0" w:color="auto"/>
        <w:left w:val="none" w:sz="0" w:space="0" w:color="auto"/>
        <w:bottom w:val="none" w:sz="0" w:space="0" w:color="auto"/>
        <w:right w:val="none" w:sz="0" w:space="0" w:color="auto"/>
      </w:divBdr>
    </w:div>
    <w:div w:id="1483505414">
      <w:bodyDiv w:val="1"/>
      <w:marLeft w:val="0"/>
      <w:marRight w:val="0"/>
      <w:marTop w:val="0"/>
      <w:marBottom w:val="0"/>
      <w:divBdr>
        <w:top w:val="none" w:sz="0" w:space="0" w:color="auto"/>
        <w:left w:val="none" w:sz="0" w:space="0" w:color="auto"/>
        <w:bottom w:val="none" w:sz="0" w:space="0" w:color="auto"/>
        <w:right w:val="none" w:sz="0" w:space="0" w:color="auto"/>
      </w:divBdr>
    </w:div>
    <w:div w:id="1916158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tyles" Target="styles.xml"/><Relationship Id="rId7" Type="http://schemas.openxmlformats.org/officeDocument/2006/relationships/image" Target="media/image1.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robert.butcher@lshtm.ac.uk"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FFFF2-8D8F-439D-A528-E3047CED5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32844</Words>
  <Characters>187214</Characters>
  <Application>Microsoft Office Word</Application>
  <DocSecurity>0</DocSecurity>
  <Lines>1560</Lines>
  <Paragraphs>439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Butcher</dc:creator>
  <cp:keywords/>
  <dc:description/>
  <cp:lastModifiedBy>Robert Butcher</cp:lastModifiedBy>
  <cp:revision>3</cp:revision>
  <dcterms:created xsi:type="dcterms:W3CDTF">2020-02-03T12:48:00Z</dcterms:created>
  <dcterms:modified xsi:type="dcterms:W3CDTF">2020-02-03T12:51:00Z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http://www.zotero.org/styles/american-sociological-association</vt:lpwstr>
  </property>
  <property fmtid="{D5CDD505-2E9C-101B-9397-08002B2CF9AE}" pid="6" name="Mendeley Recent Style Name 1_1">
    <vt:lpwstr>American Sociological Association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http://www.zotero.org/styles/clinical-infectious-diseases</vt:lpwstr>
  </property>
  <property fmtid="{D5CDD505-2E9C-101B-9397-08002B2CF9AE}" pid="10" name="Mendeley Recent Style Name 3_1">
    <vt:lpwstr>Clinical Infectious Diseases</vt:lpwstr>
  </property>
  <property fmtid="{D5CDD505-2E9C-101B-9397-08002B2CF9AE}" pid="11" name="Mendeley Recent Style Id 4_1">
    <vt:lpwstr>http://www.zotero.org/styles/harvard1</vt:lpwstr>
  </property>
  <property fmtid="{D5CDD505-2E9C-101B-9397-08002B2CF9AE}" pid="12" name="Mendeley Recent Style Name 4_1">
    <vt:lpwstr>Harvard reference format 1 (deprecated)</vt:lpwstr>
  </property>
  <property fmtid="{D5CDD505-2E9C-101B-9397-08002B2CF9AE}" pid="13" name="Mendeley Recent Style Id 5_1">
    <vt:lpwstr>http://www.zotero.org/styles/journal-of-infectious-diseases</vt:lpwstr>
  </property>
  <property fmtid="{D5CDD505-2E9C-101B-9397-08002B2CF9AE}" pid="14" name="Mendeley Recent Style Name 5_1">
    <vt:lpwstr>Journal of Infectious Diseases</vt:lpwstr>
  </property>
  <property fmtid="{D5CDD505-2E9C-101B-9397-08002B2CF9AE}" pid="15" name="Mendeley Recent Style Id 6_1">
    <vt:lpwstr>http://www.zotero.org/styles/nature</vt:lpwstr>
  </property>
  <property fmtid="{D5CDD505-2E9C-101B-9397-08002B2CF9AE}" pid="16" name="Mendeley Recent Style Name 6_1">
    <vt:lpwstr>Nature</vt:lpwstr>
  </property>
  <property fmtid="{D5CDD505-2E9C-101B-9397-08002B2CF9AE}" pid="17" name="Mendeley Recent Style Id 7_1">
    <vt:lpwstr>http://www.zotero.org/styles/ophthalmic-epidemiology</vt:lpwstr>
  </property>
  <property fmtid="{D5CDD505-2E9C-101B-9397-08002B2CF9AE}" pid="18" name="Mendeley Recent Style Name 7_1">
    <vt:lpwstr>Ophthalmic Epidemiology</vt:lpwstr>
  </property>
  <property fmtid="{D5CDD505-2E9C-101B-9397-08002B2CF9AE}" pid="19" name="Mendeley Recent Style Id 8_1">
    <vt:lpwstr>http://www.zotero.org/styles/plos-neglected-tropical-diseases</vt:lpwstr>
  </property>
  <property fmtid="{D5CDD505-2E9C-101B-9397-08002B2CF9AE}" pid="20" name="Mendeley Recent Style Name 8_1">
    <vt:lpwstr>PLOS Neglected Tropical Diseases</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Unique User Id_1">
    <vt:lpwstr>40725dd0-29f0-3e26-971b-15acc5aeb2d4</vt:lpwstr>
  </property>
  <property fmtid="{D5CDD505-2E9C-101B-9397-08002B2CF9AE}" pid="24" name="Mendeley Citation Style_1">
    <vt:lpwstr>http://www.zotero.org/styles/journal-of-infectious-diseases</vt:lpwstr>
  </property>
</Properties>
</file>