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F9" w:rsidRDefault="004275F9" w:rsidP="004275F9">
      <w:pPr>
        <w:tabs>
          <w:tab w:val="left" w:pos="4406"/>
        </w:tabs>
      </w:pPr>
      <w:r>
        <w:t>S</w:t>
      </w:r>
      <w:r w:rsidRPr="00816A05">
        <w:rPr>
          <w:b/>
        </w:rPr>
        <w:t>pplementary Table 1</w:t>
      </w:r>
      <w:r>
        <w:t xml:space="preserve">: Read codes to identify each type of dementia diagnosis  </w:t>
      </w:r>
    </w:p>
    <w:tbl>
      <w:tblPr>
        <w:tblW w:w="8804" w:type="dxa"/>
        <w:tblInd w:w="88" w:type="dxa"/>
        <w:tblLook w:val="04A0" w:firstRow="1" w:lastRow="0" w:firstColumn="1" w:lastColumn="0" w:noHBand="0" w:noVBand="1"/>
      </w:tblPr>
      <w:tblGrid>
        <w:gridCol w:w="1339"/>
        <w:gridCol w:w="5620"/>
        <w:gridCol w:w="1845"/>
      </w:tblGrid>
      <w:tr w:rsidR="004275F9" w:rsidRPr="00E35066" w:rsidTr="00F54663">
        <w:trPr>
          <w:trHeight w:val="264"/>
        </w:trPr>
        <w:tc>
          <w:tcPr>
            <w:tcW w:w="1339" w:type="dxa"/>
            <w:tcBorders>
              <w:top w:val="single" w:sz="4" w:space="0" w:color="auto"/>
              <w:left w:val="nil"/>
              <w:bottom w:val="single" w:sz="4" w:space="0" w:color="auto"/>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Read code</w:t>
            </w:r>
          </w:p>
        </w:tc>
        <w:tc>
          <w:tcPr>
            <w:tcW w:w="5620" w:type="dxa"/>
            <w:tcBorders>
              <w:top w:val="single" w:sz="4" w:space="0" w:color="auto"/>
              <w:left w:val="nil"/>
              <w:bottom w:val="single" w:sz="4" w:space="0" w:color="auto"/>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Read term</w:t>
            </w:r>
          </w:p>
        </w:tc>
        <w:tc>
          <w:tcPr>
            <w:tcW w:w="1845" w:type="dxa"/>
            <w:tcBorders>
              <w:top w:val="single" w:sz="4" w:space="0" w:color="auto"/>
              <w:left w:val="nil"/>
              <w:bottom w:val="single" w:sz="4" w:space="0" w:color="auto"/>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N (% of all dementia)</w:t>
            </w:r>
          </w:p>
        </w:tc>
      </w:tr>
      <w:tr w:rsidR="004275F9" w:rsidRPr="00E35066" w:rsidTr="00F54663">
        <w:trPr>
          <w:trHeight w:val="264"/>
        </w:trPr>
        <w:tc>
          <w:tcPr>
            <w:tcW w:w="6959" w:type="dxa"/>
            <w:gridSpan w:val="2"/>
            <w:tcBorders>
              <w:top w:val="single" w:sz="4" w:space="0" w:color="auto"/>
              <w:left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Alzheimer’s  disease/Unspecified dementia</w:t>
            </w:r>
          </w:p>
        </w:tc>
        <w:tc>
          <w:tcPr>
            <w:tcW w:w="1845" w:type="dxa"/>
            <w:tcBorders>
              <w:top w:val="single" w:sz="4" w:space="0" w:color="auto"/>
              <w:left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49161 (75.0%)</w:t>
            </w:r>
          </w:p>
        </w:tc>
      </w:tr>
      <w:tr w:rsidR="004275F9" w:rsidRPr="00E35066" w:rsidTr="00F54663">
        <w:trPr>
          <w:trHeight w:val="264"/>
        </w:trPr>
        <w:tc>
          <w:tcPr>
            <w:tcW w:w="1339" w:type="dxa"/>
            <w:tcBorders>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e00..12</w:t>
            </w:r>
          </w:p>
        </w:tc>
        <w:tc>
          <w:tcPr>
            <w:tcW w:w="5620" w:type="dxa"/>
            <w:tcBorders>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Senile/presenile dementia</w:t>
            </w:r>
          </w:p>
        </w:tc>
        <w:tc>
          <w:tcPr>
            <w:tcW w:w="1845" w:type="dxa"/>
            <w:tcBorders>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12116 (18.5%)</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f110.00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Alzheimer's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10194 (15.6%)</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eu02z00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 Unspecified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8206 (12.5%)</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Senile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4179 (6.4%)</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Alzheimer's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4105 (6.3%)</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eu02z14</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 Senile dementia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2720 (4.2%)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Uncomplicated senile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2086 (3.2%)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eu00z11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[X]Alzheimer's dementia unspec</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1871 (2.9%)</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1461.00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H/O: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1821 (2.8%)</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eu00z00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Alzheimer's disease, unspecified</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246 (0.4%)</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eu00112</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[X]Senile dementia,Alzheimer's type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243 (0.4%)</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Alzheimer's disease with late onset</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193 (0.3%)</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Presenile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192 (0.3%)</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f110100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Alzheimer's disease with late onset</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159 (0.2%)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f110000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Alzheimer's disease with early onset</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146 (0.2%)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e002100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Senile dementia with depression</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119 (0.2%)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e002000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Senile dementia with paranoia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108 (0.2%)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Alzheimer's disease with early onset</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74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e003.00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Senile dementia with delirium</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59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e001z00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Presenile dementia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55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eu02z16</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 Senile dementia, depressed or paranoid type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44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Senile dementia with depressive or paranoid features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44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Presenile dementia with paranoia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38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e001300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Presenile dementia with depression</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24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eu02z13</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 Primary degenerative dementia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23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eu04100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[X]Delirium superimposed on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18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eu00011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[X]Presenile dementia,Alzheimer's type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12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eu00113</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[X]Primary degen dementia of Alzheimer's type, senile onset</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12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Presenile dementia with delirium</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11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eu02z11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 Presenile dementia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11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e001000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Uncomplicated presenile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10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eu00111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[X]Alzheimer's disease type 1</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8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e002z00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Senile dementia with depressive or paranoid features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6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eu00012</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[X]Primary degen dementia, Alzheimer's type, presenile onset</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6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fyu3000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[X]Other Alzheimer's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eu00013</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[X]Alzheimer's disease type 2</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 (&lt;0.1%)</w:t>
            </w:r>
          </w:p>
        </w:tc>
      </w:tr>
      <w:tr w:rsidR="004275F9" w:rsidRPr="00E35066" w:rsidTr="00F54663">
        <w:trPr>
          <w:trHeight w:val="264"/>
        </w:trPr>
        <w:tc>
          <w:tcPr>
            <w:tcW w:w="6959" w:type="dxa"/>
            <w:gridSpan w:val="2"/>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Vascular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13816 (21.1%)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[X]Vascular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11196 (17.1%)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e004.11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Multi infarct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915 (1.4%)</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e004.00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Arteriosclerotic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435 (0.7%)</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[X]Multi-infarct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274 (0.4%)</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[X]Arteriosclerotic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245 (0.4%)</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eu01z00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[X]Vascular dementia, unspecified</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245 (0.4%)</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eu01300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[X]Mixed cortical and subcortical vascular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202 (0.3%)</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e004z00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Arteriosclerotic dementia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119 (0.2%)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eu01y00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[X]Other vascular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66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[X]Subcortical vascular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56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lastRenderedPageBreak/>
              <w:t>eu01000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[X]Vascular dementia of acute onset</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18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e004000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Uncomplicated arteriosclerotic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17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e004300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Arteriosclerotic dementia with depression</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14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e004200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Arteriosclerotic dementia with paranoia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9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eu01111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[X]Predominantly cortical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5 (&lt;0.1%)</w:t>
            </w:r>
          </w:p>
        </w:tc>
      </w:tr>
      <w:tr w:rsidR="004275F9" w:rsidRPr="00E35066" w:rsidTr="00F54663">
        <w:trPr>
          <w:trHeight w:val="264"/>
        </w:trPr>
        <w:tc>
          <w:tcPr>
            <w:tcW w:w="6959" w:type="dxa"/>
            <w:gridSpan w:val="2"/>
            <w:tcBorders>
              <w:top w:val="nil"/>
              <w:left w:val="nil"/>
              <w:bottom w:val="nil"/>
              <w:right w:val="nil"/>
            </w:tcBorders>
            <w:shd w:val="clear" w:color="auto" w:fill="auto"/>
            <w:noWrap/>
            <w:vAlign w:val="bottom"/>
            <w:hideMark/>
          </w:tcPr>
          <w:p w:rsidR="004275F9" w:rsidRPr="003F385C" w:rsidRDefault="004275F9" w:rsidP="00F5466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Other</w:t>
            </w:r>
            <w:r w:rsidDel="00D71CC0">
              <w:rPr>
                <w:rFonts w:ascii="Arial" w:eastAsia="Times New Roman" w:hAnsi="Arial" w:cs="Arial"/>
                <w:b/>
                <w:sz w:val="20"/>
                <w:szCs w:val="20"/>
                <w:lang w:eastAsia="en-GB"/>
              </w:rPr>
              <w:t xml:space="preserve"> </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2541 (3.9%)</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eu02500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[X]Lewy body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528 (0.8%)</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eu02300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Parkinson's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412 (0.6%)</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eu00200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Alzheimer's dis, atypical or mixed type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400 (0.6%)</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e041.00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Dementia in conditions EC</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376 (0.6%)</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f116.00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Lewy body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335 (0.5%)</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other diseases classified elsewhere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190 (0.3%)</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e012.11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Alcoholic dementia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113 (0.2%)</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eu10711</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[X]Alcoholic dementia NOS</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76 (0.1%)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f111.00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Pick's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31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Huntington's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19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eu02y00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other specified diseases classif elsewhere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15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e012.00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Other alcoholic dementia</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14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eu02000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Pick's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13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Creutzfeldt-Jakob disease</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12 (&lt;0.1%)</w:t>
            </w:r>
          </w:p>
        </w:tc>
      </w:tr>
      <w:tr w:rsidR="004275F9" w:rsidRPr="00E35066" w:rsidTr="00F54663">
        <w:trPr>
          <w:trHeight w:val="264"/>
        </w:trPr>
        <w:tc>
          <w:tcPr>
            <w:tcW w:w="1339"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e004100</w:t>
            </w:r>
          </w:p>
        </w:tc>
        <w:tc>
          <w:tcPr>
            <w:tcW w:w="5620"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Arteriosclerotic dementia with delirium</w:t>
            </w:r>
          </w:p>
        </w:tc>
        <w:tc>
          <w:tcPr>
            <w:tcW w:w="1845" w:type="dxa"/>
            <w:tcBorders>
              <w:top w:val="nil"/>
              <w:left w:val="nil"/>
              <w:bottom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4 (&lt;0.1%)</w:t>
            </w:r>
          </w:p>
        </w:tc>
      </w:tr>
      <w:tr w:rsidR="004275F9" w:rsidRPr="00E35066" w:rsidTr="00F54663">
        <w:trPr>
          <w:trHeight w:val="264"/>
        </w:trPr>
        <w:tc>
          <w:tcPr>
            <w:tcW w:w="1339" w:type="dxa"/>
            <w:tcBorders>
              <w:top w:val="nil"/>
              <w:left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e02y100</w:t>
            </w:r>
          </w:p>
        </w:tc>
        <w:tc>
          <w:tcPr>
            <w:tcW w:w="5620" w:type="dxa"/>
            <w:tcBorders>
              <w:top w:val="nil"/>
              <w:left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Drug-induced dementia</w:t>
            </w:r>
          </w:p>
        </w:tc>
        <w:tc>
          <w:tcPr>
            <w:tcW w:w="1845" w:type="dxa"/>
            <w:tcBorders>
              <w:top w:val="nil"/>
              <w:left w:val="nil"/>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2 (&lt;0.1%)</w:t>
            </w:r>
          </w:p>
        </w:tc>
      </w:tr>
      <w:tr w:rsidR="004275F9" w:rsidRPr="00E35066" w:rsidTr="00F54663">
        <w:trPr>
          <w:trHeight w:val="264"/>
        </w:trPr>
        <w:tc>
          <w:tcPr>
            <w:tcW w:w="1339" w:type="dxa"/>
            <w:tcBorders>
              <w:top w:val="nil"/>
              <w:left w:val="nil"/>
              <w:bottom w:val="single" w:sz="4" w:space="0" w:color="auto"/>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eu02400</w:t>
            </w:r>
          </w:p>
        </w:tc>
        <w:tc>
          <w:tcPr>
            <w:tcW w:w="5620" w:type="dxa"/>
            <w:tcBorders>
              <w:top w:val="nil"/>
              <w:left w:val="nil"/>
              <w:bottom w:val="single" w:sz="4" w:space="0" w:color="auto"/>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[X]Dementia in human immunodef virus [HIV] disease</w:t>
            </w:r>
          </w:p>
        </w:tc>
        <w:tc>
          <w:tcPr>
            <w:tcW w:w="1845" w:type="dxa"/>
            <w:tcBorders>
              <w:top w:val="nil"/>
              <w:left w:val="nil"/>
              <w:bottom w:val="single" w:sz="4" w:space="0" w:color="auto"/>
              <w:right w:val="nil"/>
            </w:tcBorders>
            <w:shd w:val="clear" w:color="auto" w:fill="auto"/>
            <w:noWrap/>
            <w:vAlign w:val="bottom"/>
            <w:hideMark/>
          </w:tcPr>
          <w:p w:rsidR="004275F9" w:rsidRPr="00E35066" w:rsidRDefault="004275F9" w:rsidP="00F54663">
            <w:pPr>
              <w:spacing w:after="0" w:line="240" w:lineRule="auto"/>
              <w:rPr>
                <w:rFonts w:ascii="Arial" w:eastAsia="Times New Roman" w:hAnsi="Arial" w:cs="Arial"/>
                <w:sz w:val="20"/>
                <w:szCs w:val="20"/>
                <w:lang w:eastAsia="en-GB"/>
              </w:rPr>
            </w:pPr>
            <w:r w:rsidRPr="00E35066">
              <w:rPr>
                <w:rFonts w:ascii="Arial" w:eastAsia="Times New Roman" w:hAnsi="Arial" w:cs="Arial"/>
                <w:sz w:val="20"/>
                <w:szCs w:val="20"/>
                <w:lang w:eastAsia="en-GB"/>
              </w:rPr>
              <w:t>1 (&lt;0.1%)</w:t>
            </w:r>
          </w:p>
        </w:tc>
      </w:tr>
    </w:tbl>
    <w:p w:rsidR="004275F9" w:rsidRDefault="004275F9" w:rsidP="004275F9">
      <w:pPr>
        <w:rPr>
          <w:b/>
        </w:rPr>
        <w:sectPr w:rsidR="004275F9" w:rsidSect="00A502A4">
          <w:pgSz w:w="11906" w:h="16838"/>
          <w:pgMar w:top="1440" w:right="1440" w:bottom="1440" w:left="1440" w:header="708" w:footer="708" w:gutter="0"/>
          <w:cols w:space="708"/>
          <w:docGrid w:linePitch="360"/>
        </w:sectPr>
      </w:pPr>
    </w:p>
    <w:p w:rsidR="004275F9" w:rsidRDefault="004275F9" w:rsidP="004275F9">
      <w:r>
        <w:rPr>
          <w:b/>
        </w:rPr>
        <w:lastRenderedPageBreak/>
        <w:t>Supplementary table 2</w:t>
      </w:r>
      <w:r>
        <w:t>:</w:t>
      </w:r>
      <w:r>
        <w:rPr>
          <w:b/>
        </w:rPr>
        <w:t xml:space="preserve"> </w:t>
      </w:r>
      <w:r>
        <w:t xml:space="preserve">Age and sex adjusted rate ratios per 10mmHg higher long-term average </w:t>
      </w:r>
      <w:r w:rsidRPr="000E6ABC">
        <w:rPr>
          <w:b/>
          <w:u w:val="single"/>
        </w:rPr>
        <w:t>diastolic BP</w:t>
      </w:r>
      <w:r>
        <w:t xml:space="preserve"> for dementia, Alzheimer’s disease and vascular dementia stratified by age-at-risk and time since baseline blood pressure  measurement </w:t>
      </w:r>
    </w:p>
    <w:tbl>
      <w:tblPr>
        <w:tblW w:w="14870" w:type="dxa"/>
        <w:tblInd w:w="108" w:type="dxa"/>
        <w:tblLook w:val="04A0" w:firstRow="1" w:lastRow="0" w:firstColumn="1" w:lastColumn="0" w:noHBand="0" w:noVBand="1"/>
      </w:tblPr>
      <w:tblGrid>
        <w:gridCol w:w="1072"/>
        <w:gridCol w:w="932"/>
        <w:gridCol w:w="1430"/>
        <w:gridCol w:w="2803"/>
        <w:gridCol w:w="393"/>
        <w:gridCol w:w="1059"/>
        <w:gridCol w:w="2694"/>
        <w:gridCol w:w="11"/>
        <w:gridCol w:w="440"/>
        <w:gridCol w:w="11"/>
        <w:gridCol w:w="1589"/>
        <w:gridCol w:w="2410"/>
        <w:gridCol w:w="26"/>
      </w:tblGrid>
      <w:tr w:rsidR="004275F9" w:rsidRPr="0048707D" w:rsidTr="00F54663">
        <w:trPr>
          <w:trHeight w:val="255"/>
        </w:trPr>
        <w:tc>
          <w:tcPr>
            <w:tcW w:w="1072" w:type="dxa"/>
            <w:tcBorders>
              <w:top w:val="single" w:sz="4" w:space="0" w:color="auto"/>
              <w:left w:val="nil"/>
              <w:bottom w:val="nil"/>
              <w:right w:val="nil"/>
            </w:tcBorders>
            <w:shd w:val="clear" w:color="auto" w:fill="auto"/>
            <w:noWrap/>
            <w:vAlign w:val="bottom"/>
            <w:hideMark/>
          </w:tcPr>
          <w:p w:rsidR="004275F9" w:rsidRPr="0048707D" w:rsidRDefault="004275F9" w:rsidP="00F54663">
            <w:pPr>
              <w:spacing w:after="0" w:line="240" w:lineRule="auto"/>
              <w:rPr>
                <w:rFonts w:ascii="Times New Roman" w:eastAsia="Times New Roman" w:hAnsi="Times New Roman" w:cs="Times New Roman"/>
                <w:sz w:val="24"/>
                <w:szCs w:val="24"/>
                <w:lang w:eastAsia="en-GB"/>
              </w:rPr>
            </w:pPr>
          </w:p>
        </w:tc>
        <w:tc>
          <w:tcPr>
            <w:tcW w:w="932" w:type="dxa"/>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Age at risk</w:t>
            </w:r>
          </w:p>
        </w:tc>
        <w:tc>
          <w:tcPr>
            <w:tcW w:w="4233" w:type="dxa"/>
            <w:gridSpan w:val="2"/>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0-5 years</w:t>
            </w:r>
          </w:p>
        </w:tc>
        <w:tc>
          <w:tcPr>
            <w:tcW w:w="393" w:type="dxa"/>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3764" w:type="dxa"/>
            <w:gridSpan w:val="3"/>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5-10 years</w:t>
            </w:r>
          </w:p>
        </w:tc>
        <w:tc>
          <w:tcPr>
            <w:tcW w:w="451" w:type="dxa"/>
            <w:gridSpan w:val="2"/>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4025" w:type="dxa"/>
            <w:gridSpan w:val="3"/>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10+ years</w:t>
            </w: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932" w:type="dxa"/>
            <w:tcBorders>
              <w:top w:val="nil"/>
              <w:left w:val="nil"/>
              <w:bottom w:val="nil"/>
              <w:right w:val="nil"/>
            </w:tcBorders>
            <w:shd w:val="clear" w:color="auto" w:fill="auto"/>
            <w:noWrap/>
            <w:hideMark/>
          </w:tcPr>
          <w:p w:rsidR="004275F9" w:rsidRPr="0048707D" w:rsidRDefault="004275F9" w:rsidP="00F54663">
            <w:pPr>
              <w:spacing w:after="0" w:line="240" w:lineRule="auto"/>
              <w:rPr>
                <w:rFonts w:ascii="Times New Roman" w:eastAsia="Times New Roman" w:hAnsi="Times New Roman" w:cs="Times New Roman"/>
                <w:sz w:val="20"/>
                <w:szCs w:val="20"/>
                <w:lang w:eastAsia="en-GB"/>
              </w:rPr>
            </w:pPr>
          </w:p>
        </w:tc>
        <w:tc>
          <w:tcPr>
            <w:tcW w:w="1430" w:type="dxa"/>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Events</w:t>
            </w:r>
          </w:p>
        </w:tc>
        <w:tc>
          <w:tcPr>
            <w:tcW w:w="2803" w:type="dxa"/>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48707D">
              <w:rPr>
                <w:rFonts w:ascii="Arial" w:eastAsia="Times New Roman" w:hAnsi="Arial" w:cs="Arial"/>
                <w:sz w:val="20"/>
                <w:szCs w:val="20"/>
                <w:lang w:eastAsia="en-GB"/>
              </w:rPr>
              <w:t xml:space="preserve"> ratio (95% CI)</w:t>
            </w:r>
          </w:p>
        </w:tc>
        <w:tc>
          <w:tcPr>
            <w:tcW w:w="393" w:type="dxa"/>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Events</w:t>
            </w:r>
          </w:p>
        </w:tc>
        <w:tc>
          <w:tcPr>
            <w:tcW w:w="2694" w:type="dxa"/>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48707D">
              <w:rPr>
                <w:rFonts w:ascii="Arial" w:eastAsia="Times New Roman" w:hAnsi="Arial" w:cs="Arial"/>
                <w:sz w:val="20"/>
                <w:szCs w:val="20"/>
                <w:lang w:eastAsia="en-GB"/>
              </w:rPr>
              <w:t xml:space="preserve"> ratio (95% CI)</w:t>
            </w:r>
          </w:p>
        </w:tc>
        <w:tc>
          <w:tcPr>
            <w:tcW w:w="451" w:type="dxa"/>
            <w:gridSpan w:val="2"/>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Events</w:t>
            </w:r>
          </w:p>
        </w:tc>
        <w:tc>
          <w:tcPr>
            <w:tcW w:w="2410" w:type="dxa"/>
            <w:tcBorders>
              <w:top w:val="single" w:sz="4" w:space="0" w:color="auto"/>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48707D">
              <w:rPr>
                <w:rFonts w:ascii="Arial" w:eastAsia="Times New Roman" w:hAnsi="Arial" w:cs="Arial"/>
                <w:sz w:val="20"/>
                <w:szCs w:val="20"/>
                <w:lang w:eastAsia="en-GB"/>
              </w:rPr>
              <w:t xml:space="preserve"> ratio (95% CI)</w:t>
            </w: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d</w:t>
            </w:r>
            <w:r w:rsidRPr="0048707D">
              <w:rPr>
                <w:rFonts w:ascii="Arial" w:eastAsia="Times New Roman" w:hAnsi="Arial" w:cs="Arial"/>
                <w:sz w:val="20"/>
                <w:szCs w:val="20"/>
                <w:lang w:eastAsia="en-GB"/>
              </w:rPr>
              <w:t>ementia</w:t>
            </w:r>
          </w:p>
        </w:tc>
        <w:tc>
          <w:tcPr>
            <w:tcW w:w="93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p>
        </w:tc>
        <w:tc>
          <w:tcPr>
            <w:tcW w:w="1430" w:type="dxa"/>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rPr>
                <w:rFonts w:ascii="Times New Roman" w:eastAsia="Times New Roman" w:hAnsi="Times New Roman" w:cs="Times New Roman"/>
                <w:sz w:val="20"/>
                <w:szCs w:val="20"/>
                <w:lang w:eastAsia="en-GB"/>
              </w:rPr>
            </w:pPr>
          </w:p>
        </w:tc>
        <w:tc>
          <w:tcPr>
            <w:tcW w:w="2803" w:type="dxa"/>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393" w:type="dxa"/>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1059" w:type="dxa"/>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2694" w:type="dxa"/>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451" w:type="dxa"/>
            <w:gridSpan w:val="2"/>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1600" w:type="dxa"/>
            <w:gridSpan w:val="2"/>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2410" w:type="dxa"/>
            <w:tcBorders>
              <w:top w:val="single" w:sz="4" w:space="0" w:color="auto"/>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r>
      <w:tr w:rsidR="004275F9" w:rsidRPr="00483F74"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contextualSpacing/>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shd w:val="clear" w:color="auto" w:fill="auto"/>
            <w:noWrap/>
            <w:vAlign w:val="bottom"/>
            <w:hideMark/>
          </w:tcPr>
          <w:p w:rsidR="004275F9" w:rsidRPr="00810F52" w:rsidRDefault="004275F9" w:rsidP="00F54663">
            <w:pPr>
              <w:spacing w:after="0" w:line="240" w:lineRule="auto"/>
              <w:contextualSpacing/>
              <w:jc w:val="center"/>
              <w:rPr>
                <w:rFonts w:ascii="Arial" w:eastAsia="Times New Roman" w:hAnsi="Arial" w:cs="Arial"/>
                <w:sz w:val="20"/>
                <w:szCs w:val="20"/>
                <w:lang w:eastAsia="en-GB"/>
              </w:rPr>
            </w:pPr>
            <w:r w:rsidRPr="00810F52">
              <w:rPr>
                <w:rFonts w:ascii="Arial" w:eastAsia="Times New Roman" w:hAnsi="Arial" w:cs="Arial"/>
                <w:sz w:val="20"/>
                <w:szCs w:val="20"/>
                <w:lang w:eastAsia="en-GB"/>
              </w:rPr>
              <w:t>&lt;70</w:t>
            </w:r>
          </w:p>
        </w:tc>
        <w:tc>
          <w:tcPr>
            <w:tcW w:w="143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2245</w:t>
            </w:r>
          </w:p>
        </w:tc>
        <w:tc>
          <w:tcPr>
            <w:tcW w:w="2803"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0.757 (0.689 to 0.831)</w:t>
            </w:r>
          </w:p>
        </w:tc>
        <w:tc>
          <w:tcPr>
            <w:tcW w:w="393" w:type="dxa"/>
            <w:tcBorders>
              <w:top w:val="nil"/>
              <w:left w:val="nil"/>
              <w:bottom w:val="nil"/>
              <w:right w:val="nil"/>
            </w:tcBorders>
            <w:shd w:val="clear" w:color="auto" w:fill="auto"/>
            <w:noWrap/>
            <w:hideMark/>
          </w:tcPr>
          <w:p w:rsidR="004275F9" w:rsidRPr="00483F74" w:rsidRDefault="004275F9" w:rsidP="00F54663">
            <w:pPr>
              <w:spacing w:after="0" w:line="240" w:lineRule="auto"/>
              <w:contextualSpacing/>
              <w:jc w:val="center"/>
              <w:rPr>
                <w:rFonts w:ascii="Arial" w:eastAsia="Times New Roman" w:hAnsi="Arial" w:cs="Arial"/>
                <w:sz w:val="20"/>
                <w:szCs w:val="20"/>
                <w:highlight w:val="yellow"/>
                <w:lang w:eastAsia="en-GB"/>
              </w:rPr>
            </w:pPr>
          </w:p>
        </w:tc>
        <w:tc>
          <w:tcPr>
            <w:tcW w:w="1059"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1762</w:t>
            </w:r>
          </w:p>
        </w:tc>
        <w:tc>
          <w:tcPr>
            <w:tcW w:w="2694"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0.807 (0.727 to 0.895)</w:t>
            </w:r>
          </w:p>
        </w:tc>
        <w:tc>
          <w:tcPr>
            <w:tcW w:w="451"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p>
        </w:tc>
        <w:tc>
          <w:tcPr>
            <w:tcW w:w="1600"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1450</w:t>
            </w:r>
          </w:p>
        </w:tc>
        <w:tc>
          <w:tcPr>
            <w:tcW w:w="241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1.095 (0.980 to 1.224)</w:t>
            </w:r>
          </w:p>
        </w:tc>
      </w:tr>
      <w:tr w:rsidR="004275F9" w:rsidRPr="00483F74"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3F74" w:rsidRDefault="004275F9" w:rsidP="00F54663">
            <w:pPr>
              <w:spacing w:after="0" w:line="240" w:lineRule="auto"/>
              <w:contextualSpacing/>
              <w:jc w:val="center"/>
              <w:rPr>
                <w:rFonts w:ascii="Arial" w:eastAsia="Times New Roman" w:hAnsi="Arial" w:cs="Arial"/>
                <w:sz w:val="20"/>
                <w:szCs w:val="20"/>
                <w:highlight w:val="yellow"/>
                <w:lang w:eastAsia="en-GB"/>
              </w:rPr>
            </w:pPr>
          </w:p>
        </w:tc>
        <w:tc>
          <w:tcPr>
            <w:tcW w:w="932" w:type="dxa"/>
            <w:tcBorders>
              <w:top w:val="nil"/>
              <w:left w:val="nil"/>
              <w:bottom w:val="nil"/>
              <w:right w:val="nil"/>
            </w:tcBorders>
            <w:shd w:val="clear" w:color="auto" w:fill="auto"/>
            <w:noWrap/>
            <w:vAlign w:val="bottom"/>
            <w:hideMark/>
          </w:tcPr>
          <w:p w:rsidR="004275F9" w:rsidRPr="00810F52" w:rsidRDefault="004275F9" w:rsidP="00F54663">
            <w:pPr>
              <w:spacing w:after="0" w:line="240" w:lineRule="auto"/>
              <w:contextualSpacing/>
              <w:jc w:val="center"/>
              <w:rPr>
                <w:rFonts w:ascii="Arial" w:eastAsia="Times New Roman" w:hAnsi="Arial" w:cs="Arial"/>
                <w:sz w:val="20"/>
                <w:szCs w:val="20"/>
                <w:lang w:eastAsia="en-GB"/>
              </w:rPr>
            </w:pPr>
            <w:r w:rsidRPr="00810F52">
              <w:rPr>
                <w:rFonts w:ascii="Arial" w:eastAsia="Times New Roman" w:hAnsi="Arial" w:cs="Arial"/>
                <w:sz w:val="20"/>
                <w:szCs w:val="20"/>
                <w:lang w:eastAsia="en-GB"/>
              </w:rPr>
              <w:t>70-84</w:t>
            </w:r>
          </w:p>
        </w:tc>
        <w:tc>
          <w:tcPr>
            <w:tcW w:w="143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13674</w:t>
            </w:r>
          </w:p>
        </w:tc>
        <w:tc>
          <w:tcPr>
            <w:tcW w:w="2803"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0.807 (0.778 to 0.838)</w:t>
            </w:r>
          </w:p>
        </w:tc>
        <w:tc>
          <w:tcPr>
            <w:tcW w:w="393" w:type="dxa"/>
            <w:tcBorders>
              <w:top w:val="nil"/>
              <w:left w:val="nil"/>
              <w:bottom w:val="nil"/>
              <w:right w:val="nil"/>
            </w:tcBorders>
            <w:shd w:val="clear" w:color="auto" w:fill="auto"/>
            <w:noWrap/>
            <w:hideMark/>
          </w:tcPr>
          <w:p w:rsidR="004275F9" w:rsidRPr="00483F74" w:rsidRDefault="004275F9" w:rsidP="00F54663">
            <w:pPr>
              <w:spacing w:after="0" w:line="240" w:lineRule="auto"/>
              <w:contextualSpacing/>
              <w:jc w:val="center"/>
              <w:rPr>
                <w:rFonts w:ascii="Arial" w:eastAsia="Times New Roman" w:hAnsi="Arial" w:cs="Arial"/>
                <w:sz w:val="20"/>
                <w:szCs w:val="20"/>
                <w:highlight w:val="yellow"/>
                <w:lang w:eastAsia="en-GB"/>
              </w:rPr>
            </w:pPr>
          </w:p>
        </w:tc>
        <w:tc>
          <w:tcPr>
            <w:tcW w:w="1059"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12445</w:t>
            </w:r>
          </w:p>
        </w:tc>
        <w:tc>
          <w:tcPr>
            <w:tcW w:w="2694"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0.875 (0.841 to 0.910)</w:t>
            </w:r>
          </w:p>
        </w:tc>
        <w:tc>
          <w:tcPr>
            <w:tcW w:w="451"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p>
        </w:tc>
        <w:tc>
          <w:tcPr>
            <w:tcW w:w="1600"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12125</w:t>
            </w:r>
          </w:p>
        </w:tc>
        <w:tc>
          <w:tcPr>
            <w:tcW w:w="241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0.951 (0.913 to 0.990)</w:t>
            </w:r>
          </w:p>
        </w:tc>
      </w:tr>
      <w:tr w:rsidR="004275F9" w:rsidRPr="00483F74"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3F74" w:rsidRDefault="004275F9" w:rsidP="00F54663">
            <w:pPr>
              <w:spacing w:after="0" w:line="240" w:lineRule="auto"/>
              <w:contextualSpacing/>
              <w:jc w:val="center"/>
              <w:rPr>
                <w:rFonts w:ascii="Arial" w:eastAsia="Times New Roman" w:hAnsi="Arial" w:cs="Arial"/>
                <w:sz w:val="20"/>
                <w:szCs w:val="20"/>
                <w:highlight w:val="yellow"/>
                <w:lang w:eastAsia="en-GB"/>
              </w:rPr>
            </w:pPr>
          </w:p>
        </w:tc>
        <w:tc>
          <w:tcPr>
            <w:tcW w:w="932" w:type="dxa"/>
            <w:tcBorders>
              <w:top w:val="nil"/>
              <w:left w:val="nil"/>
              <w:bottom w:val="nil"/>
              <w:right w:val="nil"/>
            </w:tcBorders>
            <w:shd w:val="clear" w:color="auto" w:fill="auto"/>
            <w:noWrap/>
            <w:vAlign w:val="bottom"/>
            <w:hideMark/>
          </w:tcPr>
          <w:p w:rsidR="004275F9" w:rsidRPr="00810F52" w:rsidRDefault="004275F9" w:rsidP="00F54663">
            <w:pPr>
              <w:spacing w:after="0" w:line="240" w:lineRule="auto"/>
              <w:contextualSpacing/>
              <w:jc w:val="center"/>
              <w:rPr>
                <w:rFonts w:ascii="Arial" w:eastAsia="Times New Roman" w:hAnsi="Arial" w:cs="Arial"/>
                <w:sz w:val="20"/>
                <w:szCs w:val="20"/>
                <w:lang w:eastAsia="en-GB"/>
              </w:rPr>
            </w:pPr>
            <w:r w:rsidRPr="00810F52">
              <w:rPr>
                <w:rFonts w:ascii="Arial" w:eastAsia="Times New Roman" w:hAnsi="Arial" w:cs="Arial"/>
                <w:sz w:val="20"/>
                <w:szCs w:val="20"/>
                <w:lang w:eastAsia="en-GB"/>
              </w:rPr>
              <w:t>85+</w:t>
            </w:r>
          </w:p>
        </w:tc>
        <w:tc>
          <w:tcPr>
            <w:tcW w:w="143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7651</w:t>
            </w:r>
          </w:p>
        </w:tc>
        <w:tc>
          <w:tcPr>
            <w:tcW w:w="2803"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0.818 (0.780 to 0.858)</w:t>
            </w:r>
          </w:p>
        </w:tc>
        <w:tc>
          <w:tcPr>
            <w:tcW w:w="393" w:type="dxa"/>
            <w:tcBorders>
              <w:top w:val="nil"/>
              <w:left w:val="nil"/>
              <w:bottom w:val="nil"/>
              <w:right w:val="nil"/>
            </w:tcBorders>
            <w:shd w:val="clear" w:color="auto" w:fill="auto"/>
            <w:noWrap/>
            <w:hideMark/>
          </w:tcPr>
          <w:p w:rsidR="004275F9" w:rsidRPr="00483F74" w:rsidRDefault="004275F9" w:rsidP="00F54663">
            <w:pPr>
              <w:spacing w:after="0" w:line="240" w:lineRule="auto"/>
              <w:contextualSpacing/>
              <w:jc w:val="center"/>
              <w:rPr>
                <w:rFonts w:ascii="Arial" w:eastAsia="Times New Roman" w:hAnsi="Arial" w:cs="Arial"/>
                <w:sz w:val="20"/>
                <w:szCs w:val="20"/>
                <w:highlight w:val="yellow"/>
                <w:lang w:eastAsia="en-GB"/>
              </w:rPr>
            </w:pPr>
          </w:p>
        </w:tc>
        <w:tc>
          <w:tcPr>
            <w:tcW w:w="1059"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6602</w:t>
            </w:r>
          </w:p>
        </w:tc>
        <w:tc>
          <w:tcPr>
            <w:tcW w:w="2694"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0.877 (0.832 to 0.925)</w:t>
            </w:r>
          </w:p>
        </w:tc>
        <w:tc>
          <w:tcPr>
            <w:tcW w:w="451"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p>
        </w:tc>
        <w:tc>
          <w:tcPr>
            <w:tcW w:w="1600"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7564</w:t>
            </w:r>
          </w:p>
        </w:tc>
        <w:tc>
          <w:tcPr>
            <w:tcW w:w="241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0.910 (0.865 to 0.958)</w:t>
            </w: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3F74" w:rsidRDefault="004275F9" w:rsidP="00F54663">
            <w:pPr>
              <w:spacing w:after="0" w:line="240" w:lineRule="auto"/>
              <w:contextualSpacing/>
              <w:jc w:val="center"/>
              <w:rPr>
                <w:rFonts w:ascii="Arial" w:eastAsia="Times New Roman" w:hAnsi="Arial" w:cs="Arial"/>
                <w:sz w:val="20"/>
                <w:szCs w:val="20"/>
                <w:highlight w:val="yellow"/>
                <w:lang w:eastAsia="en-GB"/>
              </w:rPr>
            </w:pPr>
          </w:p>
        </w:tc>
        <w:tc>
          <w:tcPr>
            <w:tcW w:w="932" w:type="dxa"/>
            <w:tcBorders>
              <w:top w:val="nil"/>
              <w:left w:val="nil"/>
              <w:bottom w:val="nil"/>
              <w:right w:val="nil"/>
            </w:tcBorders>
            <w:shd w:val="clear" w:color="auto" w:fill="auto"/>
            <w:noWrap/>
            <w:vAlign w:val="bottom"/>
            <w:hideMark/>
          </w:tcPr>
          <w:p w:rsidR="004275F9" w:rsidRPr="00810F52" w:rsidRDefault="004275F9" w:rsidP="00F54663">
            <w:pPr>
              <w:spacing w:after="0" w:line="240" w:lineRule="auto"/>
              <w:contextualSpacing/>
              <w:jc w:val="center"/>
              <w:rPr>
                <w:rFonts w:ascii="Arial" w:eastAsia="Times New Roman" w:hAnsi="Arial" w:cs="Arial"/>
                <w:sz w:val="20"/>
                <w:szCs w:val="20"/>
                <w:lang w:eastAsia="en-GB"/>
              </w:rPr>
            </w:pPr>
            <w:r w:rsidRPr="00810F52">
              <w:rPr>
                <w:rFonts w:ascii="Arial" w:eastAsia="Times New Roman" w:hAnsi="Arial" w:cs="Arial"/>
                <w:sz w:val="20"/>
                <w:szCs w:val="20"/>
                <w:lang w:eastAsia="en-GB"/>
              </w:rPr>
              <w:t>Overall</w:t>
            </w:r>
          </w:p>
        </w:tc>
        <w:tc>
          <w:tcPr>
            <w:tcW w:w="143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23570</w:t>
            </w:r>
          </w:p>
        </w:tc>
        <w:tc>
          <w:tcPr>
            <w:tcW w:w="2803"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0.806 (0.784 to 0.829)</w:t>
            </w:r>
          </w:p>
        </w:tc>
        <w:tc>
          <w:tcPr>
            <w:tcW w:w="393" w:type="dxa"/>
            <w:tcBorders>
              <w:top w:val="nil"/>
              <w:left w:val="nil"/>
              <w:bottom w:val="nil"/>
              <w:right w:val="nil"/>
            </w:tcBorders>
            <w:shd w:val="clear" w:color="auto" w:fill="auto"/>
            <w:noWrap/>
            <w:hideMark/>
          </w:tcPr>
          <w:p w:rsidR="004275F9" w:rsidRPr="00483F74" w:rsidRDefault="004275F9" w:rsidP="00F54663">
            <w:pPr>
              <w:spacing w:after="0" w:line="240" w:lineRule="auto"/>
              <w:contextualSpacing/>
              <w:jc w:val="center"/>
              <w:rPr>
                <w:rFonts w:ascii="Arial" w:eastAsia="Times New Roman" w:hAnsi="Arial" w:cs="Arial"/>
                <w:sz w:val="20"/>
                <w:szCs w:val="20"/>
                <w:highlight w:val="yellow"/>
                <w:lang w:eastAsia="en-GB"/>
              </w:rPr>
            </w:pPr>
          </w:p>
        </w:tc>
        <w:tc>
          <w:tcPr>
            <w:tcW w:w="1059"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20809</w:t>
            </w:r>
          </w:p>
        </w:tc>
        <w:tc>
          <w:tcPr>
            <w:tcW w:w="2694"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0.871 (0.845 to 0.898)</w:t>
            </w:r>
          </w:p>
        </w:tc>
        <w:tc>
          <w:tcPr>
            <w:tcW w:w="451"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p>
        </w:tc>
        <w:tc>
          <w:tcPr>
            <w:tcW w:w="1600" w:type="dxa"/>
            <w:gridSpan w:val="2"/>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21139</w:t>
            </w:r>
          </w:p>
        </w:tc>
        <w:tc>
          <w:tcPr>
            <w:tcW w:w="2410" w:type="dxa"/>
            <w:tcBorders>
              <w:top w:val="nil"/>
              <w:left w:val="nil"/>
              <w:bottom w:val="nil"/>
              <w:right w:val="nil"/>
            </w:tcBorders>
            <w:shd w:val="clear" w:color="auto" w:fill="auto"/>
            <w:noWrap/>
            <w:vAlign w:val="bottom"/>
            <w:hideMark/>
          </w:tcPr>
          <w:p w:rsidR="004275F9" w:rsidRDefault="004275F9" w:rsidP="00F54663">
            <w:pPr>
              <w:spacing w:after="0"/>
              <w:contextualSpacing/>
              <w:jc w:val="center"/>
              <w:rPr>
                <w:rFonts w:ascii="Calibri" w:hAnsi="Calibri" w:cs="Calibri"/>
                <w:color w:val="000000"/>
              </w:rPr>
            </w:pPr>
            <w:r>
              <w:rPr>
                <w:rFonts w:ascii="Calibri" w:hAnsi="Calibri" w:cs="Calibri"/>
                <w:color w:val="000000"/>
              </w:rPr>
              <w:t>0.948 (0.919 to 0.977)</w:t>
            </w:r>
          </w:p>
        </w:tc>
      </w:tr>
      <w:tr w:rsidR="004275F9" w:rsidRPr="0048707D" w:rsidTr="00F54663">
        <w:trPr>
          <w:gridAfter w:val="1"/>
          <w:wAfter w:w="26" w:type="dxa"/>
          <w:trHeight w:val="255"/>
        </w:trPr>
        <w:tc>
          <w:tcPr>
            <w:tcW w:w="2004" w:type="dxa"/>
            <w:gridSpan w:val="2"/>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Alzheimer's</w:t>
            </w:r>
            <w:r>
              <w:rPr>
                <w:rFonts w:ascii="Arial" w:eastAsia="Times New Roman" w:hAnsi="Arial" w:cs="Arial"/>
                <w:sz w:val="20"/>
                <w:szCs w:val="20"/>
                <w:lang w:eastAsia="en-GB"/>
              </w:rPr>
              <w:t xml:space="preserve"> disease</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rPr>
                <w:rFonts w:ascii="Arial" w:eastAsia="Times New Roman" w:hAnsi="Arial" w:cs="Arial"/>
                <w:sz w:val="20"/>
                <w:szCs w:val="20"/>
                <w:lang w:eastAsia="en-GB"/>
              </w:rPr>
            </w:pP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&lt;70</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1703</w:t>
            </w: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0.725 (0.651 to 0.807)</w:t>
            </w: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1308</w:t>
            </w: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0.768 (0.680 to 0.868)</w:t>
            </w: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996</w:t>
            </w: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0.984 (0.859 to 1.127)</w:t>
            </w: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93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70-84</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10785</w:t>
            </w: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0.797 (0.765 to 0.831)</w:t>
            </w: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9035</w:t>
            </w: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0.878 (0.838 to 0.919)</w:t>
            </w: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8497</w:t>
            </w: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0.912 (0.869 to 0.957)</w:t>
            </w: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93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85+</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6310</w:t>
            </w: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0.804 (0.763 to 0.847)</w:t>
            </w: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5037</w:t>
            </w: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0.843 (0.793 to 0.896)</w:t>
            </w: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5490</w:t>
            </w: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0.877 (0.826 to 0.931)</w:t>
            </w: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93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Overall</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18798</w:t>
            </w: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0.792 (0.768 to 0.817)</w:t>
            </w: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15380</w:t>
            </w: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0.858 (0.828 to 0.889)</w:t>
            </w: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14983</w:t>
            </w: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0.905 (0.873 to 0.938)</w:t>
            </w:r>
          </w:p>
        </w:tc>
      </w:tr>
      <w:tr w:rsidR="004275F9" w:rsidRPr="0048707D" w:rsidTr="00F54663">
        <w:trPr>
          <w:gridAfter w:val="1"/>
          <w:wAfter w:w="26" w:type="dxa"/>
          <w:trHeight w:val="255"/>
        </w:trPr>
        <w:tc>
          <w:tcPr>
            <w:tcW w:w="2004" w:type="dxa"/>
            <w:gridSpan w:val="2"/>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Vascular dementia</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rPr>
                <w:rFonts w:ascii="Arial" w:eastAsia="Times New Roman" w:hAnsi="Arial" w:cs="Arial"/>
                <w:sz w:val="20"/>
                <w:szCs w:val="20"/>
                <w:lang w:eastAsia="en-GB"/>
              </w:rPr>
            </w:pP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&lt;70</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348</w:t>
            </w: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1.033 (0.819 to 1.303)</w:t>
            </w: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301</w:t>
            </w: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0.983 (0.767 to 1.259)</w:t>
            </w: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314</w:t>
            </w: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1.425 (1.131 to 1.796)</w:t>
            </w:r>
          </w:p>
        </w:tc>
      </w:tr>
      <w:tr w:rsidR="004275F9" w:rsidRPr="0048707D" w:rsidTr="00F54663">
        <w:trPr>
          <w:gridAfter w:val="1"/>
          <w:wAfter w:w="26" w:type="dxa"/>
          <w:trHeight w:val="255"/>
        </w:trPr>
        <w:tc>
          <w:tcPr>
            <w:tcW w:w="107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932" w:type="dxa"/>
            <w:tcBorders>
              <w:top w:val="nil"/>
              <w:left w:val="nil"/>
              <w:bottom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70-84</w:t>
            </w:r>
          </w:p>
        </w:tc>
        <w:tc>
          <w:tcPr>
            <w:tcW w:w="143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2492</w:t>
            </w:r>
          </w:p>
        </w:tc>
        <w:tc>
          <w:tcPr>
            <w:tcW w:w="280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0.876 (0.803 to 0.955)</w:t>
            </w:r>
          </w:p>
        </w:tc>
        <w:tc>
          <w:tcPr>
            <w:tcW w:w="393"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2872</w:t>
            </w:r>
          </w:p>
        </w:tc>
        <w:tc>
          <w:tcPr>
            <w:tcW w:w="2694"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0.896 (0.825 to 0.972)</w:t>
            </w:r>
          </w:p>
        </w:tc>
        <w:tc>
          <w:tcPr>
            <w:tcW w:w="451"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3015</w:t>
            </w:r>
          </w:p>
        </w:tc>
        <w:tc>
          <w:tcPr>
            <w:tcW w:w="2410" w:type="dxa"/>
            <w:tcBorders>
              <w:top w:val="nil"/>
              <w:left w:val="nil"/>
              <w:bottom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1.061 (0.979 to 1.149)</w:t>
            </w:r>
          </w:p>
        </w:tc>
      </w:tr>
      <w:tr w:rsidR="004275F9" w:rsidRPr="0048707D" w:rsidTr="00F54663">
        <w:trPr>
          <w:gridAfter w:val="1"/>
          <w:wAfter w:w="26" w:type="dxa"/>
          <w:trHeight w:val="255"/>
        </w:trPr>
        <w:tc>
          <w:tcPr>
            <w:tcW w:w="1072" w:type="dxa"/>
            <w:tcBorders>
              <w:top w:val="nil"/>
              <w:left w:val="nil"/>
              <w:right w:val="nil"/>
            </w:tcBorders>
            <w:shd w:val="clear" w:color="auto" w:fill="auto"/>
            <w:noWrap/>
            <w:vAlign w:val="bottom"/>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932" w:type="dxa"/>
            <w:tcBorders>
              <w:top w:val="nil"/>
              <w:left w:val="nil"/>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85+</w:t>
            </w:r>
          </w:p>
        </w:tc>
        <w:tc>
          <w:tcPr>
            <w:tcW w:w="1430" w:type="dxa"/>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1210</w:t>
            </w:r>
          </w:p>
        </w:tc>
        <w:tc>
          <w:tcPr>
            <w:tcW w:w="2803" w:type="dxa"/>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0.911 (0.807 to 1.027)</w:t>
            </w:r>
          </w:p>
        </w:tc>
        <w:tc>
          <w:tcPr>
            <w:tcW w:w="393" w:type="dxa"/>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1415</w:t>
            </w:r>
          </w:p>
        </w:tc>
        <w:tc>
          <w:tcPr>
            <w:tcW w:w="2694" w:type="dxa"/>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1.014 (0.905 to 1.137)</w:t>
            </w:r>
          </w:p>
        </w:tc>
        <w:tc>
          <w:tcPr>
            <w:tcW w:w="451" w:type="dxa"/>
            <w:gridSpan w:val="2"/>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1849</w:t>
            </w:r>
          </w:p>
        </w:tc>
        <w:tc>
          <w:tcPr>
            <w:tcW w:w="2410" w:type="dxa"/>
            <w:tcBorders>
              <w:top w:val="nil"/>
              <w:left w:val="nil"/>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1.001 (0.904 to 1.109)</w:t>
            </w:r>
          </w:p>
        </w:tc>
      </w:tr>
      <w:tr w:rsidR="004275F9" w:rsidRPr="0048707D" w:rsidTr="00F54663">
        <w:trPr>
          <w:gridAfter w:val="1"/>
          <w:wAfter w:w="26" w:type="dxa"/>
          <w:trHeight w:val="255"/>
        </w:trPr>
        <w:tc>
          <w:tcPr>
            <w:tcW w:w="1072" w:type="dxa"/>
            <w:tcBorders>
              <w:top w:val="nil"/>
              <w:left w:val="nil"/>
              <w:bottom w:val="single" w:sz="4" w:space="0" w:color="auto"/>
              <w:right w:val="nil"/>
            </w:tcBorders>
            <w:shd w:val="clear" w:color="auto" w:fill="auto"/>
            <w:noWrap/>
            <w:vAlign w:val="bottom"/>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932" w:type="dxa"/>
            <w:tcBorders>
              <w:top w:val="nil"/>
              <w:left w:val="nil"/>
              <w:bottom w:val="single" w:sz="4" w:space="0" w:color="auto"/>
              <w:right w:val="nil"/>
            </w:tcBorders>
            <w:shd w:val="clear" w:color="auto" w:fill="auto"/>
            <w:noWrap/>
            <w:vAlign w:val="bottom"/>
            <w:hideMark/>
          </w:tcPr>
          <w:p w:rsidR="004275F9" w:rsidRPr="0048707D" w:rsidRDefault="004275F9" w:rsidP="00F54663">
            <w:pPr>
              <w:spacing w:after="0" w:line="240" w:lineRule="auto"/>
              <w:rPr>
                <w:rFonts w:ascii="Arial" w:eastAsia="Times New Roman" w:hAnsi="Arial" w:cs="Arial"/>
                <w:sz w:val="20"/>
                <w:szCs w:val="20"/>
                <w:lang w:eastAsia="en-GB"/>
              </w:rPr>
            </w:pPr>
            <w:r w:rsidRPr="0048707D">
              <w:rPr>
                <w:rFonts w:ascii="Arial" w:eastAsia="Times New Roman" w:hAnsi="Arial" w:cs="Arial"/>
                <w:sz w:val="20"/>
                <w:szCs w:val="20"/>
                <w:lang w:eastAsia="en-GB"/>
              </w:rPr>
              <w:t>Overall</w:t>
            </w:r>
          </w:p>
        </w:tc>
        <w:tc>
          <w:tcPr>
            <w:tcW w:w="1430" w:type="dxa"/>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4050</w:t>
            </w:r>
          </w:p>
        </w:tc>
        <w:tc>
          <w:tcPr>
            <w:tcW w:w="2803" w:type="dxa"/>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0.895 (0.837 to 0.958)</w:t>
            </w:r>
          </w:p>
        </w:tc>
        <w:tc>
          <w:tcPr>
            <w:tcW w:w="393" w:type="dxa"/>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059" w:type="dxa"/>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4588</w:t>
            </w:r>
          </w:p>
        </w:tc>
        <w:tc>
          <w:tcPr>
            <w:tcW w:w="2694" w:type="dxa"/>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0.937 (0.878 to 0.999)</w:t>
            </w:r>
          </w:p>
        </w:tc>
        <w:tc>
          <w:tcPr>
            <w:tcW w:w="451" w:type="dxa"/>
            <w:gridSpan w:val="2"/>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p>
        </w:tc>
        <w:tc>
          <w:tcPr>
            <w:tcW w:w="1600" w:type="dxa"/>
            <w:gridSpan w:val="2"/>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5178</w:t>
            </w:r>
          </w:p>
        </w:tc>
        <w:tc>
          <w:tcPr>
            <w:tcW w:w="2410" w:type="dxa"/>
            <w:tcBorders>
              <w:top w:val="nil"/>
              <w:left w:val="nil"/>
              <w:bottom w:val="single" w:sz="4" w:space="0" w:color="auto"/>
              <w:right w:val="nil"/>
            </w:tcBorders>
            <w:shd w:val="clear" w:color="auto" w:fill="auto"/>
            <w:noWrap/>
            <w:hideMark/>
          </w:tcPr>
          <w:p w:rsidR="004275F9" w:rsidRPr="0048707D" w:rsidRDefault="004275F9" w:rsidP="00F54663">
            <w:pPr>
              <w:spacing w:after="0" w:line="240" w:lineRule="auto"/>
              <w:jc w:val="center"/>
              <w:rPr>
                <w:rFonts w:ascii="Arial" w:eastAsia="Times New Roman" w:hAnsi="Arial" w:cs="Arial"/>
                <w:sz w:val="20"/>
                <w:szCs w:val="20"/>
                <w:lang w:eastAsia="en-GB"/>
              </w:rPr>
            </w:pPr>
            <w:r w:rsidRPr="0048707D">
              <w:rPr>
                <w:rFonts w:ascii="Arial" w:eastAsia="Times New Roman" w:hAnsi="Arial" w:cs="Arial"/>
                <w:sz w:val="20"/>
                <w:szCs w:val="20"/>
                <w:lang w:eastAsia="en-GB"/>
              </w:rPr>
              <w:t>1.061 (0.998 to 1.127)</w:t>
            </w:r>
          </w:p>
        </w:tc>
      </w:tr>
    </w:tbl>
    <w:p w:rsidR="004275F9" w:rsidRDefault="004275F9" w:rsidP="004275F9">
      <w:pPr>
        <w:rPr>
          <w:b/>
        </w:rPr>
      </w:pPr>
    </w:p>
    <w:p w:rsidR="004275F9" w:rsidRDefault="004275F9" w:rsidP="004275F9">
      <w:pPr>
        <w:rPr>
          <w:b/>
        </w:rPr>
      </w:pPr>
    </w:p>
    <w:p w:rsidR="004275F9" w:rsidRDefault="004275F9" w:rsidP="004275F9">
      <w:pPr>
        <w:rPr>
          <w:b/>
        </w:rPr>
        <w:sectPr w:rsidR="004275F9" w:rsidSect="0048707D">
          <w:pgSz w:w="16838" w:h="11906" w:orient="landscape"/>
          <w:pgMar w:top="1440" w:right="1440" w:bottom="1440" w:left="1440" w:header="708" w:footer="708" w:gutter="0"/>
          <w:cols w:space="708"/>
          <w:docGrid w:linePitch="360"/>
        </w:sectPr>
      </w:pPr>
      <w:r>
        <w:rPr>
          <w:b/>
        </w:rPr>
        <w:tab/>
      </w:r>
    </w:p>
    <w:p w:rsidR="004275F9" w:rsidRDefault="004275F9" w:rsidP="004275F9">
      <w:pPr>
        <w:ind w:left="-567"/>
      </w:pPr>
      <w:r>
        <w:rPr>
          <w:b/>
        </w:rPr>
        <w:lastRenderedPageBreak/>
        <w:t xml:space="preserve">Supplementary Table 3: </w:t>
      </w:r>
      <w:r>
        <w:t xml:space="preserve"> Rate ratios of systolic blood pressure with dementia with varying degrees of statistical adjustment in </w:t>
      </w:r>
      <w:r w:rsidRPr="008F24D0">
        <w:t>2</w:t>
      </w:r>
      <w:r>
        <w:t>,</w:t>
      </w:r>
      <w:r w:rsidRPr="008F24D0">
        <w:t>324</w:t>
      </w:r>
      <w:r>
        <w:t>,</w:t>
      </w:r>
      <w:r w:rsidRPr="008F24D0">
        <w:t>605</w:t>
      </w:r>
      <w:r>
        <w:t xml:space="preserve"> patients with complete covariate information</w:t>
      </w:r>
    </w:p>
    <w:tbl>
      <w:tblPr>
        <w:tblpPr w:leftFromText="180" w:rightFromText="180" w:vertAnchor="text" w:horzAnchor="margin" w:tblpX="-459" w:tblpY="44"/>
        <w:tblW w:w="10545" w:type="dxa"/>
        <w:tblLook w:val="04A0" w:firstRow="1" w:lastRow="0" w:firstColumn="1" w:lastColumn="0" w:noHBand="0" w:noVBand="1"/>
      </w:tblPr>
      <w:tblGrid>
        <w:gridCol w:w="609"/>
        <w:gridCol w:w="1189"/>
        <w:gridCol w:w="960"/>
        <w:gridCol w:w="960"/>
        <w:gridCol w:w="2236"/>
        <w:gridCol w:w="2323"/>
        <w:gridCol w:w="2268"/>
      </w:tblGrid>
      <w:tr w:rsidR="004275F9" w:rsidRPr="00836F71" w:rsidTr="00F54663">
        <w:trPr>
          <w:trHeight w:val="510"/>
        </w:trPr>
        <w:tc>
          <w:tcPr>
            <w:tcW w:w="609" w:type="dxa"/>
            <w:tcBorders>
              <w:top w:val="single" w:sz="4" w:space="0" w:color="auto"/>
              <w:left w:val="nil"/>
              <w:bottom w:val="single" w:sz="4" w:space="0" w:color="auto"/>
              <w:right w:val="nil"/>
            </w:tcBorders>
            <w:shd w:val="clear" w:color="auto" w:fill="auto"/>
            <w:noWrap/>
          </w:tcPr>
          <w:p w:rsidR="004275F9" w:rsidRPr="00836F71" w:rsidRDefault="004275F9" w:rsidP="00F54663">
            <w:pPr>
              <w:spacing w:after="0" w:line="240" w:lineRule="auto"/>
              <w:rPr>
                <w:rFonts w:ascii="Times New Roman" w:eastAsia="Times New Roman" w:hAnsi="Times New Roman" w:cs="Times New Roman"/>
                <w:sz w:val="24"/>
                <w:szCs w:val="24"/>
                <w:lang w:eastAsia="en-GB"/>
              </w:rPr>
            </w:pPr>
          </w:p>
        </w:tc>
        <w:tc>
          <w:tcPr>
            <w:tcW w:w="1189" w:type="dxa"/>
            <w:tcBorders>
              <w:top w:val="single" w:sz="4" w:space="0" w:color="auto"/>
              <w:left w:val="nil"/>
              <w:bottom w:val="single" w:sz="4" w:space="0" w:color="auto"/>
              <w:right w:val="nil"/>
            </w:tcBorders>
            <w:shd w:val="clear" w:color="auto" w:fill="auto"/>
            <w:noWrap/>
          </w:tcPr>
          <w:p w:rsidR="004275F9" w:rsidRPr="00836F71" w:rsidRDefault="004275F9" w:rsidP="00F54663">
            <w:pPr>
              <w:spacing w:after="0" w:line="240" w:lineRule="auto"/>
              <w:rPr>
                <w:rFonts w:ascii="Arial" w:eastAsia="Times New Roman" w:hAnsi="Arial" w:cs="Arial"/>
                <w:sz w:val="20"/>
                <w:szCs w:val="20"/>
                <w:lang w:eastAsia="en-GB"/>
              </w:rPr>
            </w:pPr>
          </w:p>
        </w:tc>
        <w:tc>
          <w:tcPr>
            <w:tcW w:w="960" w:type="dxa"/>
            <w:tcBorders>
              <w:top w:val="single" w:sz="4" w:space="0" w:color="auto"/>
              <w:left w:val="nil"/>
              <w:bottom w:val="single" w:sz="4" w:space="0" w:color="auto"/>
              <w:right w:val="nil"/>
            </w:tcBorders>
            <w:shd w:val="clear" w:color="auto" w:fill="auto"/>
            <w:noWrap/>
          </w:tcPr>
          <w:p w:rsidR="004275F9" w:rsidRDefault="004275F9" w:rsidP="00F54663">
            <w:pPr>
              <w:spacing w:after="0" w:line="240" w:lineRule="auto"/>
              <w:rPr>
                <w:rFonts w:ascii="Arial" w:eastAsia="Times New Roman" w:hAnsi="Arial" w:cs="Arial"/>
                <w:sz w:val="20"/>
                <w:szCs w:val="20"/>
                <w:lang w:eastAsia="en-GB"/>
              </w:rPr>
            </w:pPr>
          </w:p>
        </w:tc>
        <w:tc>
          <w:tcPr>
            <w:tcW w:w="960" w:type="dxa"/>
            <w:tcBorders>
              <w:top w:val="single" w:sz="4" w:space="0" w:color="auto"/>
              <w:left w:val="nil"/>
              <w:bottom w:val="single" w:sz="4" w:space="0" w:color="auto"/>
              <w:right w:val="nil"/>
            </w:tcBorders>
            <w:shd w:val="clear" w:color="auto" w:fill="auto"/>
            <w:noWrap/>
          </w:tcPr>
          <w:p w:rsidR="004275F9" w:rsidRPr="00836F71" w:rsidRDefault="004275F9" w:rsidP="00F54663">
            <w:pPr>
              <w:spacing w:after="0" w:line="240" w:lineRule="auto"/>
              <w:rPr>
                <w:rFonts w:ascii="Arial" w:eastAsia="Times New Roman" w:hAnsi="Arial" w:cs="Arial"/>
                <w:sz w:val="20"/>
                <w:szCs w:val="20"/>
                <w:lang w:eastAsia="en-GB"/>
              </w:rPr>
            </w:pPr>
          </w:p>
        </w:tc>
        <w:tc>
          <w:tcPr>
            <w:tcW w:w="6827" w:type="dxa"/>
            <w:gridSpan w:val="3"/>
            <w:tcBorders>
              <w:top w:val="single" w:sz="4" w:space="0" w:color="auto"/>
              <w:left w:val="nil"/>
              <w:bottom w:val="single" w:sz="4" w:space="0" w:color="auto"/>
              <w:right w:val="nil"/>
            </w:tcBorders>
            <w:shd w:val="clear" w:color="auto" w:fill="auto"/>
            <w:noWrap/>
          </w:tcPr>
          <w:p w:rsidR="004275F9"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 ratio (95% CI)</w:t>
            </w:r>
          </w:p>
        </w:tc>
      </w:tr>
      <w:tr w:rsidR="004275F9" w:rsidRPr="00836F71" w:rsidTr="00F54663">
        <w:trPr>
          <w:trHeight w:val="510"/>
        </w:trPr>
        <w:tc>
          <w:tcPr>
            <w:tcW w:w="609" w:type="dxa"/>
            <w:tcBorders>
              <w:top w:val="single" w:sz="4" w:space="0" w:color="auto"/>
              <w:left w:val="nil"/>
              <w:bottom w:val="single" w:sz="4" w:space="0" w:color="auto"/>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4"/>
                <w:szCs w:val="24"/>
                <w:lang w:eastAsia="en-GB"/>
              </w:rPr>
            </w:pPr>
          </w:p>
        </w:tc>
        <w:tc>
          <w:tcPr>
            <w:tcW w:w="1189" w:type="dxa"/>
            <w:tcBorders>
              <w:top w:val="single" w:sz="4" w:space="0" w:color="auto"/>
              <w:left w:val="nil"/>
              <w:bottom w:val="single" w:sz="4" w:space="0" w:color="auto"/>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Period of follow up</w:t>
            </w:r>
          </w:p>
        </w:tc>
        <w:tc>
          <w:tcPr>
            <w:tcW w:w="960" w:type="dxa"/>
            <w:tcBorders>
              <w:top w:val="single" w:sz="4" w:space="0" w:color="auto"/>
              <w:left w:val="nil"/>
              <w:bottom w:val="single" w:sz="4" w:space="0" w:color="auto"/>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w:t>
            </w:r>
            <w:r w:rsidRPr="00836F71">
              <w:rPr>
                <w:rFonts w:ascii="Arial" w:eastAsia="Times New Roman" w:hAnsi="Arial" w:cs="Arial"/>
                <w:sz w:val="20"/>
                <w:szCs w:val="20"/>
                <w:lang w:eastAsia="en-GB"/>
              </w:rPr>
              <w:t>ge</w:t>
            </w:r>
            <w:r>
              <w:rPr>
                <w:rFonts w:ascii="Arial" w:eastAsia="Times New Roman" w:hAnsi="Arial" w:cs="Arial"/>
                <w:sz w:val="20"/>
                <w:szCs w:val="20"/>
                <w:lang w:eastAsia="en-GB"/>
              </w:rPr>
              <w:t xml:space="preserve"> at risk</w:t>
            </w:r>
          </w:p>
        </w:tc>
        <w:tc>
          <w:tcPr>
            <w:tcW w:w="960" w:type="dxa"/>
            <w:tcBorders>
              <w:top w:val="single" w:sz="4" w:space="0" w:color="auto"/>
              <w:left w:val="nil"/>
              <w:bottom w:val="single" w:sz="4" w:space="0" w:color="auto"/>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Events</w:t>
            </w:r>
          </w:p>
        </w:tc>
        <w:tc>
          <w:tcPr>
            <w:tcW w:w="2236" w:type="dxa"/>
            <w:tcBorders>
              <w:top w:val="single" w:sz="4" w:space="0" w:color="auto"/>
              <w:left w:val="nil"/>
              <w:bottom w:val="single" w:sz="4" w:space="0" w:color="auto"/>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Age and sex adjusted</w:t>
            </w:r>
          </w:p>
        </w:tc>
        <w:tc>
          <w:tcPr>
            <w:tcW w:w="2323" w:type="dxa"/>
            <w:tcBorders>
              <w:top w:val="single" w:sz="4" w:space="0" w:color="auto"/>
              <w:left w:val="nil"/>
              <w:bottom w:val="single" w:sz="4" w:space="0" w:color="auto"/>
              <w:right w:val="nil"/>
            </w:tcBorders>
            <w:shd w:val="clear" w:color="auto" w:fill="auto"/>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Age sex and BMI adjusted</w:t>
            </w:r>
          </w:p>
        </w:tc>
        <w:tc>
          <w:tcPr>
            <w:tcW w:w="2268" w:type="dxa"/>
            <w:tcBorders>
              <w:top w:val="single" w:sz="4" w:space="0" w:color="auto"/>
              <w:left w:val="nil"/>
              <w:bottom w:val="single" w:sz="4" w:space="0" w:color="auto"/>
              <w:right w:val="nil"/>
            </w:tcBorders>
            <w:shd w:val="clear" w:color="auto" w:fill="auto"/>
            <w:hideMark/>
          </w:tcPr>
          <w:p w:rsidR="004275F9" w:rsidRPr="00836F71"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Adjusted for 10 additional covariates*</w:t>
            </w:r>
          </w:p>
        </w:tc>
      </w:tr>
      <w:tr w:rsidR="004275F9" w:rsidRPr="00836F71" w:rsidTr="00F54663">
        <w:trPr>
          <w:trHeight w:val="255"/>
        </w:trPr>
        <w:tc>
          <w:tcPr>
            <w:tcW w:w="1798" w:type="dxa"/>
            <w:gridSpan w:val="2"/>
            <w:tcBorders>
              <w:top w:val="single" w:sz="4" w:space="0" w:color="auto"/>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All d</w:t>
            </w:r>
            <w:r w:rsidRPr="00836F71">
              <w:rPr>
                <w:rFonts w:ascii="Arial" w:eastAsia="Times New Roman" w:hAnsi="Arial" w:cs="Arial"/>
                <w:b/>
                <w:bCs/>
                <w:sz w:val="20"/>
                <w:szCs w:val="20"/>
                <w:lang w:eastAsia="en-GB"/>
              </w:rPr>
              <w:t>ementia</w:t>
            </w:r>
          </w:p>
        </w:tc>
        <w:tc>
          <w:tcPr>
            <w:tcW w:w="960" w:type="dxa"/>
            <w:tcBorders>
              <w:top w:val="single" w:sz="4" w:space="0" w:color="auto"/>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b/>
                <w:bCs/>
                <w:sz w:val="20"/>
                <w:szCs w:val="20"/>
                <w:lang w:eastAsia="en-GB"/>
              </w:rPr>
            </w:pPr>
          </w:p>
        </w:tc>
        <w:tc>
          <w:tcPr>
            <w:tcW w:w="960" w:type="dxa"/>
            <w:tcBorders>
              <w:top w:val="single" w:sz="4" w:space="0" w:color="auto"/>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2236" w:type="dxa"/>
            <w:tcBorders>
              <w:top w:val="single" w:sz="4" w:space="0" w:color="auto"/>
              <w:left w:val="nil"/>
              <w:bottom w:val="nil"/>
              <w:right w:val="nil"/>
            </w:tcBorders>
            <w:shd w:val="clear" w:color="auto" w:fill="auto"/>
            <w:noWrap/>
            <w:hideMark/>
          </w:tcPr>
          <w:p w:rsidR="004275F9" w:rsidRPr="00836F71" w:rsidRDefault="004275F9" w:rsidP="00F54663">
            <w:pPr>
              <w:spacing w:after="0" w:line="240" w:lineRule="auto"/>
              <w:jc w:val="center"/>
              <w:rPr>
                <w:rFonts w:ascii="Times New Roman" w:eastAsia="Times New Roman" w:hAnsi="Times New Roman" w:cs="Times New Roman"/>
                <w:sz w:val="20"/>
                <w:szCs w:val="20"/>
                <w:lang w:eastAsia="en-GB"/>
              </w:rPr>
            </w:pPr>
          </w:p>
        </w:tc>
        <w:tc>
          <w:tcPr>
            <w:tcW w:w="2323" w:type="dxa"/>
            <w:tcBorders>
              <w:top w:val="single" w:sz="4" w:space="0" w:color="auto"/>
              <w:left w:val="nil"/>
              <w:bottom w:val="nil"/>
              <w:right w:val="nil"/>
            </w:tcBorders>
            <w:shd w:val="clear" w:color="auto" w:fill="auto"/>
            <w:noWrap/>
            <w:hideMark/>
          </w:tcPr>
          <w:p w:rsidR="004275F9" w:rsidRPr="00836F71" w:rsidRDefault="004275F9" w:rsidP="00F54663">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uto"/>
              <w:left w:val="nil"/>
              <w:bottom w:val="nil"/>
              <w:right w:val="nil"/>
            </w:tcBorders>
            <w:shd w:val="clear" w:color="auto" w:fill="auto"/>
            <w:noWrap/>
            <w:hideMark/>
          </w:tcPr>
          <w:p w:rsidR="004275F9" w:rsidRPr="00836F71" w:rsidRDefault="004275F9" w:rsidP="00F54663">
            <w:pPr>
              <w:spacing w:after="0" w:line="240" w:lineRule="auto"/>
              <w:jc w:val="center"/>
              <w:rPr>
                <w:rFonts w:ascii="Times New Roman" w:eastAsia="Times New Roman" w:hAnsi="Times New Roman" w:cs="Times New Roman"/>
                <w:sz w:val="20"/>
                <w:szCs w:val="20"/>
                <w:lang w:eastAsia="en-GB"/>
              </w:rPr>
            </w:pP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0-5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1931</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0.857 (0.812 to 0.905)</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0.902 (0.854 to 0.953)</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0.903 (0.855 to 0.954)</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10602</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0.849 (0.831 to 0.868)</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0.870 (0.851 to 0.889)</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0.882 (0.863 to 0.902)</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4676</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0.838 (0.812 to 0.865)</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0.847 (0.821 to 0.875)</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0.855 (0.828 to 0.883)</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17209</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0.847 (0.832 to 0.861)</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0.866 (0.852 to 0.881)</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0.878 (0.863 to 0.893)</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5-10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1663</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0.949 (0.895 to 1.005)</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0.974 (0.919 to 1.033)</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0.969 (0.913 to 1.028)</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11300</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0.948 (0.928 to 0.968)</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0.963 (0.944 to 0.984)</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0.971 (0.951 to 0.992)</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5304</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0.927 (0.900 to 0.955)</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0.935 (0.908 to 0.963)</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0.942 (0.914 to 0.971)</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18267</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0.942 (0.927 to 0.958)</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0.956 (0.941 to 0.972)</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0.964 (0.948 to 0.980)</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10+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1419</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1.059 (0.995 to 1.127)</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1.064 (0.998 to 1.135)</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1.037 (0.972 to 1.106)</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11701</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0.993 (0.973 to 1.013)</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0.999 (0.979 to 1.020)</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0.997 (0.976 to 1.018)</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6932</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0.955 (0.930 to 0.980)</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0.962 (0.937 to 0.987)</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0.965 (0.939 to 0.990)</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20052</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0.984 (0.969 to 0.999)</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0.991 (0.975 to 1.006)</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0.991 (0.975 to 1.007)</w:t>
            </w:r>
          </w:p>
        </w:tc>
      </w:tr>
      <w:tr w:rsidR="004275F9" w:rsidRPr="00836F71" w:rsidTr="00F54663">
        <w:trPr>
          <w:trHeight w:val="255"/>
        </w:trPr>
        <w:tc>
          <w:tcPr>
            <w:tcW w:w="1798" w:type="dxa"/>
            <w:gridSpan w:val="2"/>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b/>
                <w:bCs/>
                <w:sz w:val="20"/>
                <w:szCs w:val="20"/>
                <w:lang w:eastAsia="en-GB"/>
              </w:rPr>
            </w:pPr>
            <w:r w:rsidRPr="00836F71">
              <w:rPr>
                <w:rFonts w:ascii="Arial" w:eastAsia="Times New Roman" w:hAnsi="Arial" w:cs="Arial"/>
                <w:b/>
                <w:bCs/>
                <w:sz w:val="20"/>
                <w:szCs w:val="20"/>
                <w:lang w:eastAsia="en-GB"/>
              </w:rPr>
              <w:t>Alzheimer</w:t>
            </w:r>
            <w:r>
              <w:rPr>
                <w:rFonts w:ascii="Arial" w:eastAsia="Times New Roman" w:hAnsi="Arial" w:cs="Arial"/>
                <w:b/>
                <w:bCs/>
                <w:sz w:val="20"/>
                <w:szCs w:val="20"/>
                <w:lang w:eastAsia="en-GB"/>
              </w:rPr>
              <w:t>’</w:t>
            </w:r>
            <w:r w:rsidRPr="00836F71">
              <w:rPr>
                <w:rFonts w:ascii="Arial" w:eastAsia="Times New Roman" w:hAnsi="Arial" w:cs="Arial"/>
                <w:b/>
                <w:bCs/>
                <w:sz w:val="20"/>
                <w:szCs w:val="20"/>
                <w:lang w:eastAsia="en-GB"/>
              </w:rPr>
              <w:t>s</w:t>
            </w:r>
            <w:r>
              <w:rPr>
                <w:rFonts w:ascii="Arial" w:eastAsia="Times New Roman" w:hAnsi="Arial" w:cs="Arial"/>
                <w:b/>
                <w:bCs/>
                <w:sz w:val="20"/>
                <w:szCs w:val="20"/>
                <w:lang w:eastAsia="en-GB"/>
              </w:rPr>
              <w:t xml:space="preserve"> disease</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Times New Roman" w:eastAsia="Times New Roman" w:hAnsi="Times New Roman" w:cs="Times New Roman"/>
                <w:sz w:val="20"/>
                <w:szCs w:val="20"/>
                <w:lang w:eastAsia="en-GB"/>
              </w:rPr>
            </w:pP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hideMark/>
          </w:tcPr>
          <w:p w:rsidR="004275F9" w:rsidRPr="001673F4" w:rsidRDefault="004275F9" w:rsidP="00F54663">
            <w:pPr>
              <w:spacing w:after="0" w:line="240" w:lineRule="auto"/>
              <w:jc w:val="center"/>
              <w:rPr>
                <w:rFonts w:ascii="Arial" w:eastAsia="Times New Roman" w:hAnsi="Arial" w:cs="Arial"/>
                <w:sz w:val="20"/>
                <w:szCs w:val="20"/>
                <w:lang w:eastAsia="en-GB"/>
              </w:rPr>
            </w:pP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0-5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1449</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0.857 (0.805 to 0.912)</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0.909 (0.854 to 0.968)</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0.909 (0.853 to 0.968)</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8216</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0.845 (0.824 to 0.866)</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0.867 (0.846 to 0.889)</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0.873 (0.852 to 0.896)</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3738</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0.829 (0.799 to 0.859)</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0.839 (0.809 to 0.869)</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0.843 (0.813 to 0.874)</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13403</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0.841 (0.825 to 0.857)</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0.862 (0.845 to 0.879)</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0.868 (0.851 to 0.885)</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5-10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1231</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0.906 (0.847 to 0.970)</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0.932 (0.869 to 0.998)</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0.936 (0.873 to 1.003)</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8157</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0.951 (0.928 to 0.974)</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0.970 (0.946 to 0.994)</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0.973 (0.949 to 0.997)</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3976</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0.918 (0.887 to 0.950)</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0.927 (0.895 to 0.959)</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0.929 (0.897 to 0.961)</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13364</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0.938 (0.920 to 0.956)</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0.954 (0.936 to 0.973)</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0.957 (0.939 to 0.976)</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10+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972</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0.975 (0.902 to 1.053)</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0.971 (0.896 to 1.051)</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0.951 (0.877 to 1.030)</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8198</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0.963 (0.939 to 0.986)</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0.973 (0.949 to 0.997)</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0.972 (0.948 to 0.997)</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5001</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0.941 (0.912 to 0.970)</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0.950 (0.921 to 0.980)</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0.952 (0.923 to 0.982)</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14171</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0.956 (0.938 to 0.974)</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0.966 (0.948 to 0.984)</w:t>
            </w:r>
          </w:p>
        </w:tc>
        <w:tc>
          <w:tcPr>
            <w:tcW w:w="2268" w:type="dxa"/>
            <w:tcBorders>
              <w:top w:val="nil"/>
              <w:left w:val="nil"/>
              <w:bottom w:val="nil"/>
              <w:right w:val="nil"/>
            </w:tcBorders>
            <w:shd w:val="clear" w:color="auto" w:fill="auto"/>
            <w:noWrap/>
            <w:hideMark/>
          </w:tcPr>
          <w:p w:rsidR="004275F9" w:rsidRPr="001673F4" w:rsidRDefault="004275F9" w:rsidP="00F54663">
            <w:pPr>
              <w:spacing w:line="240" w:lineRule="auto"/>
              <w:contextualSpacing/>
              <w:jc w:val="center"/>
              <w:rPr>
                <w:rFonts w:ascii="Arial" w:hAnsi="Arial" w:cs="Arial"/>
                <w:color w:val="000000"/>
                <w:sz w:val="20"/>
                <w:szCs w:val="20"/>
              </w:rPr>
            </w:pPr>
            <w:r w:rsidRPr="001673F4">
              <w:rPr>
                <w:rFonts w:ascii="Arial" w:hAnsi="Arial" w:cs="Arial"/>
                <w:color w:val="000000"/>
                <w:sz w:val="20"/>
                <w:szCs w:val="20"/>
              </w:rPr>
              <w:t>0.967 (0.949 to 0.985)</w:t>
            </w:r>
          </w:p>
        </w:tc>
      </w:tr>
      <w:tr w:rsidR="004275F9" w:rsidRPr="00836F71" w:rsidTr="00F54663">
        <w:trPr>
          <w:trHeight w:val="255"/>
        </w:trPr>
        <w:tc>
          <w:tcPr>
            <w:tcW w:w="1798" w:type="dxa"/>
            <w:gridSpan w:val="2"/>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Vascular</w:t>
            </w:r>
            <w:r w:rsidRPr="00836F71">
              <w:rPr>
                <w:rFonts w:ascii="Arial" w:eastAsia="Times New Roman" w:hAnsi="Arial" w:cs="Arial"/>
                <w:b/>
                <w:bCs/>
                <w:sz w:val="20"/>
                <w:szCs w:val="20"/>
                <w:lang w:eastAsia="en-GB"/>
              </w:rPr>
              <w:t xml:space="preserve"> dementia</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Times New Roman" w:eastAsia="Times New Roman" w:hAnsi="Times New Roman" w:cs="Times New Roman"/>
                <w:sz w:val="20"/>
                <w:szCs w:val="20"/>
                <w:lang w:eastAsia="en-GB"/>
              </w:rPr>
            </w:pP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hideMark/>
          </w:tcPr>
          <w:p w:rsidR="004275F9" w:rsidRPr="001673F4" w:rsidRDefault="004275F9" w:rsidP="00F54663">
            <w:pPr>
              <w:spacing w:after="0" w:line="240" w:lineRule="auto"/>
              <w:jc w:val="center"/>
              <w:rPr>
                <w:rFonts w:ascii="Arial" w:eastAsia="Times New Roman" w:hAnsi="Arial" w:cs="Arial"/>
                <w:sz w:val="20"/>
                <w:szCs w:val="20"/>
                <w:lang w:eastAsia="en-GB"/>
              </w:rPr>
            </w:pP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0-5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314</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0.963 (0.844 to 1.100)</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0.968 (0.847 to 1.106)</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0.976 (0.855 to 1.114)</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2065</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0.891 (0.847 to 0.937)</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0.907 (0.863 to 0.954)</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0.967 (0.936 to 0.999)</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853</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0.878 (0.814 to 0.948)</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0.884 (0.819 to 0.953)</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0.967 (0.921 to 1.014)</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3232</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0.892 (0.857 to 0.929)</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0.906 (0.870 to 0.942)</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0.975 (0.950 to 1.001)</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5-10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289</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1.165 (1.023 to 1.327)</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1.166 (1.022 to 1.330)</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1.120 (0.982 to 1.279)</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2646</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0.972 (0.931 to 1.015)</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0.978 (0.937 to 1.021)</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1.003 (0.960 to 1.047)</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1214</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0.970 (0.912 to 1.033)</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0.975 (0.916 to 1.037)</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1.001 (0.940 to 1.065)</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4149</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0.983 (0.950 to 1.018)</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0.988 (0.955 to 1.023)</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1.012 (0.978 to 1.048)</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10+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&lt;70</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311</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1.273 (1.123 to 1.444)</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1.295 (1.139 to 1.472)</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1.235 (1.086 to 1.404)</w:t>
            </w:r>
          </w:p>
        </w:tc>
      </w:tr>
      <w:tr w:rsidR="004275F9" w:rsidRPr="00836F71" w:rsidTr="00F54663">
        <w:trPr>
          <w:trHeight w:val="255"/>
        </w:trPr>
        <w:tc>
          <w:tcPr>
            <w:tcW w:w="60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70-84</w:t>
            </w:r>
          </w:p>
        </w:tc>
        <w:tc>
          <w:tcPr>
            <w:tcW w:w="960" w:type="dxa"/>
            <w:tcBorders>
              <w:top w:val="nil"/>
              <w:left w:val="nil"/>
              <w:bottom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2917</w:t>
            </w:r>
          </w:p>
        </w:tc>
        <w:tc>
          <w:tcPr>
            <w:tcW w:w="2236"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1.095 (1.052 to 1.140)</w:t>
            </w:r>
          </w:p>
        </w:tc>
        <w:tc>
          <w:tcPr>
            <w:tcW w:w="2323" w:type="dxa"/>
            <w:tcBorders>
              <w:top w:val="nil"/>
              <w:left w:val="nil"/>
              <w:bottom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1.092 (1.048 to 1.137)</w:t>
            </w:r>
          </w:p>
        </w:tc>
        <w:tc>
          <w:tcPr>
            <w:tcW w:w="2268" w:type="dxa"/>
            <w:tcBorders>
              <w:top w:val="nil"/>
              <w:left w:val="nil"/>
              <w:bottom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1.087 (1.044 to 1.132)</w:t>
            </w:r>
          </w:p>
        </w:tc>
      </w:tr>
      <w:tr w:rsidR="004275F9" w:rsidRPr="00836F71" w:rsidTr="00F54663">
        <w:trPr>
          <w:trHeight w:val="255"/>
        </w:trPr>
        <w:tc>
          <w:tcPr>
            <w:tcW w:w="609" w:type="dxa"/>
            <w:tcBorders>
              <w:top w:val="nil"/>
              <w:left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85+</w:t>
            </w:r>
          </w:p>
        </w:tc>
        <w:tc>
          <w:tcPr>
            <w:tcW w:w="960" w:type="dxa"/>
            <w:tcBorders>
              <w:top w:val="nil"/>
              <w:left w:val="nil"/>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1722</w:t>
            </w:r>
          </w:p>
        </w:tc>
        <w:tc>
          <w:tcPr>
            <w:tcW w:w="2236" w:type="dxa"/>
            <w:tcBorders>
              <w:top w:val="nil"/>
              <w:left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1.002 (0.951 to 1.056)</w:t>
            </w:r>
          </w:p>
        </w:tc>
        <w:tc>
          <w:tcPr>
            <w:tcW w:w="2323" w:type="dxa"/>
            <w:tcBorders>
              <w:top w:val="nil"/>
              <w:left w:val="nil"/>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1.003 (0.952 to 1.057)</w:t>
            </w:r>
          </w:p>
        </w:tc>
        <w:tc>
          <w:tcPr>
            <w:tcW w:w="2268" w:type="dxa"/>
            <w:tcBorders>
              <w:top w:val="nil"/>
              <w:left w:val="nil"/>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1.009 (0.957 to 1.064)</w:t>
            </w:r>
          </w:p>
        </w:tc>
      </w:tr>
      <w:tr w:rsidR="004275F9" w:rsidRPr="00836F71" w:rsidTr="00F54663">
        <w:trPr>
          <w:trHeight w:val="255"/>
        </w:trPr>
        <w:tc>
          <w:tcPr>
            <w:tcW w:w="609" w:type="dxa"/>
            <w:tcBorders>
              <w:top w:val="nil"/>
              <w:left w:val="nil"/>
              <w:bottom w:val="single" w:sz="4" w:space="0" w:color="auto"/>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p>
        </w:tc>
        <w:tc>
          <w:tcPr>
            <w:tcW w:w="1189" w:type="dxa"/>
            <w:tcBorders>
              <w:top w:val="nil"/>
              <w:left w:val="nil"/>
              <w:bottom w:val="single" w:sz="4" w:space="0" w:color="auto"/>
              <w:right w:val="nil"/>
            </w:tcBorders>
            <w:shd w:val="clear" w:color="auto" w:fill="auto"/>
            <w:noWrap/>
            <w:hideMark/>
          </w:tcPr>
          <w:p w:rsidR="004275F9" w:rsidRPr="00836F71" w:rsidRDefault="004275F9" w:rsidP="00F546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hideMark/>
          </w:tcPr>
          <w:p w:rsidR="004275F9" w:rsidRPr="00836F71" w:rsidRDefault="004275F9" w:rsidP="00F54663">
            <w:pPr>
              <w:spacing w:after="0" w:line="240" w:lineRule="auto"/>
              <w:rPr>
                <w:rFonts w:ascii="Arial" w:eastAsia="Times New Roman" w:hAnsi="Arial" w:cs="Arial"/>
                <w:sz w:val="20"/>
                <w:szCs w:val="20"/>
                <w:lang w:eastAsia="en-GB"/>
              </w:rPr>
            </w:pPr>
            <w:r w:rsidRPr="00836F71">
              <w:rPr>
                <w:rFonts w:ascii="Arial" w:eastAsia="Times New Roman" w:hAnsi="Arial" w:cs="Arial"/>
                <w:sz w:val="20"/>
                <w:szCs w:val="20"/>
                <w:lang w:eastAsia="en-GB"/>
              </w:rPr>
              <w:t>Overall</w:t>
            </w:r>
          </w:p>
        </w:tc>
        <w:tc>
          <w:tcPr>
            <w:tcW w:w="960" w:type="dxa"/>
            <w:tcBorders>
              <w:top w:val="nil"/>
              <w:left w:val="nil"/>
              <w:bottom w:val="single" w:sz="4" w:space="0" w:color="auto"/>
              <w:right w:val="nil"/>
            </w:tcBorders>
            <w:shd w:val="clear" w:color="auto" w:fill="auto"/>
            <w:noWrap/>
            <w:hideMark/>
          </w:tcPr>
          <w:p w:rsidR="004275F9" w:rsidRPr="00836F71" w:rsidRDefault="004275F9" w:rsidP="00F54663">
            <w:pPr>
              <w:spacing w:after="0" w:line="240" w:lineRule="auto"/>
              <w:jc w:val="right"/>
              <w:rPr>
                <w:rFonts w:ascii="Arial" w:eastAsia="Times New Roman" w:hAnsi="Arial" w:cs="Arial"/>
                <w:sz w:val="20"/>
                <w:szCs w:val="20"/>
                <w:lang w:eastAsia="en-GB"/>
              </w:rPr>
            </w:pPr>
            <w:r w:rsidRPr="00836F71">
              <w:rPr>
                <w:rFonts w:ascii="Arial" w:eastAsia="Times New Roman" w:hAnsi="Arial" w:cs="Arial"/>
                <w:sz w:val="20"/>
                <w:szCs w:val="20"/>
                <w:lang w:eastAsia="en-GB"/>
              </w:rPr>
              <w:t>4950</w:t>
            </w:r>
          </w:p>
        </w:tc>
        <w:tc>
          <w:tcPr>
            <w:tcW w:w="2236" w:type="dxa"/>
            <w:tcBorders>
              <w:top w:val="nil"/>
              <w:left w:val="nil"/>
              <w:bottom w:val="single" w:sz="4" w:space="0" w:color="auto"/>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1.071 (1.038 to 1.104)</w:t>
            </w:r>
          </w:p>
        </w:tc>
        <w:tc>
          <w:tcPr>
            <w:tcW w:w="2323" w:type="dxa"/>
            <w:tcBorders>
              <w:top w:val="nil"/>
              <w:left w:val="nil"/>
              <w:bottom w:val="single" w:sz="4" w:space="0" w:color="auto"/>
              <w:right w:val="nil"/>
            </w:tcBorders>
            <w:shd w:val="clear" w:color="auto" w:fill="auto"/>
            <w:noWrap/>
            <w:hideMark/>
          </w:tcPr>
          <w:p w:rsidR="004275F9" w:rsidRPr="00836F71" w:rsidRDefault="004275F9" w:rsidP="00F54663">
            <w:pPr>
              <w:spacing w:after="0" w:line="240" w:lineRule="auto"/>
              <w:jc w:val="center"/>
              <w:rPr>
                <w:rFonts w:ascii="Arial" w:eastAsia="Times New Roman" w:hAnsi="Arial" w:cs="Arial"/>
                <w:sz w:val="20"/>
                <w:szCs w:val="20"/>
                <w:lang w:eastAsia="en-GB"/>
              </w:rPr>
            </w:pPr>
            <w:r w:rsidRPr="00836F71">
              <w:rPr>
                <w:rFonts w:ascii="Arial" w:eastAsia="Times New Roman" w:hAnsi="Arial" w:cs="Arial"/>
                <w:sz w:val="20"/>
                <w:szCs w:val="20"/>
                <w:lang w:eastAsia="en-GB"/>
              </w:rPr>
              <w:t>1.070 (1.037 to 1.103)</w:t>
            </w:r>
          </w:p>
        </w:tc>
        <w:tc>
          <w:tcPr>
            <w:tcW w:w="2268" w:type="dxa"/>
            <w:tcBorders>
              <w:top w:val="nil"/>
              <w:left w:val="nil"/>
              <w:bottom w:val="single" w:sz="4" w:space="0" w:color="auto"/>
              <w:right w:val="nil"/>
            </w:tcBorders>
            <w:shd w:val="clear" w:color="auto" w:fill="auto"/>
            <w:noWrap/>
            <w:hideMark/>
          </w:tcPr>
          <w:p w:rsidR="004275F9" w:rsidRPr="001673F4" w:rsidRDefault="004275F9" w:rsidP="00F54663">
            <w:pPr>
              <w:spacing w:after="0"/>
              <w:contextualSpacing/>
              <w:jc w:val="center"/>
              <w:rPr>
                <w:rFonts w:ascii="Arial" w:hAnsi="Arial" w:cs="Arial"/>
                <w:color w:val="000000"/>
                <w:sz w:val="20"/>
                <w:szCs w:val="20"/>
              </w:rPr>
            </w:pPr>
            <w:r w:rsidRPr="001673F4">
              <w:rPr>
                <w:rFonts w:ascii="Arial" w:hAnsi="Arial" w:cs="Arial"/>
                <w:color w:val="000000"/>
                <w:sz w:val="20"/>
                <w:szCs w:val="20"/>
              </w:rPr>
              <w:t>1.069 (1.037 to 1.103)</w:t>
            </w:r>
          </w:p>
        </w:tc>
      </w:tr>
    </w:tbl>
    <w:p w:rsidR="004275F9" w:rsidRDefault="004275F9" w:rsidP="004275F9">
      <w:pPr>
        <w:rPr>
          <w:sz w:val="16"/>
          <w:szCs w:val="16"/>
        </w:rPr>
        <w:sectPr w:rsidR="004275F9" w:rsidSect="00F20E86">
          <w:pgSz w:w="11906" w:h="16838"/>
          <w:pgMar w:top="1440" w:right="1440" w:bottom="1440" w:left="1440" w:header="708" w:footer="708" w:gutter="0"/>
          <w:cols w:space="708"/>
          <w:docGrid w:linePitch="360"/>
        </w:sectPr>
      </w:pPr>
      <w:r w:rsidRPr="0033038D">
        <w:rPr>
          <w:sz w:val="16"/>
          <w:szCs w:val="16"/>
        </w:rPr>
        <w:t>*Adjusted for age, sex, body mass index, alcohol consumption, socio-economic status</w:t>
      </w:r>
      <w:r>
        <w:rPr>
          <w:sz w:val="16"/>
          <w:szCs w:val="16"/>
        </w:rPr>
        <w:t xml:space="preserve"> (fifths of practice-level Townsend score)</w:t>
      </w:r>
      <w:r w:rsidRPr="0033038D">
        <w:rPr>
          <w:sz w:val="16"/>
          <w:szCs w:val="16"/>
        </w:rPr>
        <w:t xml:space="preserve">, or a history of any of the following: anti-hypertensive or statin use within previous year, stroke, atrial fibrillation, diabetes, heart failure, chronic obstructive pulmonary disease, and diabetes. </w:t>
      </w:r>
    </w:p>
    <w:p w:rsidR="004275F9" w:rsidRPr="000C1089" w:rsidRDefault="004275F9" w:rsidP="004275F9">
      <w:pPr>
        <w:rPr>
          <w:b/>
          <w:u w:val="single"/>
        </w:rPr>
      </w:pPr>
      <w:r>
        <w:rPr>
          <w:b/>
        </w:rPr>
        <w:lastRenderedPageBreak/>
        <w:t xml:space="preserve">Supplementary Table 4: </w:t>
      </w:r>
      <w:r>
        <w:t xml:space="preserve">Rate ratios of </w:t>
      </w:r>
      <w:r w:rsidR="00210D85">
        <w:t>per 10mmHg</w:t>
      </w:r>
      <w:r w:rsidR="0057177D">
        <w:t xml:space="preserve"> </w:t>
      </w:r>
      <w:r w:rsidR="00210D85">
        <w:t xml:space="preserve">higher </w:t>
      </w:r>
      <w:r w:rsidR="0057177D">
        <w:t xml:space="preserve">long-term average </w:t>
      </w:r>
      <w:r>
        <w:t xml:space="preserve">systolic blood pressure with dementia by age-at-risk and time since index measurement </w:t>
      </w:r>
      <w:r w:rsidRPr="000C1089">
        <w:rPr>
          <w:b/>
          <w:u w:val="single"/>
        </w:rPr>
        <w:t>during long-term follow up (&gt;10 years post measurement)</w:t>
      </w:r>
    </w:p>
    <w:tbl>
      <w:tblPr>
        <w:tblW w:w="14743" w:type="dxa"/>
        <w:tblInd w:w="108" w:type="dxa"/>
        <w:tblLook w:val="04A0" w:firstRow="1" w:lastRow="0" w:firstColumn="1" w:lastColumn="0" w:noHBand="0" w:noVBand="1"/>
      </w:tblPr>
      <w:tblGrid>
        <w:gridCol w:w="399"/>
        <w:gridCol w:w="1034"/>
        <w:gridCol w:w="836"/>
        <w:gridCol w:w="2410"/>
        <w:gridCol w:w="319"/>
        <w:gridCol w:w="828"/>
        <w:gridCol w:w="2254"/>
        <w:gridCol w:w="284"/>
        <w:gridCol w:w="828"/>
        <w:gridCol w:w="2291"/>
        <w:gridCol w:w="992"/>
        <w:gridCol w:w="2268"/>
      </w:tblGrid>
      <w:tr w:rsidR="004275F9" w:rsidRPr="00D35D52" w:rsidTr="00F54663">
        <w:trPr>
          <w:trHeight w:val="255"/>
        </w:trPr>
        <w:tc>
          <w:tcPr>
            <w:tcW w:w="399"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rPr>
                <w:rFonts w:ascii="Times New Roman" w:eastAsia="Times New Roman" w:hAnsi="Times New Roman" w:cs="Times New Roman"/>
                <w:sz w:val="24"/>
                <w:szCs w:val="24"/>
                <w:lang w:eastAsia="en-GB"/>
              </w:rPr>
            </w:pPr>
          </w:p>
        </w:tc>
        <w:tc>
          <w:tcPr>
            <w:tcW w:w="1034"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Age at risk</w:t>
            </w:r>
          </w:p>
        </w:tc>
        <w:tc>
          <w:tcPr>
            <w:tcW w:w="3246" w:type="dxa"/>
            <w:gridSpan w:val="2"/>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10-12.5</w:t>
            </w:r>
            <w:r w:rsidRPr="00D35D52">
              <w:rPr>
                <w:rFonts w:ascii="Arial" w:eastAsia="Times New Roman" w:hAnsi="Arial" w:cs="Arial"/>
                <w:sz w:val="20"/>
                <w:szCs w:val="20"/>
                <w:lang w:eastAsia="en-GB"/>
              </w:rPr>
              <w:t xml:space="preserve"> years</w:t>
            </w:r>
          </w:p>
        </w:tc>
        <w:tc>
          <w:tcPr>
            <w:tcW w:w="319"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3082" w:type="dxa"/>
            <w:gridSpan w:val="2"/>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12.5-15 years</w:t>
            </w:r>
          </w:p>
        </w:tc>
        <w:tc>
          <w:tcPr>
            <w:tcW w:w="284"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3119" w:type="dxa"/>
            <w:gridSpan w:val="2"/>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15+ years</w:t>
            </w:r>
          </w:p>
        </w:tc>
        <w:tc>
          <w:tcPr>
            <w:tcW w:w="3260" w:type="dxa"/>
            <w:gridSpan w:val="2"/>
            <w:tcBorders>
              <w:top w:val="single" w:sz="4" w:space="0" w:color="auto"/>
              <w:left w:val="nil"/>
              <w:bottom w:val="single" w:sz="4" w:space="0" w:color="auto"/>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All follow up &gt;10 years</w:t>
            </w:r>
          </w:p>
        </w:tc>
      </w:tr>
      <w:tr w:rsidR="004275F9" w:rsidRPr="00D35D52" w:rsidTr="00F54663">
        <w:trPr>
          <w:trHeight w:val="255"/>
        </w:trPr>
        <w:tc>
          <w:tcPr>
            <w:tcW w:w="399"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rPr>
                <w:rFonts w:ascii="Times New Roman" w:eastAsia="Times New Roman" w:hAnsi="Times New Roman" w:cs="Times New Roman"/>
                <w:sz w:val="20"/>
                <w:szCs w:val="20"/>
                <w:lang w:eastAsia="en-GB"/>
              </w:rPr>
            </w:pPr>
          </w:p>
        </w:tc>
        <w:tc>
          <w:tcPr>
            <w:tcW w:w="836"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Events</w:t>
            </w:r>
          </w:p>
        </w:tc>
        <w:tc>
          <w:tcPr>
            <w:tcW w:w="2410"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D35D52">
              <w:rPr>
                <w:rFonts w:ascii="Arial" w:eastAsia="Times New Roman" w:hAnsi="Arial" w:cs="Arial"/>
                <w:sz w:val="20"/>
                <w:szCs w:val="20"/>
                <w:lang w:eastAsia="en-GB"/>
              </w:rPr>
              <w:t xml:space="preserve"> ratio (95% CI)</w:t>
            </w:r>
          </w:p>
        </w:tc>
        <w:tc>
          <w:tcPr>
            <w:tcW w:w="319"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Events</w:t>
            </w:r>
          </w:p>
        </w:tc>
        <w:tc>
          <w:tcPr>
            <w:tcW w:w="2254"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D35D52">
              <w:rPr>
                <w:rFonts w:ascii="Arial" w:eastAsia="Times New Roman" w:hAnsi="Arial" w:cs="Arial"/>
                <w:sz w:val="20"/>
                <w:szCs w:val="20"/>
                <w:lang w:eastAsia="en-GB"/>
              </w:rPr>
              <w:t xml:space="preserve"> ratio (95% CI)</w:t>
            </w:r>
          </w:p>
        </w:tc>
        <w:tc>
          <w:tcPr>
            <w:tcW w:w="284"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Events</w:t>
            </w:r>
          </w:p>
        </w:tc>
        <w:tc>
          <w:tcPr>
            <w:tcW w:w="2291" w:type="dxa"/>
            <w:tcBorders>
              <w:top w:val="single" w:sz="4" w:space="0" w:color="auto"/>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D35D52">
              <w:rPr>
                <w:rFonts w:ascii="Arial" w:eastAsia="Times New Roman" w:hAnsi="Arial" w:cs="Arial"/>
                <w:sz w:val="20"/>
                <w:szCs w:val="20"/>
                <w:lang w:eastAsia="en-GB"/>
              </w:rPr>
              <w:t xml:space="preserve"> ratio (95% CI)</w:t>
            </w:r>
          </w:p>
        </w:tc>
        <w:tc>
          <w:tcPr>
            <w:tcW w:w="992" w:type="dxa"/>
            <w:tcBorders>
              <w:top w:val="single" w:sz="4" w:space="0" w:color="auto"/>
              <w:left w:val="nil"/>
              <w:bottom w:val="single" w:sz="4" w:space="0" w:color="auto"/>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Events</w:t>
            </w:r>
          </w:p>
        </w:tc>
        <w:tc>
          <w:tcPr>
            <w:tcW w:w="2268" w:type="dxa"/>
            <w:tcBorders>
              <w:top w:val="single" w:sz="4" w:space="0" w:color="auto"/>
              <w:left w:val="nil"/>
              <w:bottom w:val="single" w:sz="4" w:space="0" w:color="auto"/>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 ratio (95% CI)</w:t>
            </w:r>
          </w:p>
        </w:tc>
      </w:tr>
      <w:tr w:rsidR="004275F9" w:rsidRPr="00D35D52" w:rsidTr="00F54663">
        <w:trPr>
          <w:trHeight w:val="255"/>
        </w:trPr>
        <w:tc>
          <w:tcPr>
            <w:tcW w:w="1433" w:type="dxa"/>
            <w:gridSpan w:val="2"/>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d</w:t>
            </w:r>
            <w:r w:rsidRPr="00D35D52">
              <w:rPr>
                <w:rFonts w:ascii="Arial" w:eastAsia="Times New Roman" w:hAnsi="Arial" w:cs="Arial"/>
                <w:sz w:val="20"/>
                <w:szCs w:val="20"/>
                <w:lang w:eastAsia="en-GB"/>
              </w:rPr>
              <w:t>ementia</w:t>
            </w:r>
          </w:p>
        </w:tc>
        <w:tc>
          <w:tcPr>
            <w:tcW w:w="836"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p>
        </w:tc>
        <w:tc>
          <w:tcPr>
            <w:tcW w:w="2410"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319"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828"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54"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84"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828"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91" w:type="dxa"/>
            <w:tcBorders>
              <w:top w:val="single" w:sz="4" w:space="0" w:color="auto"/>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992" w:type="dxa"/>
            <w:tcBorders>
              <w:top w:val="single" w:sz="4" w:space="0" w:color="auto"/>
              <w:left w:val="nil"/>
              <w:bottom w:val="nil"/>
              <w:right w:val="nil"/>
            </w:tcBorders>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68" w:type="dxa"/>
            <w:tcBorders>
              <w:top w:val="single" w:sz="4" w:space="0" w:color="auto"/>
              <w:left w:val="nil"/>
              <w:bottom w:val="nil"/>
              <w:right w:val="nil"/>
            </w:tcBorders>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&lt;70</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627</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1.070 (0.975 to 1.174)</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394</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1.054 (0.936 to 1.186)</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429</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1.093 (0.973 to 1.228)</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1450</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1.067 (1.003 to 1.134)</w:t>
            </w: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70-84</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4901</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0.994 (0.963 to 1.026)</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3331</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0.992 (0.955 to 1.031)</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3893</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1.016 (0.980 to 1.053)</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12125</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0.995 (0.975 to 1.015)</w:t>
            </w: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85+</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2980</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0.953 (0.916 to 0.991)</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2039</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0.945 (0.901 to 0.992)</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2545</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0.980 (0.939 to 1.023)</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7564</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0.955 (0.931 to 0.979)</w:t>
            </w: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Overall</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8508</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0.984 (0.961 to 1.008)</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5764</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0.980 (0.952 to 1.009)</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6867</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1.006 (0.979 to 1.033)</w:t>
            </w:r>
          </w:p>
        </w:tc>
        <w:tc>
          <w:tcPr>
            <w:tcW w:w="992" w:type="dxa"/>
            <w:tcBorders>
              <w:top w:val="nil"/>
              <w:left w:val="nil"/>
              <w:bottom w:val="nil"/>
              <w:right w:val="nil"/>
            </w:tcBorders>
            <w:vAlign w:val="bottom"/>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Calibri" w:hAnsi="Calibri" w:cs="Calibri"/>
                <w:color w:val="000000"/>
              </w:rPr>
              <w:t>21139</w:t>
            </w:r>
          </w:p>
        </w:tc>
        <w:tc>
          <w:tcPr>
            <w:tcW w:w="2268" w:type="dxa"/>
            <w:tcBorders>
              <w:top w:val="nil"/>
              <w:left w:val="nil"/>
              <w:bottom w:val="nil"/>
              <w:right w:val="nil"/>
            </w:tcBorders>
            <w:vAlign w:val="bottom"/>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Calibri" w:hAnsi="Calibri" w:cs="Calibri"/>
                <w:color w:val="000000"/>
              </w:rPr>
              <w:t>0.984 (0.970 to 0.999)</w:t>
            </w:r>
          </w:p>
        </w:tc>
      </w:tr>
      <w:tr w:rsidR="004275F9" w:rsidRPr="00D35D52" w:rsidTr="00F54663">
        <w:trPr>
          <w:trHeight w:val="255"/>
        </w:trPr>
        <w:tc>
          <w:tcPr>
            <w:tcW w:w="1433" w:type="dxa"/>
            <w:gridSpan w:val="2"/>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Alzheimer's</w:t>
            </w:r>
            <w:r>
              <w:rPr>
                <w:rFonts w:ascii="Arial" w:eastAsia="Times New Roman" w:hAnsi="Arial" w:cs="Arial"/>
                <w:sz w:val="20"/>
                <w:szCs w:val="20"/>
                <w:lang w:eastAsia="en-GB"/>
              </w:rPr>
              <w:t xml:space="preserve"> disease</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68" w:type="dxa"/>
            <w:tcBorders>
              <w:top w:val="nil"/>
              <w:left w:val="nil"/>
              <w:bottom w:val="nil"/>
              <w:right w:val="nil"/>
            </w:tcBorders>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&lt;70</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430</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0.972 (0.866 to 1.090)</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265</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0.931 (0.801 to 1.081)</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301</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1.061 (0.922 to 1.221)</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996</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0.981 (0.909 to 1.058)</w:t>
            </w: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70-84</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3502</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0.962 (0.926 to 0.999)</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2319</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0.951 (0.908 to 0.996)</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2676</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0.989 (0.946 to 1.033)</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8497</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0.965 (0.942 to 0.988)</w:t>
            </w: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85+</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2199</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0.951 (0.908 to 0.996)</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1509</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0.918 (0.868 to 0.972)</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1782</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0.956 (0.909 to 1.007)</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5490</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0.942 (0.914 to 0.970)</w:t>
            </w: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Overall</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6131</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0.959 (0.932 to 0.986)</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4093</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0.939 (0.907 to 0.973)</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4759</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0.979 (0.947 to 1.011)</w:t>
            </w:r>
          </w:p>
        </w:tc>
        <w:tc>
          <w:tcPr>
            <w:tcW w:w="992" w:type="dxa"/>
            <w:tcBorders>
              <w:top w:val="nil"/>
              <w:left w:val="nil"/>
              <w:bottom w:val="nil"/>
              <w:right w:val="nil"/>
            </w:tcBorders>
            <w:vAlign w:val="bottom"/>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hAnsi="Arial" w:cs="Arial"/>
                <w:sz w:val="20"/>
                <w:szCs w:val="20"/>
              </w:rPr>
              <w:t>14983</w:t>
            </w:r>
          </w:p>
        </w:tc>
        <w:tc>
          <w:tcPr>
            <w:tcW w:w="2268" w:type="dxa"/>
            <w:tcBorders>
              <w:top w:val="nil"/>
              <w:left w:val="nil"/>
              <w:bottom w:val="nil"/>
              <w:right w:val="nil"/>
            </w:tcBorders>
            <w:vAlign w:val="bottom"/>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hAnsi="Arial" w:cs="Arial"/>
                <w:sz w:val="20"/>
                <w:szCs w:val="20"/>
              </w:rPr>
              <w:t>0.957 (0.940 to 0.975)</w:t>
            </w:r>
          </w:p>
        </w:tc>
      </w:tr>
      <w:tr w:rsidR="004275F9" w:rsidRPr="00D35D52" w:rsidTr="00F54663">
        <w:trPr>
          <w:trHeight w:val="255"/>
        </w:trPr>
        <w:tc>
          <w:tcPr>
            <w:tcW w:w="1433" w:type="dxa"/>
            <w:gridSpan w:val="2"/>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Vascluar dementia</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2268" w:type="dxa"/>
            <w:tcBorders>
              <w:top w:val="nil"/>
              <w:left w:val="nil"/>
              <w:bottom w:val="nil"/>
              <w:right w:val="nil"/>
            </w:tcBorders>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&lt;70</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133</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1.298 (1.075 to 1.569)</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97</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1.301 (1.042 to 1.625)</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84</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1.193 (0.925 to 1.539)</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314</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1.269 (1.120 to 1.438)</w:t>
            </w:r>
          </w:p>
        </w:tc>
      </w:tr>
      <w:tr w:rsidR="004275F9" w:rsidRPr="00D35D52" w:rsidTr="00F54663">
        <w:trPr>
          <w:trHeight w:val="255"/>
        </w:trPr>
        <w:tc>
          <w:tcPr>
            <w:tcW w:w="39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70-84</w:t>
            </w:r>
          </w:p>
        </w:tc>
        <w:tc>
          <w:tcPr>
            <w:tcW w:w="836"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1175</w:t>
            </w:r>
          </w:p>
        </w:tc>
        <w:tc>
          <w:tcPr>
            <w:tcW w:w="2410"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1.103 (1.036 to 1.174)</w:t>
            </w:r>
          </w:p>
        </w:tc>
        <w:tc>
          <w:tcPr>
            <w:tcW w:w="319"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836</w:t>
            </w:r>
          </w:p>
        </w:tc>
        <w:tc>
          <w:tcPr>
            <w:tcW w:w="225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1.121 (1.041 to 1.208)</w:t>
            </w:r>
          </w:p>
        </w:tc>
        <w:tc>
          <w:tcPr>
            <w:tcW w:w="284"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1004</w:t>
            </w:r>
          </w:p>
        </w:tc>
        <w:tc>
          <w:tcPr>
            <w:tcW w:w="2291" w:type="dxa"/>
            <w:tcBorders>
              <w:top w:val="nil"/>
              <w:left w:val="nil"/>
              <w:bottom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1.101 (1.027 to 1.180)</w:t>
            </w:r>
          </w:p>
        </w:tc>
        <w:tc>
          <w:tcPr>
            <w:tcW w:w="992"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3015</w:t>
            </w:r>
          </w:p>
        </w:tc>
        <w:tc>
          <w:tcPr>
            <w:tcW w:w="2268" w:type="dxa"/>
            <w:tcBorders>
              <w:top w:val="nil"/>
              <w:left w:val="nil"/>
              <w:bottom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1.095 (1.052 to 1.139)</w:t>
            </w:r>
          </w:p>
        </w:tc>
      </w:tr>
      <w:tr w:rsidR="004275F9" w:rsidRPr="00D35D52" w:rsidTr="00F54663">
        <w:trPr>
          <w:trHeight w:val="255"/>
        </w:trPr>
        <w:tc>
          <w:tcPr>
            <w:tcW w:w="399"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85+</w:t>
            </w:r>
          </w:p>
        </w:tc>
        <w:tc>
          <w:tcPr>
            <w:tcW w:w="836"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712</w:t>
            </w:r>
          </w:p>
        </w:tc>
        <w:tc>
          <w:tcPr>
            <w:tcW w:w="2410"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0.969 (0.893 to 1.051)</w:t>
            </w:r>
          </w:p>
        </w:tc>
        <w:tc>
          <w:tcPr>
            <w:tcW w:w="319"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466</w:t>
            </w:r>
          </w:p>
        </w:tc>
        <w:tc>
          <w:tcPr>
            <w:tcW w:w="2254"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1.038 (0.940 to 1.146)</w:t>
            </w:r>
          </w:p>
        </w:tc>
        <w:tc>
          <w:tcPr>
            <w:tcW w:w="284"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671</w:t>
            </w:r>
          </w:p>
        </w:tc>
        <w:tc>
          <w:tcPr>
            <w:tcW w:w="2291" w:type="dxa"/>
            <w:tcBorders>
              <w:top w:val="nil"/>
              <w:left w:val="nil"/>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1.053 (0.970 to 1.144)</w:t>
            </w:r>
          </w:p>
        </w:tc>
        <w:tc>
          <w:tcPr>
            <w:tcW w:w="992" w:type="dxa"/>
            <w:tcBorders>
              <w:top w:val="nil"/>
              <w:left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1849</w:t>
            </w:r>
          </w:p>
        </w:tc>
        <w:tc>
          <w:tcPr>
            <w:tcW w:w="2268" w:type="dxa"/>
            <w:tcBorders>
              <w:top w:val="nil"/>
              <w:left w:val="nil"/>
              <w:right w:val="nil"/>
            </w:tcBorders>
          </w:tcPr>
          <w:p w:rsidR="004275F9" w:rsidRPr="00D35D52" w:rsidRDefault="004275F9" w:rsidP="00F54663">
            <w:pPr>
              <w:spacing w:after="0" w:line="240" w:lineRule="auto"/>
              <w:jc w:val="center"/>
              <w:rPr>
                <w:rFonts w:ascii="Arial" w:eastAsia="Times New Roman" w:hAnsi="Arial" w:cs="Arial"/>
                <w:sz w:val="20"/>
                <w:szCs w:val="20"/>
                <w:lang w:eastAsia="en-GB"/>
              </w:rPr>
            </w:pPr>
            <w:r w:rsidRPr="00703C68">
              <w:rPr>
                <w:rFonts w:ascii="Arial" w:eastAsia="Times New Roman" w:hAnsi="Arial" w:cs="Arial"/>
                <w:sz w:val="20"/>
                <w:szCs w:val="20"/>
                <w:lang w:eastAsia="en-GB"/>
              </w:rPr>
              <w:t>1.005 (0.956 to 1.057)</w:t>
            </w:r>
          </w:p>
        </w:tc>
      </w:tr>
      <w:tr w:rsidR="004275F9" w:rsidRPr="00D35D52" w:rsidTr="00F54663">
        <w:trPr>
          <w:trHeight w:val="255"/>
        </w:trPr>
        <w:tc>
          <w:tcPr>
            <w:tcW w:w="399"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1034"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rPr>
                <w:rFonts w:ascii="Arial" w:eastAsia="Times New Roman" w:hAnsi="Arial" w:cs="Arial"/>
                <w:sz w:val="20"/>
                <w:szCs w:val="20"/>
                <w:lang w:eastAsia="en-GB"/>
              </w:rPr>
            </w:pPr>
            <w:r w:rsidRPr="00D35D52">
              <w:rPr>
                <w:rFonts w:ascii="Arial" w:eastAsia="Times New Roman" w:hAnsi="Arial" w:cs="Arial"/>
                <w:sz w:val="20"/>
                <w:szCs w:val="20"/>
                <w:lang w:eastAsia="en-GB"/>
              </w:rPr>
              <w:t>Overall</w:t>
            </w:r>
          </w:p>
        </w:tc>
        <w:tc>
          <w:tcPr>
            <w:tcW w:w="836"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2020</w:t>
            </w:r>
          </w:p>
        </w:tc>
        <w:tc>
          <w:tcPr>
            <w:tcW w:w="2410"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1.064 (1.014 to 1.116)</w:t>
            </w:r>
          </w:p>
        </w:tc>
        <w:tc>
          <w:tcPr>
            <w:tcW w:w="319"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1399</w:t>
            </w:r>
          </w:p>
        </w:tc>
        <w:tc>
          <w:tcPr>
            <w:tcW w:w="2254"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1.103 (1.041 to 1.168)</w:t>
            </w:r>
          </w:p>
        </w:tc>
        <w:tc>
          <w:tcPr>
            <w:tcW w:w="284"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p>
        </w:tc>
        <w:tc>
          <w:tcPr>
            <w:tcW w:w="828"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1759</w:t>
            </w:r>
          </w:p>
        </w:tc>
        <w:tc>
          <w:tcPr>
            <w:tcW w:w="2291" w:type="dxa"/>
            <w:tcBorders>
              <w:top w:val="nil"/>
              <w:left w:val="nil"/>
              <w:bottom w:val="single" w:sz="4" w:space="0" w:color="auto"/>
              <w:right w:val="nil"/>
            </w:tcBorders>
            <w:shd w:val="clear" w:color="auto" w:fill="auto"/>
            <w:noWrap/>
            <w:hideMark/>
          </w:tcPr>
          <w:p w:rsidR="004275F9" w:rsidRPr="00D35D52" w:rsidRDefault="004275F9" w:rsidP="00F54663">
            <w:pPr>
              <w:spacing w:after="0" w:line="240" w:lineRule="auto"/>
              <w:jc w:val="center"/>
              <w:rPr>
                <w:rFonts w:ascii="Arial" w:eastAsia="Times New Roman" w:hAnsi="Arial" w:cs="Arial"/>
                <w:sz w:val="20"/>
                <w:szCs w:val="20"/>
                <w:lang w:eastAsia="en-GB"/>
              </w:rPr>
            </w:pPr>
            <w:r w:rsidRPr="00D35D52">
              <w:rPr>
                <w:rFonts w:ascii="Arial" w:eastAsia="Times New Roman" w:hAnsi="Arial" w:cs="Arial"/>
                <w:sz w:val="20"/>
                <w:szCs w:val="20"/>
                <w:lang w:eastAsia="en-GB"/>
              </w:rPr>
              <w:t>1.086 (1.031 to 1.144)</w:t>
            </w:r>
          </w:p>
        </w:tc>
        <w:tc>
          <w:tcPr>
            <w:tcW w:w="992" w:type="dxa"/>
            <w:tcBorders>
              <w:top w:val="nil"/>
              <w:left w:val="nil"/>
              <w:bottom w:val="single" w:sz="4" w:space="0" w:color="auto"/>
              <w:right w:val="nil"/>
            </w:tcBorders>
            <w:vAlign w:val="bottom"/>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hAnsi="Arial" w:cs="Arial"/>
                <w:sz w:val="20"/>
                <w:szCs w:val="20"/>
              </w:rPr>
              <w:t>5178</w:t>
            </w:r>
          </w:p>
        </w:tc>
        <w:tc>
          <w:tcPr>
            <w:tcW w:w="2268" w:type="dxa"/>
            <w:tcBorders>
              <w:top w:val="nil"/>
              <w:left w:val="nil"/>
              <w:bottom w:val="single" w:sz="4" w:space="0" w:color="auto"/>
              <w:right w:val="nil"/>
            </w:tcBorders>
            <w:vAlign w:val="bottom"/>
          </w:tcPr>
          <w:p w:rsidR="004275F9" w:rsidRPr="00D35D52" w:rsidRDefault="004275F9" w:rsidP="00F54663">
            <w:pPr>
              <w:spacing w:after="0" w:line="240" w:lineRule="auto"/>
              <w:jc w:val="center"/>
              <w:rPr>
                <w:rFonts w:ascii="Arial" w:eastAsia="Times New Roman" w:hAnsi="Arial" w:cs="Arial"/>
                <w:sz w:val="20"/>
                <w:szCs w:val="20"/>
                <w:lang w:eastAsia="en-GB"/>
              </w:rPr>
            </w:pPr>
            <w:r>
              <w:rPr>
                <w:rFonts w:ascii="Arial" w:hAnsi="Arial" w:cs="Arial"/>
                <w:sz w:val="20"/>
                <w:szCs w:val="20"/>
              </w:rPr>
              <w:t>1.070 (1.038 to 1.102)</w:t>
            </w:r>
          </w:p>
        </w:tc>
      </w:tr>
    </w:tbl>
    <w:p w:rsidR="004275F9" w:rsidRDefault="004275F9" w:rsidP="004275F9"/>
    <w:p w:rsidR="004275F9" w:rsidRDefault="004275F9" w:rsidP="004275F9"/>
    <w:p w:rsidR="004275F9" w:rsidRDefault="004275F9" w:rsidP="004275F9">
      <w:pPr>
        <w:sectPr w:rsidR="004275F9" w:rsidSect="00F20E86">
          <w:pgSz w:w="16838" w:h="11906" w:orient="landscape"/>
          <w:pgMar w:top="1440" w:right="1440" w:bottom="1440" w:left="1440" w:header="708" w:footer="708" w:gutter="0"/>
          <w:cols w:space="708"/>
          <w:docGrid w:linePitch="360"/>
        </w:sectPr>
      </w:pPr>
    </w:p>
    <w:p w:rsidR="004275F9" w:rsidRDefault="004275F9" w:rsidP="004275F9">
      <w:r>
        <w:rPr>
          <w:b/>
        </w:rPr>
        <w:lastRenderedPageBreak/>
        <w:t xml:space="preserve">Supplementary Table 5: </w:t>
      </w:r>
      <w:r>
        <w:t xml:space="preserve">Age and sex adjusted risk ratios for </w:t>
      </w:r>
      <w:r w:rsidRPr="003F329B">
        <w:rPr>
          <w:b/>
          <w:u w:val="single"/>
        </w:rPr>
        <w:t>death and stroke</w:t>
      </w:r>
      <w:r>
        <w:t xml:space="preserve"> per 10mmHg higher long-term average systolic blood pressure stratified by age-at-risk and time since baseline </w:t>
      </w:r>
      <w:r w:rsidRPr="006B2224">
        <w:t>systolic blood pressure</w:t>
      </w:r>
      <w:r>
        <w:t xml:space="preserve"> measurement</w:t>
      </w:r>
    </w:p>
    <w:tbl>
      <w:tblPr>
        <w:tblW w:w="12755" w:type="dxa"/>
        <w:tblInd w:w="108" w:type="dxa"/>
        <w:tblLook w:val="04A0" w:firstRow="1" w:lastRow="0" w:firstColumn="1" w:lastColumn="0" w:noHBand="0" w:noVBand="1"/>
      </w:tblPr>
      <w:tblGrid>
        <w:gridCol w:w="284"/>
        <w:gridCol w:w="961"/>
        <w:gridCol w:w="884"/>
        <w:gridCol w:w="2168"/>
        <w:gridCol w:w="130"/>
        <w:gridCol w:w="830"/>
        <w:gridCol w:w="130"/>
        <w:gridCol w:w="754"/>
        <w:gridCol w:w="130"/>
        <w:gridCol w:w="2168"/>
        <w:gridCol w:w="130"/>
        <w:gridCol w:w="830"/>
        <w:gridCol w:w="130"/>
        <w:gridCol w:w="754"/>
        <w:gridCol w:w="130"/>
        <w:gridCol w:w="2212"/>
        <w:gridCol w:w="130"/>
      </w:tblGrid>
      <w:tr w:rsidR="004275F9" w:rsidRPr="00A32A78" w:rsidTr="00E42AA4">
        <w:trPr>
          <w:trHeight w:val="255"/>
        </w:trPr>
        <w:tc>
          <w:tcPr>
            <w:tcW w:w="284" w:type="dxa"/>
            <w:tcBorders>
              <w:top w:val="single" w:sz="4" w:space="0" w:color="auto"/>
              <w:left w:val="nil"/>
              <w:bottom w:val="single" w:sz="4" w:space="0" w:color="auto"/>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Age at risk</w:t>
            </w:r>
          </w:p>
        </w:tc>
        <w:tc>
          <w:tcPr>
            <w:tcW w:w="3182" w:type="dxa"/>
            <w:gridSpan w:val="3"/>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sidRPr="00A32A78">
              <w:rPr>
                <w:rFonts w:ascii="Arial" w:eastAsia="Times New Roman" w:hAnsi="Arial" w:cs="Arial"/>
                <w:sz w:val="20"/>
                <w:szCs w:val="20"/>
                <w:lang w:eastAsia="en-GB"/>
              </w:rPr>
              <w:t>0-5 years</w:t>
            </w:r>
          </w:p>
        </w:tc>
        <w:tc>
          <w:tcPr>
            <w:tcW w:w="960"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p>
        </w:tc>
        <w:tc>
          <w:tcPr>
            <w:tcW w:w="3182" w:type="dxa"/>
            <w:gridSpan w:val="4"/>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sidRPr="00A32A78">
              <w:rPr>
                <w:rFonts w:ascii="Arial" w:eastAsia="Times New Roman" w:hAnsi="Arial" w:cs="Arial"/>
                <w:sz w:val="20"/>
                <w:szCs w:val="20"/>
                <w:lang w:eastAsia="en-GB"/>
              </w:rPr>
              <w:t>5-10 years</w:t>
            </w:r>
          </w:p>
        </w:tc>
        <w:tc>
          <w:tcPr>
            <w:tcW w:w="960"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p>
        </w:tc>
        <w:tc>
          <w:tcPr>
            <w:tcW w:w="3226" w:type="dxa"/>
            <w:gridSpan w:val="4"/>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sidRPr="00A32A78">
              <w:rPr>
                <w:rFonts w:ascii="Arial" w:eastAsia="Times New Roman" w:hAnsi="Arial" w:cs="Arial"/>
                <w:sz w:val="20"/>
                <w:szCs w:val="20"/>
                <w:lang w:eastAsia="en-GB"/>
              </w:rPr>
              <w:t>10+ years</w:t>
            </w:r>
          </w:p>
        </w:tc>
      </w:tr>
      <w:tr w:rsidR="004275F9" w:rsidRPr="00A32A78" w:rsidTr="00E42AA4">
        <w:trPr>
          <w:trHeight w:val="255"/>
        </w:trPr>
        <w:tc>
          <w:tcPr>
            <w:tcW w:w="284" w:type="dxa"/>
            <w:tcBorders>
              <w:top w:val="single" w:sz="4" w:space="0" w:color="auto"/>
              <w:left w:val="nil"/>
              <w:bottom w:val="nil"/>
              <w:right w:val="nil"/>
            </w:tcBorders>
          </w:tcPr>
          <w:p w:rsidR="004275F9" w:rsidRPr="00A32A78" w:rsidRDefault="004275F9" w:rsidP="00F54663">
            <w:pPr>
              <w:spacing w:after="0" w:line="240" w:lineRule="auto"/>
              <w:jc w:val="center"/>
              <w:rPr>
                <w:rFonts w:ascii="Arial" w:eastAsia="Times New Roman" w:hAnsi="Arial" w:cs="Arial"/>
                <w:sz w:val="20"/>
                <w:szCs w:val="20"/>
                <w:lang w:eastAsia="en-GB"/>
              </w:rPr>
            </w:pPr>
          </w:p>
        </w:tc>
        <w:tc>
          <w:tcPr>
            <w:tcW w:w="961" w:type="dxa"/>
            <w:tcBorders>
              <w:top w:val="single" w:sz="4" w:space="0" w:color="auto"/>
              <w:left w:val="nil"/>
              <w:bottom w:val="nil"/>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sidRPr="00A32A78">
              <w:rPr>
                <w:rFonts w:ascii="Arial" w:eastAsia="Times New Roman" w:hAnsi="Arial" w:cs="Arial"/>
                <w:sz w:val="20"/>
                <w:szCs w:val="20"/>
                <w:lang w:eastAsia="en-GB"/>
              </w:rPr>
              <w:t>Events</w:t>
            </w:r>
          </w:p>
        </w:tc>
        <w:tc>
          <w:tcPr>
            <w:tcW w:w="2298"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A32A78">
              <w:rPr>
                <w:rFonts w:ascii="Arial" w:eastAsia="Times New Roman" w:hAnsi="Arial" w:cs="Arial"/>
                <w:sz w:val="20"/>
                <w:szCs w:val="20"/>
                <w:lang w:eastAsia="en-GB"/>
              </w:rPr>
              <w:t xml:space="preserve"> ratio (95% CI)</w:t>
            </w:r>
          </w:p>
        </w:tc>
        <w:tc>
          <w:tcPr>
            <w:tcW w:w="960"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p>
        </w:tc>
        <w:tc>
          <w:tcPr>
            <w:tcW w:w="884"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sidRPr="00A32A78">
              <w:rPr>
                <w:rFonts w:ascii="Arial" w:eastAsia="Times New Roman" w:hAnsi="Arial" w:cs="Arial"/>
                <w:sz w:val="20"/>
                <w:szCs w:val="20"/>
                <w:lang w:eastAsia="en-GB"/>
              </w:rPr>
              <w:t>Events</w:t>
            </w:r>
          </w:p>
        </w:tc>
        <w:tc>
          <w:tcPr>
            <w:tcW w:w="2298"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A32A78">
              <w:rPr>
                <w:rFonts w:ascii="Arial" w:eastAsia="Times New Roman" w:hAnsi="Arial" w:cs="Arial"/>
                <w:sz w:val="20"/>
                <w:szCs w:val="20"/>
                <w:lang w:eastAsia="en-GB"/>
              </w:rPr>
              <w:t xml:space="preserve"> ratio (95% CI)</w:t>
            </w:r>
          </w:p>
        </w:tc>
        <w:tc>
          <w:tcPr>
            <w:tcW w:w="960"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p>
        </w:tc>
        <w:tc>
          <w:tcPr>
            <w:tcW w:w="884"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sidRPr="00A32A78">
              <w:rPr>
                <w:rFonts w:ascii="Arial" w:eastAsia="Times New Roman" w:hAnsi="Arial" w:cs="Arial"/>
                <w:sz w:val="20"/>
                <w:szCs w:val="20"/>
                <w:lang w:eastAsia="en-GB"/>
              </w:rPr>
              <w:t>Events</w:t>
            </w:r>
          </w:p>
        </w:tc>
        <w:tc>
          <w:tcPr>
            <w:tcW w:w="2342" w:type="dxa"/>
            <w:gridSpan w:val="2"/>
            <w:tcBorders>
              <w:top w:val="single" w:sz="4" w:space="0" w:color="auto"/>
              <w:left w:val="nil"/>
              <w:bottom w:val="single" w:sz="4" w:space="0" w:color="auto"/>
              <w:right w:val="nil"/>
            </w:tcBorders>
            <w:shd w:val="clear" w:color="auto" w:fill="auto"/>
            <w:noWrap/>
            <w:hideMark/>
          </w:tcPr>
          <w:p w:rsidR="004275F9" w:rsidRPr="00A32A78" w:rsidRDefault="004275F9" w:rsidP="00F5466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Rate</w:t>
            </w:r>
            <w:r w:rsidRPr="00A32A78">
              <w:rPr>
                <w:rFonts w:ascii="Arial" w:eastAsia="Times New Roman" w:hAnsi="Arial" w:cs="Arial"/>
                <w:sz w:val="20"/>
                <w:szCs w:val="20"/>
                <w:lang w:eastAsia="en-GB"/>
              </w:rPr>
              <w:t xml:space="preserve"> ratio (95% CI)</w:t>
            </w:r>
          </w:p>
        </w:tc>
      </w:tr>
      <w:tr w:rsidR="004275F9" w:rsidRPr="00A32A78" w:rsidTr="00F54663">
        <w:trPr>
          <w:gridAfter w:val="1"/>
          <w:wAfter w:w="130" w:type="dxa"/>
          <w:trHeight w:val="255"/>
        </w:trPr>
        <w:tc>
          <w:tcPr>
            <w:tcW w:w="4297" w:type="dxa"/>
            <w:gridSpan w:val="4"/>
            <w:tcBorders>
              <w:top w:val="nil"/>
              <w:left w:val="nil"/>
              <w:bottom w:val="nil"/>
              <w:right w:val="nil"/>
            </w:tcBorders>
          </w:tcPr>
          <w:p w:rsidR="004275F9" w:rsidRPr="00A32A78" w:rsidRDefault="004275F9" w:rsidP="00F54663">
            <w:pPr>
              <w:spacing w:after="0" w:line="240" w:lineRule="auto"/>
              <w:rPr>
                <w:rFonts w:ascii="Times New Roman" w:eastAsia="Times New Roman" w:hAnsi="Times New Roman" w:cs="Times New Roman"/>
                <w:sz w:val="20"/>
                <w:szCs w:val="20"/>
                <w:lang w:eastAsia="en-GB"/>
              </w:rPr>
            </w:pPr>
            <w:r>
              <w:rPr>
                <w:rFonts w:ascii="Arial" w:eastAsia="Times New Roman" w:hAnsi="Arial" w:cs="Arial"/>
                <w:b/>
                <w:sz w:val="20"/>
                <w:szCs w:val="20"/>
                <w:lang w:eastAsia="en-GB"/>
              </w:rPr>
              <w:t>Incidence of stroke</w:t>
            </w: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Times New Roman" w:eastAsia="Times New Roman" w:hAnsi="Times New Roman" w:cs="Times New Roman"/>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Times New Roman" w:eastAsia="Times New Roman" w:hAnsi="Times New Roman" w:cs="Times New Roman"/>
                <w:sz w:val="20"/>
                <w:szCs w:val="20"/>
                <w:lang w:eastAsia="en-GB"/>
              </w:rPr>
            </w:pPr>
          </w:p>
        </w:tc>
        <w:tc>
          <w:tcPr>
            <w:tcW w:w="2298"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Times New Roman" w:eastAsia="Times New Roman" w:hAnsi="Times New Roman" w:cs="Times New Roman"/>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Times New Roman" w:eastAsia="Times New Roman" w:hAnsi="Times New Roman" w:cs="Times New Roman"/>
                <w:sz w:val="20"/>
                <w:szCs w:val="20"/>
                <w:lang w:eastAsia="en-GB"/>
              </w:rPr>
            </w:pPr>
          </w:p>
        </w:tc>
        <w:tc>
          <w:tcPr>
            <w:tcW w:w="2342"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Times New Roman" w:eastAsia="Times New Roman" w:hAnsi="Times New Roman" w:cs="Times New Roman"/>
                <w:sz w:val="20"/>
                <w:szCs w:val="20"/>
                <w:lang w:eastAsia="en-GB"/>
              </w:rPr>
            </w:pPr>
          </w:p>
        </w:tc>
      </w:tr>
      <w:tr w:rsidR="004275F9" w:rsidRPr="00A32A78" w:rsidTr="00E42AA4">
        <w:trPr>
          <w:trHeight w:val="255"/>
        </w:trPr>
        <w:tc>
          <w:tcPr>
            <w:tcW w:w="284" w:type="dxa"/>
            <w:tcBorders>
              <w:top w:val="nil"/>
              <w:left w:val="nil"/>
              <w:bottom w:val="nil"/>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&lt;70</w:t>
            </w:r>
          </w:p>
        </w:tc>
        <w:tc>
          <w:tcPr>
            <w:tcW w:w="884" w:type="dxa"/>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21526</w:t>
            </w:r>
          </w:p>
        </w:tc>
        <w:tc>
          <w:tcPr>
            <w:tcW w:w="2298"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1.376 (1.356 to 1.396)</w:t>
            </w: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13434</w:t>
            </w:r>
          </w:p>
        </w:tc>
        <w:tc>
          <w:tcPr>
            <w:tcW w:w="2298"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1.299 (1.274 to 1.324)</w:t>
            </w: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8374</w:t>
            </w:r>
          </w:p>
        </w:tc>
        <w:tc>
          <w:tcPr>
            <w:tcW w:w="2342"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1.281 (1.249 to 1.313)</w:t>
            </w:r>
          </w:p>
        </w:tc>
      </w:tr>
      <w:tr w:rsidR="004275F9" w:rsidRPr="00A32A78" w:rsidTr="00E42AA4">
        <w:trPr>
          <w:trHeight w:val="255"/>
        </w:trPr>
        <w:tc>
          <w:tcPr>
            <w:tcW w:w="284" w:type="dxa"/>
            <w:tcBorders>
              <w:top w:val="nil"/>
              <w:left w:val="nil"/>
              <w:bottom w:val="nil"/>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70-84</w:t>
            </w:r>
          </w:p>
        </w:tc>
        <w:tc>
          <w:tcPr>
            <w:tcW w:w="884" w:type="dxa"/>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28052</w:t>
            </w:r>
          </w:p>
        </w:tc>
        <w:tc>
          <w:tcPr>
            <w:tcW w:w="2298"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1.101 (1.088 to 1.115)</w:t>
            </w: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19062</w:t>
            </w:r>
          </w:p>
        </w:tc>
        <w:tc>
          <w:tcPr>
            <w:tcW w:w="2298"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1.090 (1.073 to 1.107)</w:t>
            </w: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15612</w:t>
            </w:r>
          </w:p>
        </w:tc>
        <w:tc>
          <w:tcPr>
            <w:tcW w:w="2342"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1.110 (1.091 to 1.130)</w:t>
            </w:r>
          </w:p>
        </w:tc>
      </w:tr>
      <w:tr w:rsidR="004275F9" w:rsidRPr="00A32A78" w:rsidTr="00E42AA4">
        <w:trPr>
          <w:trHeight w:val="255"/>
        </w:trPr>
        <w:tc>
          <w:tcPr>
            <w:tcW w:w="284" w:type="dxa"/>
            <w:tcBorders>
              <w:top w:val="nil"/>
              <w:left w:val="nil"/>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85+</w:t>
            </w:r>
          </w:p>
        </w:tc>
        <w:tc>
          <w:tcPr>
            <w:tcW w:w="884" w:type="dxa"/>
            <w:tcBorders>
              <w:top w:val="nil"/>
              <w:left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9115</w:t>
            </w:r>
          </w:p>
        </w:tc>
        <w:tc>
          <w:tcPr>
            <w:tcW w:w="2298"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0.984 (0.963 to 1.005)</w:t>
            </w:r>
          </w:p>
        </w:tc>
        <w:tc>
          <w:tcPr>
            <w:tcW w:w="960"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6652</w:t>
            </w:r>
          </w:p>
        </w:tc>
        <w:tc>
          <w:tcPr>
            <w:tcW w:w="2298"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1.027 (1.001 to 1.054)</w:t>
            </w:r>
          </w:p>
        </w:tc>
        <w:tc>
          <w:tcPr>
            <w:tcW w:w="960"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6500</w:t>
            </w:r>
          </w:p>
        </w:tc>
        <w:tc>
          <w:tcPr>
            <w:tcW w:w="2342"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1.062 (1.035 to 1.090)</w:t>
            </w:r>
          </w:p>
        </w:tc>
      </w:tr>
      <w:tr w:rsidR="004275F9" w:rsidRPr="00A32A78" w:rsidTr="00E42AA4">
        <w:trPr>
          <w:trHeight w:val="255"/>
        </w:trPr>
        <w:tc>
          <w:tcPr>
            <w:tcW w:w="284" w:type="dxa"/>
            <w:tcBorders>
              <w:top w:val="nil"/>
              <w:left w:val="nil"/>
              <w:bottom w:val="single" w:sz="4" w:space="0" w:color="auto"/>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Overall</w:t>
            </w:r>
          </w:p>
        </w:tc>
        <w:tc>
          <w:tcPr>
            <w:tcW w:w="884" w:type="dxa"/>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58693</w:t>
            </w:r>
          </w:p>
        </w:tc>
        <w:tc>
          <w:tcPr>
            <w:tcW w:w="2298"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1.169 (1.159 to 1.179)</w:t>
            </w:r>
          </w:p>
        </w:tc>
        <w:tc>
          <w:tcPr>
            <w:tcW w:w="960"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39148</w:t>
            </w:r>
          </w:p>
        </w:tc>
        <w:tc>
          <w:tcPr>
            <w:tcW w:w="2298"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1.144 (1.132 to 1.157)</w:t>
            </w:r>
          </w:p>
        </w:tc>
        <w:tc>
          <w:tcPr>
            <w:tcW w:w="960"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30486</w:t>
            </w:r>
          </w:p>
        </w:tc>
        <w:tc>
          <w:tcPr>
            <w:tcW w:w="2342"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1.145 (1.131 to 1.159)</w:t>
            </w:r>
          </w:p>
        </w:tc>
      </w:tr>
      <w:tr w:rsidR="004275F9" w:rsidRPr="00A32A78" w:rsidTr="00F54663">
        <w:trPr>
          <w:trHeight w:val="255"/>
        </w:trPr>
        <w:tc>
          <w:tcPr>
            <w:tcW w:w="1245" w:type="dxa"/>
            <w:gridSpan w:val="2"/>
            <w:tcBorders>
              <w:top w:val="nil"/>
              <w:left w:val="nil"/>
              <w:bottom w:val="nil"/>
              <w:right w:val="nil"/>
            </w:tcBorders>
          </w:tcPr>
          <w:p w:rsidR="004275F9" w:rsidRPr="00A32A78" w:rsidRDefault="004275F9" w:rsidP="00F54663">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All-cause d</w:t>
            </w:r>
            <w:r w:rsidRPr="00A32A78">
              <w:rPr>
                <w:rFonts w:ascii="Arial" w:eastAsia="Times New Roman" w:hAnsi="Arial" w:cs="Arial"/>
                <w:b/>
                <w:sz w:val="20"/>
                <w:szCs w:val="20"/>
                <w:lang w:eastAsia="en-GB"/>
              </w:rPr>
              <w:t>eath</w:t>
            </w:r>
          </w:p>
        </w:tc>
        <w:tc>
          <w:tcPr>
            <w:tcW w:w="884" w:type="dxa"/>
            <w:tcBorders>
              <w:top w:val="single" w:sz="4" w:space="0" w:color="auto"/>
              <w:left w:val="nil"/>
              <w:right w:val="nil"/>
            </w:tcBorders>
            <w:shd w:val="clear" w:color="auto" w:fill="auto"/>
            <w:noWrap/>
            <w:vAlign w:val="bottom"/>
          </w:tcPr>
          <w:p w:rsidR="004275F9" w:rsidRPr="00A32A78" w:rsidRDefault="004275F9" w:rsidP="00F54663">
            <w:pPr>
              <w:spacing w:after="0" w:line="240" w:lineRule="auto"/>
              <w:jc w:val="right"/>
              <w:rPr>
                <w:rFonts w:ascii="Arial" w:eastAsia="Times New Roman" w:hAnsi="Arial" w:cs="Arial"/>
                <w:sz w:val="20"/>
                <w:szCs w:val="20"/>
                <w:lang w:eastAsia="en-GB"/>
              </w:rPr>
            </w:pPr>
          </w:p>
        </w:tc>
        <w:tc>
          <w:tcPr>
            <w:tcW w:w="2298" w:type="dxa"/>
            <w:gridSpan w:val="2"/>
            <w:tcBorders>
              <w:top w:val="single" w:sz="4" w:space="0" w:color="auto"/>
              <w:left w:val="nil"/>
              <w:right w:val="nil"/>
            </w:tcBorders>
            <w:shd w:val="clear" w:color="auto" w:fill="auto"/>
            <w:noWrap/>
            <w:vAlign w:val="bottom"/>
          </w:tcPr>
          <w:p w:rsidR="004275F9" w:rsidRPr="00A32A78" w:rsidRDefault="004275F9" w:rsidP="00F54663">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right w:val="nil"/>
            </w:tcBorders>
            <w:shd w:val="clear" w:color="auto" w:fill="auto"/>
            <w:noWrap/>
            <w:vAlign w:val="bottom"/>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single" w:sz="4" w:space="0" w:color="auto"/>
              <w:left w:val="nil"/>
              <w:right w:val="nil"/>
            </w:tcBorders>
            <w:shd w:val="clear" w:color="auto" w:fill="auto"/>
            <w:noWrap/>
            <w:vAlign w:val="bottom"/>
          </w:tcPr>
          <w:p w:rsidR="004275F9" w:rsidRPr="00A32A78" w:rsidRDefault="004275F9" w:rsidP="00F54663">
            <w:pPr>
              <w:spacing w:after="0" w:line="240" w:lineRule="auto"/>
              <w:jc w:val="right"/>
              <w:rPr>
                <w:rFonts w:ascii="Arial" w:eastAsia="Times New Roman" w:hAnsi="Arial" w:cs="Arial"/>
                <w:sz w:val="20"/>
                <w:szCs w:val="20"/>
                <w:lang w:eastAsia="en-GB"/>
              </w:rPr>
            </w:pPr>
          </w:p>
        </w:tc>
        <w:tc>
          <w:tcPr>
            <w:tcW w:w="2298" w:type="dxa"/>
            <w:gridSpan w:val="2"/>
            <w:tcBorders>
              <w:top w:val="single" w:sz="4" w:space="0" w:color="auto"/>
              <w:left w:val="nil"/>
              <w:right w:val="nil"/>
            </w:tcBorders>
            <w:shd w:val="clear" w:color="auto" w:fill="auto"/>
            <w:noWrap/>
            <w:vAlign w:val="bottom"/>
          </w:tcPr>
          <w:p w:rsidR="004275F9" w:rsidRPr="00A32A78" w:rsidRDefault="004275F9" w:rsidP="00F54663">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right w:val="nil"/>
            </w:tcBorders>
            <w:shd w:val="clear" w:color="auto" w:fill="auto"/>
            <w:noWrap/>
            <w:vAlign w:val="bottom"/>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single" w:sz="4" w:space="0" w:color="auto"/>
              <w:left w:val="nil"/>
              <w:right w:val="nil"/>
            </w:tcBorders>
            <w:shd w:val="clear" w:color="auto" w:fill="auto"/>
            <w:noWrap/>
            <w:vAlign w:val="bottom"/>
          </w:tcPr>
          <w:p w:rsidR="004275F9" w:rsidRPr="00A32A78" w:rsidRDefault="004275F9" w:rsidP="00F54663">
            <w:pPr>
              <w:spacing w:after="0" w:line="240" w:lineRule="auto"/>
              <w:jc w:val="right"/>
              <w:rPr>
                <w:rFonts w:ascii="Arial" w:eastAsia="Times New Roman" w:hAnsi="Arial" w:cs="Arial"/>
                <w:sz w:val="20"/>
                <w:szCs w:val="20"/>
                <w:lang w:eastAsia="en-GB"/>
              </w:rPr>
            </w:pPr>
          </w:p>
        </w:tc>
        <w:tc>
          <w:tcPr>
            <w:tcW w:w="2342" w:type="dxa"/>
            <w:gridSpan w:val="2"/>
            <w:tcBorders>
              <w:top w:val="single" w:sz="4" w:space="0" w:color="auto"/>
              <w:left w:val="nil"/>
              <w:right w:val="nil"/>
            </w:tcBorders>
            <w:shd w:val="clear" w:color="auto" w:fill="auto"/>
            <w:noWrap/>
            <w:vAlign w:val="bottom"/>
          </w:tcPr>
          <w:p w:rsidR="004275F9" w:rsidRPr="00A32A78" w:rsidRDefault="004275F9" w:rsidP="00F54663">
            <w:pPr>
              <w:spacing w:after="0" w:line="240" w:lineRule="auto"/>
              <w:rPr>
                <w:rFonts w:ascii="Arial" w:eastAsia="Times New Roman" w:hAnsi="Arial" w:cs="Arial"/>
                <w:sz w:val="20"/>
                <w:szCs w:val="20"/>
                <w:lang w:eastAsia="en-GB"/>
              </w:rPr>
            </w:pPr>
          </w:p>
        </w:tc>
      </w:tr>
      <w:tr w:rsidR="004275F9" w:rsidRPr="00A32A78" w:rsidTr="00E42AA4">
        <w:trPr>
          <w:trHeight w:val="255"/>
        </w:trPr>
        <w:tc>
          <w:tcPr>
            <w:tcW w:w="284" w:type="dxa"/>
            <w:tcBorders>
              <w:top w:val="nil"/>
              <w:left w:val="nil"/>
              <w:bottom w:val="nil"/>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&lt;70</w:t>
            </w:r>
          </w:p>
        </w:tc>
        <w:tc>
          <w:tcPr>
            <w:tcW w:w="884" w:type="dxa"/>
            <w:tcBorders>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52290</w:t>
            </w:r>
          </w:p>
        </w:tc>
        <w:tc>
          <w:tcPr>
            <w:tcW w:w="2298" w:type="dxa"/>
            <w:gridSpan w:val="2"/>
            <w:tcBorders>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1.041 (1.030 to 1.051)</w:t>
            </w:r>
          </w:p>
        </w:tc>
        <w:tc>
          <w:tcPr>
            <w:tcW w:w="960" w:type="dxa"/>
            <w:gridSpan w:val="2"/>
            <w:tcBorders>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32164</w:t>
            </w:r>
          </w:p>
        </w:tc>
        <w:tc>
          <w:tcPr>
            <w:tcW w:w="2298" w:type="dxa"/>
            <w:gridSpan w:val="2"/>
            <w:tcBorders>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1.188 (1.173 to 1.203)</w:t>
            </w:r>
          </w:p>
        </w:tc>
        <w:tc>
          <w:tcPr>
            <w:tcW w:w="960" w:type="dxa"/>
            <w:gridSpan w:val="2"/>
            <w:tcBorders>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19291</w:t>
            </w:r>
          </w:p>
        </w:tc>
        <w:tc>
          <w:tcPr>
            <w:tcW w:w="2342" w:type="dxa"/>
            <w:gridSpan w:val="2"/>
            <w:tcBorders>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1.264 (1.244 to 1.285)</w:t>
            </w:r>
          </w:p>
        </w:tc>
      </w:tr>
      <w:tr w:rsidR="004275F9" w:rsidRPr="00A32A78" w:rsidTr="00E42AA4">
        <w:trPr>
          <w:trHeight w:val="255"/>
        </w:trPr>
        <w:tc>
          <w:tcPr>
            <w:tcW w:w="284" w:type="dxa"/>
            <w:tcBorders>
              <w:top w:val="nil"/>
              <w:left w:val="nil"/>
              <w:bottom w:val="nil"/>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70-84</w:t>
            </w:r>
          </w:p>
        </w:tc>
        <w:tc>
          <w:tcPr>
            <w:tcW w:w="884" w:type="dxa"/>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93248</w:t>
            </w:r>
          </w:p>
        </w:tc>
        <w:tc>
          <w:tcPr>
            <w:tcW w:w="2298"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0.859 (0.853 to 0.865)</w:t>
            </w: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66513</w:t>
            </w:r>
          </w:p>
        </w:tc>
        <w:tc>
          <w:tcPr>
            <w:tcW w:w="2298"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1.040 (1.031 to 1.048)</w:t>
            </w:r>
          </w:p>
        </w:tc>
        <w:tc>
          <w:tcPr>
            <w:tcW w:w="960"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50494</w:t>
            </w:r>
          </w:p>
        </w:tc>
        <w:tc>
          <w:tcPr>
            <w:tcW w:w="2342" w:type="dxa"/>
            <w:gridSpan w:val="2"/>
            <w:tcBorders>
              <w:top w:val="nil"/>
              <w:left w:val="nil"/>
              <w:bottom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1.142 (1.131 to 1.153)</w:t>
            </w:r>
          </w:p>
        </w:tc>
      </w:tr>
      <w:tr w:rsidR="004275F9" w:rsidRPr="00A32A78" w:rsidTr="00E42AA4">
        <w:trPr>
          <w:trHeight w:val="255"/>
        </w:trPr>
        <w:tc>
          <w:tcPr>
            <w:tcW w:w="284" w:type="dxa"/>
            <w:tcBorders>
              <w:top w:val="nil"/>
              <w:left w:val="nil"/>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85+</w:t>
            </w:r>
          </w:p>
        </w:tc>
        <w:tc>
          <w:tcPr>
            <w:tcW w:w="884" w:type="dxa"/>
            <w:tcBorders>
              <w:top w:val="nil"/>
              <w:left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53711</w:t>
            </w:r>
          </w:p>
        </w:tc>
        <w:tc>
          <w:tcPr>
            <w:tcW w:w="2298"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0.775 (0.767 to 0.782)</w:t>
            </w:r>
          </w:p>
        </w:tc>
        <w:tc>
          <w:tcPr>
            <w:tcW w:w="960"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38468</w:t>
            </w:r>
          </w:p>
        </w:tc>
        <w:tc>
          <w:tcPr>
            <w:tcW w:w="2298"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0.978 (0.967 to 0.988)</w:t>
            </w:r>
          </w:p>
        </w:tc>
        <w:tc>
          <w:tcPr>
            <w:tcW w:w="960"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36726</w:t>
            </w:r>
          </w:p>
        </w:tc>
        <w:tc>
          <w:tcPr>
            <w:tcW w:w="2342" w:type="dxa"/>
            <w:gridSpan w:val="2"/>
            <w:tcBorders>
              <w:top w:val="nil"/>
              <w:left w:val="nil"/>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1.080 (1.068 to 1.092)</w:t>
            </w:r>
          </w:p>
        </w:tc>
      </w:tr>
      <w:tr w:rsidR="004275F9" w:rsidRPr="00A32A78" w:rsidTr="00E42AA4">
        <w:trPr>
          <w:trHeight w:val="255"/>
        </w:trPr>
        <w:tc>
          <w:tcPr>
            <w:tcW w:w="284" w:type="dxa"/>
            <w:tcBorders>
              <w:top w:val="nil"/>
              <w:left w:val="nil"/>
              <w:bottom w:val="single" w:sz="4" w:space="0" w:color="auto"/>
              <w:right w:val="nil"/>
            </w:tcBorders>
          </w:tcPr>
          <w:p w:rsidR="004275F9" w:rsidRPr="00A32A78" w:rsidRDefault="004275F9" w:rsidP="00F54663">
            <w:pPr>
              <w:spacing w:after="0" w:line="240" w:lineRule="auto"/>
              <w:rPr>
                <w:rFonts w:ascii="Arial" w:eastAsia="Times New Roman" w:hAnsi="Arial" w:cs="Arial"/>
                <w:sz w:val="20"/>
                <w:szCs w:val="20"/>
                <w:lang w:eastAsia="en-GB"/>
              </w:rPr>
            </w:pPr>
          </w:p>
        </w:tc>
        <w:tc>
          <w:tcPr>
            <w:tcW w:w="961" w:type="dxa"/>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Overall</w:t>
            </w:r>
          </w:p>
        </w:tc>
        <w:tc>
          <w:tcPr>
            <w:tcW w:w="884" w:type="dxa"/>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199249</w:t>
            </w:r>
          </w:p>
        </w:tc>
        <w:tc>
          <w:tcPr>
            <w:tcW w:w="2298"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0.870 (0.866 to 0.875)</w:t>
            </w:r>
          </w:p>
        </w:tc>
        <w:tc>
          <w:tcPr>
            <w:tcW w:w="960"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137145</w:t>
            </w:r>
          </w:p>
        </w:tc>
        <w:tc>
          <w:tcPr>
            <w:tcW w:w="2298"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1.051 (1.044 to 1.057)</w:t>
            </w:r>
          </w:p>
        </w:tc>
        <w:tc>
          <w:tcPr>
            <w:tcW w:w="960"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p>
        </w:tc>
        <w:tc>
          <w:tcPr>
            <w:tcW w:w="884"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jc w:val="right"/>
              <w:rPr>
                <w:rFonts w:ascii="Arial" w:eastAsia="Times New Roman" w:hAnsi="Arial" w:cs="Arial"/>
                <w:sz w:val="20"/>
                <w:szCs w:val="20"/>
                <w:lang w:eastAsia="en-GB"/>
              </w:rPr>
            </w:pPr>
            <w:r w:rsidRPr="00A32A78">
              <w:rPr>
                <w:rFonts w:ascii="Arial" w:eastAsia="Times New Roman" w:hAnsi="Arial" w:cs="Arial"/>
                <w:sz w:val="20"/>
                <w:szCs w:val="20"/>
                <w:lang w:eastAsia="en-GB"/>
              </w:rPr>
              <w:t>106511</w:t>
            </w:r>
          </w:p>
        </w:tc>
        <w:tc>
          <w:tcPr>
            <w:tcW w:w="2342" w:type="dxa"/>
            <w:gridSpan w:val="2"/>
            <w:tcBorders>
              <w:top w:val="nil"/>
              <w:left w:val="nil"/>
              <w:bottom w:val="single" w:sz="4" w:space="0" w:color="auto"/>
              <w:right w:val="nil"/>
            </w:tcBorders>
            <w:shd w:val="clear" w:color="auto" w:fill="auto"/>
            <w:noWrap/>
            <w:vAlign w:val="bottom"/>
            <w:hideMark/>
          </w:tcPr>
          <w:p w:rsidR="004275F9" w:rsidRPr="00A32A78" w:rsidRDefault="004275F9" w:rsidP="00F54663">
            <w:pPr>
              <w:spacing w:after="0" w:line="240" w:lineRule="auto"/>
              <w:rPr>
                <w:rFonts w:ascii="Arial" w:eastAsia="Times New Roman" w:hAnsi="Arial" w:cs="Arial"/>
                <w:sz w:val="20"/>
                <w:szCs w:val="20"/>
                <w:lang w:eastAsia="en-GB"/>
              </w:rPr>
            </w:pPr>
            <w:r w:rsidRPr="00A32A78">
              <w:rPr>
                <w:rFonts w:ascii="Arial" w:eastAsia="Times New Roman" w:hAnsi="Arial" w:cs="Arial"/>
                <w:sz w:val="20"/>
                <w:szCs w:val="20"/>
                <w:lang w:eastAsia="en-GB"/>
              </w:rPr>
              <w:t>1.139 (1.132 to 1.147)</w:t>
            </w:r>
          </w:p>
        </w:tc>
      </w:tr>
    </w:tbl>
    <w:p w:rsidR="004275F9" w:rsidRDefault="004275F9" w:rsidP="004275F9"/>
    <w:p w:rsidR="004275F9" w:rsidRDefault="004275F9" w:rsidP="004275F9"/>
    <w:p w:rsidR="00210D85" w:rsidRDefault="00210D85" w:rsidP="004275F9"/>
    <w:p w:rsidR="00210D85" w:rsidRDefault="00210D85" w:rsidP="004275F9">
      <w:pPr>
        <w:sectPr w:rsidR="00210D85" w:rsidSect="000C0ABD">
          <w:pgSz w:w="16838" w:h="11906" w:orient="landscape"/>
          <w:pgMar w:top="1440" w:right="1440" w:bottom="1440" w:left="1440" w:header="708" w:footer="708" w:gutter="0"/>
          <w:cols w:space="708"/>
          <w:docGrid w:linePitch="360"/>
        </w:sectPr>
      </w:pPr>
    </w:p>
    <w:p w:rsidR="00210D85" w:rsidRPr="000C1089" w:rsidRDefault="00210D85" w:rsidP="00210D85">
      <w:pPr>
        <w:rPr>
          <w:b/>
          <w:u w:val="single"/>
        </w:rPr>
      </w:pPr>
      <w:r>
        <w:rPr>
          <w:b/>
        </w:rPr>
        <w:lastRenderedPageBreak/>
        <w:t xml:space="preserve">Supplementary Table 6: </w:t>
      </w:r>
      <w:r>
        <w:t xml:space="preserve">Rate ratios of systolic blood pressure with </w:t>
      </w:r>
      <w:r w:rsidR="0057177D">
        <w:t xml:space="preserve">dementia, Alzheimer’s disease and vascular dementia amongst patients aged &lt;60 or &lt;65, restricted to long term follow-up ( &gt;10 years after post-measurement) </w:t>
      </w:r>
    </w:p>
    <w:tbl>
      <w:tblPr>
        <w:tblW w:w="8647" w:type="dxa"/>
        <w:tblLook w:val="04A0" w:firstRow="1" w:lastRow="0" w:firstColumn="1" w:lastColumn="0" w:noHBand="0" w:noVBand="1"/>
      </w:tblPr>
      <w:tblGrid>
        <w:gridCol w:w="3100"/>
        <w:gridCol w:w="1862"/>
        <w:gridCol w:w="1842"/>
        <w:gridCol w:w="1843"/>
      </w:tblGrid>
      <w:tr w:rsidR="00210D85" w:rsidRPr="0001516B" w:rsidTr="00C57A86">
        <w:trPr>
          <w:trHeight w:val="300"/>
        </w:trPr>
        <w:tc>
          <w:tcPr>
            <w:tcW w:w="3100" w:type="dxa"/>
            <w:tcBorders>
              <w:top w:val="single" w:sz="4" w:space="0" w:color="auto"/>
              <w:left w:val="nil"/>
              <w:bottom w:val="nil"/>
              <w:right w:val="nil"/>
            </w:tcBorders>
            <w:shd w:val="clear" w:color="auto" w:fill="auto"/>
            <w:noWrap/>
            <w:hideMark/>
          </w:tcPr>
          <w:p w:rsidR="00210D85" w:rsidRPr="0001516B" w:rsidRDefault="00210D85" w:rsidP="00C57A86">
            <w:pPr>
              <w:spacing w:after="0" w:line="240" w:lineRule="auto"/>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 </w:t>
            </w:r>
          </w:p>
        </w:tc>
        <w:tc>
          <w:tcPr>
            <w:tcW w:w="5547" w:type="dxa"/>
            <w:gridSpan w:val="3"/>
            <w:tcBorders>
              <w:top w:val="single" w:sz="4" w:space="0" w:color="auto"/>
              <w:left w:val="nil"/>
              <w:bottom w:val="single" w:sz="4" w:space="0" w:color="auto"/>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Rate</w:t>
            </w:r>
            <w:r w:rsidRPr="0001516B">
              <w:rPr>
                <w:rFonts w:ascii="Calibri" w:eastAsia="Times New Roman" w:hAnsi="Calibri" w:cs="Times New Roman"/>
                <w:color w:val="000000"/>
                <w:lang w:eastAsia="en-GB"/>
              </w:rPr>
              <w:t xml:space="preserve"> ratio (95% CI)</w:t>
            </w:r>
          </w:p>
        </w:tc>
      </w:tr>
      <w:tr w:rsidR="00210D85" w:rsidRPr="0001516B" w:rsidTr="00C57A86">
        <w:trPr>
          <w:trHeight w:val="780"/>
        </w:trPr>
        <w:tc>
          <w:tcPr>
            <w:tcW w:w="3100" w:type="dxa"/>
            <w:tcBorders>
              <w:top w:val="nil"/>
              <w:left w:val="nil"/>
              <w:bottom w:val="nil"/>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p>
        </w:tc>
        <w:tc>
          <w:tcPr>
            <w:tcW w:w="1862" w:type="dxa"/>
            <w:tcBorders>
              <w:top w:val="nil"/>
              <w:left w:val="nil"/>
              <w:bottom w:val="single" w:sz="4" w:space="0" w:color="auto"/>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Any dementia</w:t>
            </w:r>
          </w:p>
        </w:tc>
        <w:tc>
          <w:tcPr>
            <w:tcW w:w="1842" w:type="dxa"/>
            <w:tcBorders>
              <w:top w:val="nil"/>
              <w:left w:val="nil"/>
              <w:bottom w:val="single" w:sz="4" w:space="0" w:color="auto"/>
              <w:right w:val="nil"/>
            </w:tcBorders>
            <w:shd w:val="clear" w:color="auto" w:fill="auto"/>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Alzheimer's disease</w:t>
            </w:r>
          </w:p>
        </w:tc>
        <w:tc>
          <w:tcPr>
            <w:tcW w:w="1843" w:type="dxa"/>
            <w:tcBorders>
              <w:top w:val="nil"/>
              <w:left w:val="nil"/>
              <w:bottom w:val="single" w:sz="4" w:space="0" w:color="auto"/>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Vascular dementia</w:t>
            </w:r>
          </w:p>
        </w:tc>
      </w:tr>
      <w:tr w:rsidR="00210D85" w:rsidRPr="0001516B" w:rsidTr="00C57A86">
        <w:trPr>
          <w:trHeight w:val="300"/>
        </w:trPr>
        <w:tc>
          <w:tcPr>
            <w:tcW w:w="3100" w:type="dxa"/>
            <w:tcBorders>
              <w:top w:val="nil"/>
              <w:left w:val="nil"/>
              <w:bottom w:val="nil"/>
              <w:right w:val="nil"/>
            </w:tcBorders>
            <w:shd w:val="clear" w:color="auto" w:fill="auto"/>
            <w:noWrap/>
            <w:hideMark/>
          </w:tcPr>
          <w:p w:rsidR="00210D85" w:rsidRPr="0001516B" w:rsidRDefault="00210D85" w:rsidP="00C57A86">
            <w:pPr>
              <w:spacing w:after="0" w:line="240" w:lineRule="auto"/>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Amongst patients aged &lt;60</w:t>
            </w:r>
          </w:p>
        </w:tc>
        <w:tc>
          <w:tcPr>
            <w:tcW w:w="1862" w:type="dxa"/>
            <w:tcBorders>
              <w:top w:val="nil"/>
              <w:left w:val="nil"/>
              <w:bottom w:val="nil"/>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1.09 (0.91,1.31)</w:t>
            </w:r>
          </w:p>
        </w:tc>
        <w:tc>
          <w:tcPr>
            <w:tcW w:w="1842" w:type="dxa"/>
            <w:tcBorders>
              <w:top w:val="nil"/>
              <w:left w:val="nil"/>
              <w:bottom w:val="nil"/>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0.87 (0.69,1.08)</w:t>
            </w:r>
          </w:p>
        </w:tc>
        <w:tc>
          <w:tcPr>
            <w:tcW w:w="1843" w:type="dxa"/>
            <w:tcBorders>
              <w:top w:val="nil"/>
              <w:left w:val="nil"/>
              <w:bottom w:val="nil"/>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1.95 (1.40,2.72)</w:t>
            </w:r>
          </w:p>
        </w:tc>
      </w:tr>
      <w:tr w:rsidR="00210D85" w:rsidRPr="0001516B" w:rsidTr="00C57A86">
        <w:trPr>
          <w:trHeight w:val="315"/>
        </w:trPr>
        <w:tc>
          <w:tcPr>
            <w:tcW w:w="3100" w:type="dxa"/>
            <w:tcBorders>
              <w:top w:val="nil"/>
              <w:left w:val="nil"/>
              <w:bottom w:val="single" w:sz="4" w:space="0" w:color="auto"/>
              <w:right w:val="nil"/>
            </w:tcBorders>
            <w:shd w:val="clear" w:color="auto" w:fill="auto"/>
            <w:noWrap/>
            <w:hideMark/>
          </w:tcPr>
          <w:p w:rsidR="00210D85" w:rsidRPr="0001516B" w:rsidRDefault="00210D85" w:rsidP="00C57A86">
            <w:pPr>
              <w:spacing w:after="0" w:line="240" w:lineRule="auto"/>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Amongst patients aged &lt;65</w:t>
            </w:r>
            <w:r w:rsidR="004453C9">
              <w:rPr>
                <w:rFonts w:ascii="Calibri" w:eastAsia="Times New Roman" w:hAnsi="Calibri" w:cs="Times New Roman"/>
                <w:color w:val="000000"/>
                <w:lang w:eastAsia="en-GB"/>
              </w:rPr>
              <w:t xml:space="preserve"> (including those aged &lt;60)</w:t>
            </w:r>
            <w:bookmarkStart w:id="0" w:name="_GoBack"/>
            <w:bookmarkEnd w:id="0"/>
          </w:p>
        </w:tc>
        <w:tc>
          <w:tcPr>
            <w:tcW w:w="1862" w:type="dxa"/>
            <w:tcBorders>
              <w:top w:val="nil"/>
              <w:left w:val="nil"/>
              <w:bottom w:val="single" w:sz="4" w:space="0" w:color="auto"/>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1.10 (1.00,1.22)</w:t>
            </w:r>
          </w:p>
        </w:tc>
        <w:tc>
          <w:tcPr>
            <w:tcW w:w="1842" w:type="dxa"/>
            <w:tcBorders>
              <w:top w:val="nil"/>
              <w:left w:val="nil"/>
              <w:bottom w:val="single" w:sz="4" w:space="0" w:color="auto"/>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1.00 (0.88,1.13)</w:t>
            </w:r>
          </w:p>
        </w:tc>
        <w:tc>
          <w:tcPr>
            <w:tcW w:w="1843" w:type="dxa"/>
            <w:tcBorders>
              <w:top w:val="nil"/>
              <w:left w:val="nil"/>
              <w:bottom w:val="single" w:sz="4" w:space="0" w:color="auto"/>
              <w:right w:val="nil"/>
            </w:tcBorders>
            <w:shd w:val="clear" w:color="auto" w:fill="auto"/>
            <w:noWrap/>
            <w:hideMark/>
          </w:tcPr>
          <w:p w:rsidR="00210D85" w:rsidRPr="0001516B" w:rsidRDefault="00210D85" w:rsidP="00C57A86">
            <w:pPr>
              <w:spacing w:after="0" w:line="240" w:lineRule="auto"/>
              <w:jc w:val="center"/>
              <w:rPr>
                <w:rFonts w:ascii="Calibri" w:eastAsia="Times New Roman" w:hAnsi="Calibri" w:cs="Times New Roman"/>
                <w:color w:val="000000"/>
                <w:lang w:eastAsia="en-GB"/>
              </w:rPr>
            </w:pPr>
            <w:r w:rsidRPr="0001516B">
              <w:rPr>
                <w:rFonts w:ascii="Calibri" w:eastAsia="Times New Roman" w:hAnsi="Calibri" w:cs="Times New Roman"/>
                <w:color w:val="000000"/>
                <w:lang w:eastAsia="en-GB"/>
              </w:rPr>
              <w:t> 1.42 (1.14,1.77)</w:t>
            </w:r>
          </w:p>
        </w:tc>
      </w:tr>
    </w:tbl>
    <w:p w:rsidR="00210D85" w:rsidRPr="00210D85" w:rsidRDefault="00210D85" w:rsidP="004275F9">
      <w:pPr>
        <w:rPr>
          <w:b/>
        </w:rPr>
        <w:sectPr w:rsidR="00210D85" w:rsidRPr="00210D85" w:rsidSect="000C0ABD">
          <w:pgSz w:w="16838" w:h="11906" w:orient="landscape"/>
          <w:pgMar w:top="1440" w:right="1440" w:bottom="1440" w:left="1440" w:header="708" w:footer="708" w:gutter="0"/>
          <w:cols w:space="708"/>
          <w:docGrid w:linePitch="360"/>
        </w:sectPr>
      </w:pPr>
    </w:p>
    <w:p w:rsidR="004275F9" w:rsidRDefault="004275F9" w:rsidP="004275F9">
      <w:r>
        <w:rPr>
          <w:b/>
        </w:rPr>
        <w:lastRenderedPageBreak/>
        <w:t xml:space="preserve">Supplementary Figure 1: </w:t>
      </w:r>
      <w:r w:rsidRPr="00786569">
        <w:t xml:space="preserve">Age and sex </w:t>
      </w:r>
      <w:r>
        <w:t xml:space="preserve">standardized rates of dementia by long-term average systolic blood pressure </w:t>
      </w:r>
    </w:p>
    <w:p w:rsidR="004275F9" w:rsidRDefault="004275F9" w:rsidP="004275F9">
      <w:r w:rsidRPr="00CE5878">
        <w:rPr>
          <w:noProof/>
          <w:lang w:eastAsia="en-GB"/>
        </w:rPr>
        <w:drawing>
          <wp:inline distT="0" distB="0" distL="0" distR="0" wp14:anchorId="380B10DB" wp14:editId="1B9274CE">
            <wp:extent cx="6168788" cy="4507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65" cy="4515800"/>
                    </a:xfrm>
                    <a:prstGeom prst="rect">
                      <a:avLst/>
                    </a:prstGeom>
                    <a:noFill/>
                    <a:ln>
                      <a:noFill/>
                    </a:ln>
                  </pic:spPr>
                </pic:pic>
              </a:graphicData>
            </a:graphic>
          </wp:inline>
        </w:drawing>
      </w:r>
    </w:p>
    <w:p w:rsidR="004275F9" w:rsidRDefault="004275F9" w:rsidP="004275F9">
      <w:pPr>
        <w:rPr>
          <w:b/>
        </w:rPr>
      </w:pPr>
    </w:p>
    <w:p w:rsidR="004275F9" w:rsidRDefault="004275F9" w:rsidP="004275F9">
      <w:pPr>
        <w:rPr>
          <w:b/>
        </w:rPr>
      </w:pPr>
    </w:p>
    <w:p w:rsidR="004275F9" w:rsidRDefault="004275F9" w:rsidP="004275F9">
      <w:pPr>
        <w:rPr>
          <w:b/>
        </w:rPr>
        <w:sectPr w:rsidR="004275F9" w:rsidSect="000C0ABD">
          <w:pgSz w:w="16838" w:h="11906" w:orient="landscape"/>
          <w:pgMar w:top="1440" w:right="1440" w:bottom="1440" w:left="1440" w:header="708" w:footer="708" w:gutter="0"/>
          <w:cols w:space="708"/>
          <w:docGrid w:linePitch="360"/>
        </w:sectPr>
      </w:pPr>
    </w:p>
    <w:p w:rsidR="004275F9" w:rsidRDefault="004275F9" w:rsidP="004275F9">
      <w:r>
        <w:rPr>
          <w:b/>
        </w:rPr>
        <w:lastRenderedPageBreak/>
        <w:t xml:space="preserve">Supplementary Figure 2: </w:t>
      </w:r>
      <w:r w:rsidRPr="00786569">
        <w:t xml:space="preserve">Age and sex </w:t>
      </w:r>
      <w:r>
        <w:t>standardized rates of dementia by long-term average</w:t>
      </w:r>
      <w:r w:rsidRPr="00483F74">
        <w:rPr>
          <w:b/>
          <w:u w:val="single"/>
        </w:rPr>
        <w:t xml:space="preserve"> diastolic blood pressure</w:t>
      </w:r>
      <w:r>
        <w:t xml:space="preserve"> during the A) the first 5-years after measurement B) 5-10 years after measurement; C) &gt;10 years after measurement</w:t>
      </w:r>
    </w:p>
    <w:p w:rsidR="004275F9" w:rsidRDefault="004275F9" w:rsidP="004275F9"/>
    <w:p w:rsidR="004275F9" w:rsidRDefault="004275F9" w:rsidP="004275F9">
      <w:r>
        <w:rPr>
          <w:noProof/>
          <w:lang w:eastAsia="en-GB"/>
        </w:rPr>
        <w:drawing>
          <wp:inline distT="0" distB="0" distL="0" distR="0" wp14:anchorId="5C97D51B" wp14:editId="47D75795">
            <wp:extent cx="6905297" cy="4849092"/>
            <wp:effectExtent l="0" t="0" r="0" b="0"/>
            <wp:docPr id="5" name="Picture 5" descr="F:\Documents\LSHTM\SBP dementia\output\May17\formatted\DBPdementia_agesexAdj.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LSHTM\SBP dementia\output\May17\formatted\DBPdementia_agesexAdj.e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1273" cy="4860311"/>
                    </a:xfrm>
                    <a:prstGeom prst="rect">
                      <a:avLst/>
                    </a:prstGeom>
                    <a:noFill/>
                    <a:ln>
                      <a:noFill/>
                    </a:ln>
                  </pic:spPr>
                </pic:pic>
              </a:graphicData>
            </a:graphic>
          </wp:inline>
        </w:drawing>
      </w:r>
    </w:p>
    <w:p w:rsidR="004275F9" w:rsidRDefault="004275F9" w:rsidP="004275F9">
      <w:r>
        <w:rPr>
          <w:b/>
        </w:rPr>
        <w:lastRenderedPageBreak/>
        <w:t xml:space="preserve">Supplementary Figure 3: </w:t>
      </w:r>
      <w:r w:rsidRPr="00786569">
        <w:t xml:space="preserve">Age and sex </w:t>
      </w:r>
      <w:r>
        <w:t xml:space="preserve">standardized rates </w:t>
      </w:r>
      <w:r w:rsidRPr="00483F74">
        <w:t>of</w:t>
      </w:r>
      <w:r w:rsidRPr="00483F74">
        <w:rPr>
          <w:b/>
          <w:u w:val="single"/>
        </w:rPr>
        <w:t xml:space="preserve"> stroke</w:t>
      </w:r>
      <w:r>
        <w:t xml:space="preserve"> by long-term average systolic blood pressure during the A) the first 5-years after measurement B) 5-10 years after measurement; C) &gt;10 years after measurement</w:t>
      </w:r>
    </w:p>
    <w:p w:rsidR="004275F9" w:rsidRDefault="004275F9" w:rsidP="004275F9">
      <w:r>
        <w:rPr>
          <w:noProof/>
          <w:lang w:eastAsia="en-GB"/>
        </w:rPr>
        <w:drawing>
          <wp:inline distT="0" distB="0" distL="0" distR="0" wp14:anchorId="2B47C2C0" wp14:editId="7B070E7F">
            <wp:extent cx="6896100" cy="4851931"/>
            <wp:effectExtent l="0" t="0" r="0" b="0"/>
            <wp:docPr id="6" name="Picture 6" descr="F:\Documents\LSHTM\SBP dementia\output\May17\formatted\SBPstroke_agesexAdj.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LSHTM\SBP dementia\output\May17\formatted\SBPstroke_agesexAdj.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0966" cy="4869426"/>
                    </a:xfrm>
                    <a:prstGeom prst="rect">
                      <a:avLst/>
                    </a:prstGeom>
                    <a:noFill/>
                    <a:ln>
                      <a:noFill/>
                    </a:ln>
                  </pic:spPr>
                </pic:pic>
              </a:graphicData>
            </a:graphic>
          </wp:inline>
        </w:drawing>
      </w:r>
    </w:p>
    <w:p w:rsidR="004275F9" w:rsidRDefault="004275F9" w:rsidP="004275F9"/>
    <w:p w:rsidR="004275F9" w:rsidRDefault="004275F9" w:rsidP="004275F9">
      <w:pPr>
        <w:sectPr w:rsidR="004275F9" w:rsidSect="000C0ABD">
          <w:pgSz w:w="16838" w:h="11906" w:orient="landscape"/>
          <w:pgMar w:top="1440" w:right="1440" w:bottom="1440" w:left="1440" w:header="708" w:footer="708" w:gutter="0"/>
          <w:cols w:space="708"/>
          <w:docGrid w:linePitch="360"/>
        </w:sectPr>
      </w:pPr>
    </w:p>
    <w:p w:rsidR="004275F9" w:rsidRDefault="004275F9" w:rsidP="004275F9">
      <w:r>
        <w:rPr>
          <w:b/>
        </w:rPr>
        <w:lastRenderedPageBreak/>
        <w:t xml:space="preserve">Supplementary Figure 4: </w:t>
      </w:r>
      <w:r w:rsidRPr="00786569">
        <w:t xml:space="preserve">Age and sex </w:t>
      </w:r>
      <w:r>
        <w:t xml:space="preserve">standardized rates for </w:t>
      </w:r>
      <w:r w:rsidRPr="00483F74">
        <w:rPr>
          <w:b/>
          <w:u w:val="single"/>
        </w:rPr>
        <w:t>all-cause mortality</w:t>
      </w:r>
      <w:r>
        <w:t xml:space="preserve"> by long-term average systolic blood pressure during the A) the first 5-years after measurement B) 5-10 years after measurement; C) &gt;10 years after measurement</w:t>
      </w:r>
    </w:p>
    <w:p w:rsidR="004275F9" w:rsidRDefault="004275F9" w:rsidP="004275F9">
      <w:pPr>
        <w:sectPr w:rsidR="004275F9" w:rsidSect="000C0ABD">
          <w:pgSz w:w="16838" w:h="11906" w:orient="landscape"/>
          <w:pgMar w:top="1440" w:right="1440" w:bottom="1440" w:left="1440" w:header="708" w:footer="708" w:gutter="0"/>
          <w:cols w:space="708"/>
          <w:docGrid w:linePitch="360"/>
        </w:sectPr>
      </w:pPr>
      <w:r>
        <w:rPr>
          <w:noProof/>
          <w:lang w:eastAsia="en-GB"/>
        </w:rPr>
        <w:drawing>
          <wp:inline distT="0" distB="0" distL="0" distR="0" wp14:anchorId="58C41AAB" wp14:editId="763FE7C3">
            <wp:extent cx="7028597" cy="4945152"/>
            <wp:effectExtent l="0" t="0" r="0" b="0"/>
            <wp:docPr id="1" name="Picture 1" descr="F:\Documents\LSHTM\SBP dementia\output\May17\formatted\SBPdeath_agesexAdj.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LSHTM\SBP dementia\output\May17\formatted\SBPdeath_agesexAdj.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3401" cy="4955568"/>
                    </a:xfrm>
                    <a:prstGeom prst="rect">
                      <a:avLst/>
                    </a:prstGeom>
                    <a:noFill/>
                    <a:ln>
                      <a:noFill/>
                    </a:ln>
                  </pic:spPr>
                </pic:pic>
              </a:graphicData>
            </a:graphic>
          </wp:inline>
        </w:drawing>
      </w:r>
    </w:p>
    <w:p w:rsidR="004275F9" w:rsidRDefault="004275F9" w:rsidP="004275F9">
      <w:pPr>
        <w:rPr>
          <w:b/>
        </w:rPr>
      </w:pPr>
      <w:r>
        <w:rPr>
          <w:b/>
        </w:rPr>
        <w:lastRenderedPageBreak/>
        <w:t>Supplementary Appendix</w:t>
      </w:r>
    </w:p>
    <w:p w:rsidR="004275F9" w:rsidRPr="00816A05" w:rsidRDefault="004275F9" w:rsidP="004275F9">
      <w:r>
        <w:t>A: Description of use of repeat measurements</w:t>
      </w:r>
    </w:p>
    <w:p w:rsidR="004275F9" w:rsidRDefault="004275F9" w:rsidP="004275F9">
      <w:r>
        <w:t xml:space="preserve">Measurement error and within-individual variation in blood pressure means that estimated associations between baseline blood pressure measurements and dementia would be under-estimated if the associations were not adjusted for this variability. In order to correct for this bias, commonly known as regression dilution bias, we used repeat measurements of blood pressure taken within the first 5 years of follow up after the index blood pressure measurement. </w:t>
      </w:r>
    </w:p>
    <w:p w:rsidR="004275F9" w:rsidRDefault="004275F9" w:rsidP="004275F9">
      <w:r>
        <w:t xml:space="preserve">We performed a random intercepts regression where repeat blood pressure measurements were the outcome variable, baseline blood pressure was the explanatory variable, and the random intercept was fit for each individual patient. The regression coefficient for baseline blood pressure explains the increase in repeat blood pressure per 1 unit increase in baseline blood pressure and is known as the regression dilution ratio. The inverse of the regression dilution ratio is known as the attenuation factor. </w:t>
      </w:r>
    </w:p>
    <w:p w:rsidR="004275F9" w:rsidRDefault="004275F9" w:rsidP="004275F9">
      <w:r>
        <w:t xml:space="preserve">To estimate the effect of a 10mmHg increase in long-term average levels of blood pressure, we therefore estimated the association between baseline blood pressure and dementia and multiplied the regression coefficient by the attenuation factor. To graphically display the risk of dementia according to long-term average blood pressure measurements, we “shrunk” the mean value within each tenth of baseline blood pressure towards the overall mean blood pressure. This was achieved using the following steps. First, the difference between the mean value amongst all patients and the mean value in each tenth is calculated. Second, this difference is multiplied by the regression dilution ratio. Third, the regression dilution adjusted difference (i.e. the value calculated in the second step) is added to the overall mean blood pressure. </w:t>
      </w:r>
    </w:p>
    <w:p w:rsidR="004275F9" w:rsidRDefault="004275F9" w:rsidP="004275F9">
      <w:pPr>
        <w:rPr>
          <w:b/>
        </w:rPr>
        <w:sectPr w:rsidR="004275F9" w:rsidSect="00E266D6">
          <w:pgSz w:w="11906" w:h="16838"/>
          <w:pgMar w:top="1440" w:right="1440" w:bottom="1440" w:left="1440" w:header="708" w:footer="708" w:gutter="0"/>
          <w:cols w:space="708"/>
          <w:docGrid w:linePitch="360"/>
        </w:sectPr>
      </w:pPr>
    </w:p>
    <w:p w:rsidR="004275F9" w:rsidRDefault="004275F9" w:rsidP="004275F9">
      <w:r>
        <w:rPr>
          <w:b/>
        </w:rPr>
        <w:lastRenderedPageBreak/>
        <w:t xml:space="preserve">B: </w:t>
      </w:r>
      <w:r>
        <w:t>Frailty analyses</w:t>
      </w:r>
    </w:p>
    <w:p w:rsidR="004275F9" w:rsidRPr="002402CD" w:rsidRDefault="004275F9" w:rsidP="004275F9">
      <w:pPr>
        <w:rPr>
          <w:i/>
        </w:rPr>
      </w:pPr>
      <w:r>
        <w:rPr>
          <w:i/>
        </w:rPr>
        <w:t>Methods</w:t>
      </w:r>
    </w:p>
    <w:p w:rsidR="004275F9" w:rsidRDefault="004275F9" w:rsidP="004275F9">
      <w:r>
        <w:t>It is known that s</w:t>
      </w:r>
      <w:r w:rsidRPr="00A570BC">
        <w:t>tudies which assess disorders strongly associated with increasing age can be prone to bias due to selective mortality, particularly where the exposure is associated with mortality risk.</w:t>
      </w:r>
      <w:r>
        <w:t xml:space="preserve"> We were concerned that selective mortality could bias the association between blood pressure (BP) and dementia because high BP is associated with increased mortality risk.</w:t>
      </w:r>
    </w:p>
    <w:p w:rsidR="004275F9" w:rsidRDefault="004275F9" w:rsidP="004275F9">
      <w:r>
        <w:t>Bias can occur when uncontrolled risk factors are associated with both death and dementia, referred to here as “joint frailty” for both conditions. The amount of joint frailty for both conditions is unknown and is not estimable from the data without making additional assumptions. We therefore simulated the results of our study using a range of joint frailties distributions. The aim was to understand the plausible impact of joint frailty on our study findings. The simulation study was conducted as follows:</w:t>
      </w:r>
    </w:p>
    <w:p w:rsidR="004275F9" w:rsidRDefault="004275F9" w:rsidP="004275F9">
      <w:pPr>
        <w:pStyle w:val="ListParagraph"/>
        <w:numPr>
          <w:ilvl w:val="0"/>
          <w:numId w:val="2"/>
        </w:numPr>
      </w:pPr>
      <w:r>
        <w:t xml:space="preserve">2,593,629 million simulated individuals were randomly assigned values for systolic BP, </w:t>
      </w:r>
      <w:r>
        <w:rPr>
          <w:i/>
        </w:rPr>
        <w:t>SBP</w:t>
      </w:r>
      <w:r>
        <w:rPr>
          <w:i/>
          <w:vertAlign w:val="subscript"/>
        </w:rPr>
        <w:t xml:space="preserve">i </w:t>
      </w:r>
      <w:r>
        <w:rPr>
          <w:i/>
        </w:rPr>
        <w:t>,</w:t>
      </w:r>
      <w:r>
        <w:t xml:space="preserve"> using a normal distribution with a mean of 140mmHg and a standard deviation of 10mmHg. This mirrors the distribution of long-term average BP that we observed. </w:t>
      </w:r>
    </w:p>
    <w:p w:rsidR="004275F9" w:rsidRDefault="004275F9" w:rsidP="004275F9">
      <w:pPr>
        <w:pStyle w:val="ListParagraph"/>
        <w:numPr>
          <w:ilvl w:val="0"/>
          <w:numId w:val="2"/>
        </w:numPr>
      </w:pPr>
      <w:r>
        <w:t xml:space="preserve">Each patient entered the simulated dataset at age 40, the minimum age to enter our study; very few deaths occur in the general population before age 40, so any bias caused by interdependence between death and dementia before age 40 will be negligible. </w:t>
      </w:r>
    </w:p>
    <w:p w:rsidR="004275F9" w:rsidRDefault="004275F9" w:rsidP="004275F9">
      <w:pPr>
        <w:pStyle w:val="ListParagraph"/>
        <w:numPr>
          <w:ilvl w:val="0"/>
          <w:numId w:val="2"/>
        </w:numPr>
      </w:pPr>
      <w:r>
        <w:t>Estimated age-specific death rates,</w:t>
      </w:r>
      <w:r w:rsidRPr="006504FE">
        <w:rPr>
          <w:rFonts w:cstheme="minorHAnsi"/>
        </w:rPr>
        <w:t xml:space="preserve"> </w:t>
      </w:r>
      <w:r>
        <w:rPr>
          <w:rFonts w:cstheme="minorHAnsi"/>
        </w:rPr>
        <w:t>λ</w:t>
      </w:r>
      <w:r>
        <w:rPr>
          <w:rFonts w:cstheme="minorHAnsi"/>
          <w:vertAlign w:val="subscript"/>
        </w:rPr>
        <w:t>AGE</w:t>
      </w:r>
      <w:r>
        <w:rPr>
          <w:rFonts w:cstheme="minorHAnsi"/>
        </w:rPr>
        <w:t xml:space="preserve">, were estimated for patients </w:t>
      </w:r>
      <w:r>
        <w:t xml:space="preserve">in 5 year bands from our CPRD dataset. </w:t>
      </w:r>
    </w:p>
    <w:p w:rsidR="004275F9" w:rsidRDefault="004275F9" w:rsidP="004275F9">
      <w:pPr>
        <w:pStyle w:val="ListParagraph"/>
        <w:numPr>
          <w:ilvl w:val="0"/>
          <w:numId w:val="2"/>
        </w:numPr>
      </w:pPr>
      <w:r>
        <w:t xml:space="preserve">Individuals were randomly assigned a frailty term, </w:t>
      </w:r>
      <w:r>
        <w:rPr>
          <w:rFonts w:cstheme="minorHAnsi"/>
        </w:rPr>
        <w:t>ω</w:t>
      </w:r>
      <w:r>
        <w:rPr>
          <w:vertAlign w:val="subscript"/>
        </w:rPr>
        <w:t>i</w:t>
      </w:r>
      <w:r>
        <w:t>, sampled from a truncated* gamma distribution. This term represents a patient’s frailty for both death and dementia. We varied the variance of the frailty distribution to represent a range of plausible scenarios.</w:t>
      </w:r>
      <w:r>
        <w:rPr>
          <w:vertAlign w:val="superscript"/>
        </w:rPr>
        <w:t>+</w:t>
      </w:r>
      <w:r>
        <w:t xml:space="preserve"> </w:t>
      </w:r>
    </w:p>
    <w:p w:rsidR="004275F9" w:rsidRDefault="004275F9" w:rsidP="004275F9">
      <w:pPr>
        <w:pStyle w:val="ListParagraph"/>
        <w:numPr>
          <w:ilvl w:val="0"/>
          <w:numId w:val="2"/>
        </w:numPr>
      </w:pPr>
      <w:r>
        <w:t>A rate ratio of 1.264 per 10mmHg increase is applied to each patient’s age-specific death rate, with the hazard ratio (HR) applied around the mean blood pressure of 140mmHg. This is the rate ratio observed in the real CPRD dataset for death in patients aged &lt;70 who had a systolic BP measurement at least 10 years ago, and is the strongest association of systolic BP with death in our CPRD dataset across all age groups (</w:t>
      </w:r>
      <w:r w:rsidRPr="007A3834">
        <w:rPr>
          <w:b/>
        </w:rPr>
        <w:t>Supplementary Table 4, Supplementary Figure 4</w:t>
      </w:r>
      <w:r>
        <w:t xml:space="preserve">).  A patient’s age specific rate of death is therefore given by: </w:t>
      </w:r>
      <w:r w:rsidRPr="00E15BA2">
        <w:rPr>
          <w:rFonts w:cstheme="minorHAnsi"/>
        </w:rPr>
        <w:t>λ</w:t>
      </w:r>
      <w:r w:rsidRPr="00E15BA2">
        <w:rPr>
          <w:vertAlign w:val="subscript"/>
        </w:rPr>
        <w:t>AGE</w:t>
      </w:r>
      <w:r w:rsidRPr="00E15BA2">
        <w:t>X</w:t>
      </w:r>
      <w:r w:rsidRPr="00E15BA2">
        <w:rPr>
          <w:rFonts w:cstheme="minorHAnsi"/>
        </w:rPr>
        <w:t xml:space="preserve"> </w:t>
      </w:r>
      <w:r>
        <w:rPr>
          <w:rFonts w:cstheme="minorHAnsi"/>
        </w:rPr>
        <w:t>ω</w:t>
      </w:r>
      <w:r>
        <w:rPr>
          <w:vertAlign w:val="subscript"/>
        </w:rPr>
        <w:t>i</w:t>
      </w:r>
      <w:r>
        <w:t>X exp(log(1.264)X(140-SBP</w:t>
      </w:r>
      <w:r>
        <w:rPr>
          <w:vertAlign w:val="subscript"/>
        </w:rPr>
        <w:t>i</w:t>
      </w:r>
      <w:r>
        <w:t>))</w:t>
      </w:r>
    </w:p>
    <w:p w:rsidR="004275F9" w:rsidRDefault="004275F9" w:rsidP="004275F9">
      <w:pPr>
        <w:pStyle w:val="ListParagraph"/>
        <w:numPr>
          <w:ilvl w:val="0"/>
          <w:numId w:val="2"/>
        </w:numPr>
      </w:pPr>
      <w:r>
        <w:t xml:space="preserve">Each individual’s time to death was sampled from an exponential distribution using their age-specific rates of death. </w:t>
      </w:r>
    </w:p>
    <w:p w:rsidR="004275F9" w:rsidRDefault="004275F9" w:rsidP="004275F9">
      <w:pPr>
        <w:pStyle w:val="ListParagraph"/>
        <w:numPr>
          <w:ilvl w:val="0"/>
          <w:numId w:val="2"/>
        </w:numPr>
      </w:pPr>
      <w:r>
        <w:t xml:space="preserve">Estimated dementia rates, </w:t>
      </w:r>
      <w:r>
        <w:rPr>
          <w:rFonts w:cstheme="minorHAnsi"/>
        </w:rPr>
        <w:t>µ</w:t>
      </w:r>
      <w:r>
        <w:rPr>
          <w:rFonts w:cstheme="minorHAnsi"/>
          <w:vertAlign w:val="subscript"/>
        </w:rPr>
        <w:t>AGE</w:t>
      </w:r>
      <w:r>
        <w:rPr>
          <w:rFonts w:cstheme="minorHAnsi"/>
        </w:rPr>
        <w:t xml:space="preserve">, </w:t>
      </w:r>
      <w:r>
        <w:t xml:space="preserve">were calculated in 5-year age bands from our CPRD dataset. A patient’s age specific rate of dementia is therefore:  </w:t>
      </w:r>
      <w:r>
        <w:rPr>
          <w:rFonts w:cstheme="minorHAnsi"/>
        </w:rPr>
        <w:t>µ</w:t>
      </w:r>
      <w:r>
        <w:rPr>
          <w:rFonts w:cstheme="minorHAnsi"/>
          <w:vertAlign w:val="subscript"/>
        </w:rPr>
        <w:t>AGE</w:t>
      </w:r>
      <w:r w:rsidRPr="00E15BA2">
        <w:t xml:space="preserve"> X</w:t>
      </w:r>
      <w:r w:rsidRPr="00E15BA2">
        <w:rPr>
          <w:rFonts w:cstheme="minorHAnsi"/>
        </w:rPr>
        <w:t xml:space="preserve"> </w:t>
      </w:r>
      <w:r>
        <w:rPr>
          <w:rFonts w:cstheme="minorHAnsi"/>
        </w:rPr>
        <w:t>ω</w:t>
      </w:r>
      <w:r>
        <w:rPr>
          <w:vertAlign w:val="subscript"/>
        </w:rPr>
        <w:t>i</w:t>
      </w:r>
      <w:r>
        <w:t xml:space="preserve">. </w:t>
      </w:r>
      <w:r w:rsidRPr="00A73D7A">
        <w:rPr>
          <w:u w:val="single"/>
        </w:rPr>
        <w:t xml:space="preserve">Therefore, there is no direct relationship between </w:t>
      </w:r>
      <w:r>
        <w:rPr>
          <w:u w:val="single"/>
        </w:rPr>
        <w:t>BP</w:t>
      </w:r>
      <w:r w:rsidRPr="00A73D7A">
        <w:rPr>
          <w:u w:val="single"/>
        </w:rPr>
        <w:t xml:space="preserve"> and dementia: an unbiased estimate of the HR for blood pressure on dementia should be 1.00.</w:t>
      </w:r>
      <w:r>
        <w:rPr>
          <w:b/>
        </w:rPr>
        <w:t xml:space="preserve"> </w:t>
      </w:r>
    </w:p>
    <w:p w:rsidR="004275F9" w:rsidRDefault="004275F9" w:rsidP="004275F9">
      <w:pPr>
        <w:pStyle w:val="ListParagraph"/>
        <w:numPr>
          <w:ilvl w:val="0"/>
          <w:numId w:val="2"/>
        </w:numPr>
      </w:pPr>
      <w:r>
        <w:t xml:space="preserve">Each individual’s time to dementia was sampled from an exponential distribution according to their age-specific rate of dementia. </w:t>
      </w:r>
    </w:p>
    <w:p w:rsidR="004275F9" w:rsidRDefault="004275F9" w:rsidP="004275F9">
      <w:pPr>
        <w:pStyle w:val="ListParagraph"/>
        <w:numPr>
          <w:ilvl w:val="0"/>
          <w:numId w:val="2"/>
        </w:numPr>
      </w:pPr>
      <w:r>
        <w:t xml:space="preserve">If time to death is less than time to dementia, the indicator for dementia is set to 0 and follow up is censored at the time to death to replicate the observable data.  </w:t>
      </w:r>
      <w:r>
        <w:tab/>
        <w:t xml:space="preserve"> </w:t>
      </w:r>
    </w:p>
    <w:p w:rsidR="004275F9" w:rsidRDefault="004275F9" w:rsidP="004275F9">
      <w:pPr>
        <w:spacing w:after="0" w:line="240" w:lineRule="auto"/>
        <w:rPr>
          <w:sz w:val="18"/>
          <w:szCs w:val="18"/>
        </w:rPr>
      </w:pPr>
      <w:r w:rsidRPr="00986140">
        <w:rPr>
          <w:sz w:val="18"/>
          <w:szCs w:val="18"/>
        </w:rPr>
        <w:t xml:space="preserve">* We used a truncated </w:t>
      </w:r>
      <w:r>
        <w:rPr>
          <w:sz w:val="18"/>
          <w:szCs w:val="18"/>
        </w:rPr>
        <w:t xml:space="preserve">distribution, truncating at a frailty of 0.2 and 5, </w:t>
      </w:r>
      <w:r w:rsidRPr="00986140">
        <w:rPr>
          <w:sz w:val="18"/>
          <w:szCs w:val="18"/>
        </w:rPr>
        <w:t>because the gamma distribution is</w:t>
      </w:r>
      <w:r>
        <w:rPr>
          <w:sz w:val="18"/>
          <w:szCs w:val="18"/>
        </w:rPr>
        <w:t xml:space="preserve"> highly</w:t>
      </w:r>
      <w:r w:rsidRPr="00986140">
        <w:rPr>
          <w:sz w:val="18"/>
          <w:szCs w:val="18"/>
        </w:rPr>
        <w:t xml:space="preserve"> skew and we wanted to avoid patients with implausibly long times to death.</w:t>
      </w:r>
    </w:p>
    <w:p w:rsidR="004275F9" w:rsidRPr="007C22BF" w:rsidRDefault="004275F9" w:rsidP="004275F9">
      <w:pPr>
        <w:spacing w:after="0" w:line="240" w:lineRule="auto"/>
        <w:rPr>
          <w:sz w:val="18"/>
          <w:szCs w:val="18"/>
        </w:rPr>
        <w:sectPr w:rsidR="004275F9" w:rsidRPr="007C22BF" w:rsidSect="00A73D7A">
          <w:pgSz w:w="11906" w:h="16838"/>
          <w:pgMar w:top="1134" w:right="1440" w:bottom="1276" w:left="1440" w:header="708" w:footer="708" w:gutter="0"/>
          <w:cols w:space="708"/>
          <w:docGrid w:linePitch="360"/>
        </w:sectPr>
      </w:pPr>
      <w:r w:rsidRPr="007C22BF">
        <w:rPr>
          <w:sz w:val="18"/>
          <w:szCs w:val="18"/>
        </w:rPr>
        <w:t xml:space="preserve">+We varied </w:t>
      </w:r>
      <w:r w:rsidRPr="007C22BF">
        <w:rPr>
          <w:rFonts w:cstheme="minorHAnsi"/>
          <w:sz w:val="18"/>
          <w:szCs w:val="18"/>
        </w:rPr>
        <w:t>α</w:t>
      </w:r>
      <w:r w:rsidRPr="007C22BF">
        <w:rPr>
          <w:sz w:val="18"/>
          <w:szCs w:val="18"/>
        </w:rPr>
        <w:t xml:space="preserve"> from 0.2 to1 in steps of 0.2, and sample</w:t>
      </w:r>
      <w:r>
        <w:rPr>
          <w:sz w:val="18"/>
          <w:szCs w:val="18"/>
        </w:rPr>
        <w:t>d</w:t>
      </w:r>
      <w:r w:rsidRPr="007C22BF">
        <w:rPr>
          <w:sz w:val="18"/>
          <w:szCs w:val="18"/>
        </w:rPr>
        <w:t xml:space="preserve"> from Ga(1/</w:t>
      </w:r>
      <w:r w:rsidRPr="007C22BF">
        <w:rPr>
          <w:rFonts w:cstheme="minorHAnsi"/>
          <w:sz w:val="18"/>
          <w:szCs w:val="18"/>
        </w:rPr>
        <w:t>α,α). For no frailty we set ω</w:t>
      </w:r>
      <w:r w:rsidRPr="007C22BF">
        <w:rPr>
          <w:sz w:val="18"/>
          <w:szCs w:val="18"/>
          <w:vertAlign w:val="subscript"/>
        </w:rPr>
        <w:t>i</w:t>
      </w:r>
      <w:r w:rsidRPr="007C22BF">
        <w:rPr>
          <w:sz w:val="18"/>
          <w:szCs w:val="18"/>
        </w:rPr>
        <w:t>=1 for all patients</w:t>
      </w:r>
    </w:p>
    <w:p w:rsidR="004275F9" w:rsidRPr="002402CD" w:rsidRDefault="004275F9" w:rsidP="004275F9">
      <w:pPr>
        <w:spacing w:after="0"/>
        <w:rPr>
          <w:i/>
        </w:rPr>
      </w:pPr>
      <w:r>
        <w:rPr>
          <w:i/>
        </w:rPr>
        <w:lastRenderedPageBreak/>
        <w:t>Results</w:t>
      </w:r>
    </w:p>
    <w:p w:rsidR="004275F9" w:rsidRDefault="004275F9" w:rsidP="004275F9">
      <w:r>
        <w:t xml:space="preserve">To ensure that our simulated data had similar properties to the real CPRD dataset, we plotted Kaplan Meier failure curves for each of dementia and death in both the real CPRD data and the simulated data. The </w:t>
      </w:r>
      <w:r w:rsidRPr="002425F9">
        <w:rPr>
          <w:b/>
        </w:rPr>
        <w:t>Appendix Figure</w:t>
      </w:r>
      <w:r>
        <w:t xml:space="preserve"> shows that the shapes of the Kaplan Meier curves are very similar between CPRD and the simulated data, indicating that the modelled age-specific rates of dementia and death in our simulations are a good approximation of the real CPRD data. </w:t>
      </w:r>
    </w:p>
    <w:p w:rsidR="004275F9" w:rsidRDefault="004275F9" w:rsidP="004275F9">
      <w:r>
        <w:t xml:space="preserve">The </w:t>
      </w:r>
      <w:r w:rsidRPr="002425F9">
        <w:rPr>
          <w:b/>
        </w:rPr>
        <w:t>Appendix Table</w:t>
      </w:r>
      <w:r>
        <w:t xml:space="preserve"> summarises the results of the simulation study. We calculated estimated HRs for dementia per 10mmHg higher SBP in each simulated dataset. To give an intuitive feel of the strength of the frailty that we assumed, we calculated the mean frailty amongst patients by decade of death. Due to the simulation setup, frailty was related multiplicatively to dementia such that a doubling of frailty results in a doubling of the hazard of dementia.  As expected due to the simulation set up, when all individuals had their frailty set to 1 (i.e. no joint frailty), the hazard ratio per 10mmHg higher systolic BP was 1.00 at all ages. In our most extreme scenario, we simulated a frailty variance of 1. With this frailty distribution, patients who died aged 40-50 had a mean frailty of 1.88, compared to 0.38 amongst patients dying aged 90 or older, meaning their hazard of dementia in such patients was nearly </w:t>
      </w:r>
      <w:r>
        <w:rPr>
          <w:u w:val="single"/>
        </w:rPr>
        <w:t xml:space="preserve">5 </w:t>
      </w:r>
      <w:r w:rsidRPr="00902F45">
        <w:rPr>
          <w:u w:val="single"/>
        </w:rPr>
        <w:t>times</w:t>
      </w:r>
      <w:r w:rsidRPr="00394CB2">
        <w:t xml:space="preserve"> higher</w:t>
      </w:r>
      <w:r>
        <w:t xml:space="preserve"> (i.e. 1.88/0.38). We believe that this is a fairly extreme simulated co-dependence between the underlying hazard of dementia and death. Under this scenario, the estimated HR per 10mmHg higher systolic BP for dementia was 0.96 amongst patients aged &lt;70, 0.93 amongst those aged 70-85 and 0.92 amongst patients aged over 85. </w:t>
      </w:r>
    </w:p>
    <w:p w:rsidR="004275F9" w:rsidRDefault="004275F9" w:rsidP="004275F9">
      <w:r w:rsidRPr="00635FF0">
        <w:rPr>
          <w:b/>
        </w:rPr>
        <w:t>Appendix Figure</w:t>
      </w:r>
      <w:r w:rsidRPr="00DC7D80">
        <w:t>: Kaplan</w:t>
      </w:r>
      <w:r>
        <w:t xml:space="preserve"> Meier curves of actual and simulated rates of dementia and death (for simulation with no joint frailty)</w:t>
      </w:r>
    </w:p>
    <w:p w:rsidR="004275F9" w:rsidRDefault="004275F9" w:rsidP="004275F9">
      <w:pPr>
        <w:rPr>
          <w:highlight w:val="yellow"/>
        </w:rPr>
      </w:pPr>
      <w:r>
        <w:rPr>
          <w:noProof/>
          <w:lang w:eastAsia="en-GB"/>
        </w:rPr>
        <w:drawing>
          <wp:inline distT="0" distB="0" distL="0" distR="0" wp14:anchorId="0CAB1549" wp14:editId="1A5C454C">
            <wp:extent cx="5724525" cy="4162425"/>
            <wp:effectExtent l="19050" t="0" r="9525" b="0"/>
            <wp:docPr id="10" name="Picture 2" descr="D:\Documents\LSHTM\SBP dementia\output\May17\frailty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LSHTM\SBP dementia\output\May17\frailty_graph.png"/>
                    <pic:cNvPicPr>
                      <a:picLocks noChangeAspect="1" noChangeArrowheads="1"/>
                    </pic:cNvPicPr>
                  </pic:nvPicPr>
                  <pic:blipFill>
                    <a:blip r:embed="rId9" cstate="print"/>
                    <a:srcRect/>
                    <a:stretch>
                      <a:fillRect/>
                    </a:stretch>
                  </pic:blipFill>
                  <pic:spPr bwMode="auto">
                    <a:xfrm>
                      <a:off x="0" y="0"/>
                      <a:ext cx="5724525" cy="4162425"/>
                    </a:xfrm>
                    <a:prstGeom prst="rect">
                      <a:avLst/>
                    </a:prstGeom>
                    <a:noFill/>
                    <a:ln w="9525">
                      <a:noFill/>
                      <a:miter lim="800000"/>
                      <a:headEnd/>
                      <a:tailEnd/>
                    </a:ln>
                  </pic:spPr>
                </pic:pic>
              </a:graphicData>
            </a:graphic>
          </wp:inline>
        </w:drawing>
      </w:r>
    </w:p>
    <w:p w:rsidR="004275F9" w:rsidRDefault="004275F9" w:rsidP="004275F9">
      <w:pPr>
        <w:rPr>
          <w:highlight w:val="yellow"/>
        </w:rPr>
        <w:sectPr w:rsidR="004275F9" w:rsidSect="00E266D6">
          <w:pgSz w:w="11906" w:h="16838"/>
          <w:pgMar w:top="1440" w:right="1440" w:bottom="1440" w:left="1440" w:header="708" w:footer="708" w:gutter="0"/>
          <w:cols w:space="708"/>
          <w:docGrid w:linePitch="360"/>
        </w:sectPr>
      </w:pPr>
    </w:p>
    <w:p w:rsidR="004275F9" w:rsidRDefault="004275F9" w:rsidP="004275F9">
      <w:pPr>
        <w:ind w:left="-426"/>
      </w:pPr>
      <w:r w:rsidRPr="00377BC5">
        <w:rPr>
          <w:b/>
        </w:rPr>
        <w:lastRenderedPageBreak/>
        <w:t>Appendix Table:</w:t>
      </w:r>
      <w:r>
        <w:t xml:space="preserve"> Comparison of hazard ratios for dementia according to degree of dependence between dementia and death</w:t>
      </w:r>
    </w:p>
    <w:tbl>
      <w:tblPr>
        <w:tblStyle w:val="TableGrid"/>
        <w:tblW w:w="12724" w:type="dxa"/>
        <w:tblInd w:w="-318" w:type="dxa"/>
        <w:tblBorders>
          <w:left w:val="nil"/>
          <w:right w:val="nil"/>
          <w:insideH w:val="nil"/>
          <w:insideV w:val="nil"/>
        </w:tblBorders>
        <w:tblLook w:val="04A0" w:firstRow="1" w:lastRow="0" w:firstColumn="1" w:lastColumn="0" w:noHBand="0" w:noVBand="1"/>
      </w:tblPr>
      <w:tblGrid>
        <w:gridCol w:w="1337"/>
        <w:gridCol w:w="2032"/>
        <w:gridCol w:w="1701"/>
        <w:gridCol w:w="1984"/>
        <w:gridCol w:w="1701"/>
        <w:gridCol w:w="1843"/>
        <w:gridCol w:w="2126"/>
      </w:tblGrid>
      <w:tr w:rsidR="004275F9" w:rsidTr="00F54663">
        <w:tc>
          <w:tcPr>
            <w:tcW w:w="0" w:type="auto"/>
          </w:tcPr>
          <w:p w:rsidR="004275F9" w:rsidRDefault="004275F9" w:rsidP="00F54663"/>
        </w:tc>
        <w:tc>
          <w:tcPr>
            <w:tcW w:w="11387" w:type="dxa"/>
            <w:gridSpan w:val="6"/>
            <w:tcBorders>
              <w:bottom w:val="single" w:sz="4" w:space="0" w:color="auto"/>
            </w:tcBorders>
          </w:tcPr>
          <w:p w:rsidR="004275F9" w:rsidRDefault="004275F9" w:rsidP="00F54663">
            <w:pPr>
              <w:jc w:val="center"/>
            </w:pPr>
            <w:r>
              <w:rPr>
                <w:b/>
              </w:rPr>
              <w:t xml:space="preserve">Increasing joint frailty (co-dependence between death and dementia) from left to right </w:t>
            </w:r>
            <w:r w:rsidRPr="00AF7556">
              <w:rPr>
                <w:b/>
              </w:rPr>
              <w:sym w:font="Wingdings" w:char="F0E0"/>
            </w:r>
          </w:p>
        </w:tc>
      </w:tr>
      <w:tr w:rsidR="004275F9" w:rsidTr="00F54663">
        <w:trPr>
          <w:tblHeader/>
        </w:trPr>
        <w:tc>
          <w:tcPr>
            <w:tcW w:w="1337" w:type="dxa"/>
          </w:tcPr>
          <w:p w:rsidR="004275F9" w:rsidRDefault="004275F9" w:rsidP="00F54663"/>
        </w:tc>
        <w:tc>
          <w:tcPr>
            <w:tcW w:w="2032" w:type="dxa"/>
            <w:tcBorders>
              <w:top w:val="single" w:sz="4" w:space="0" w:color="auto"/>
              <w:bottom w:val="single" w:sz="4" w:space="0" w:color="auto"/>
            </w:tcBorders>
          </w:tcPr>
          <w:p w:rsidR="004275F9" w:rsidRDefault="004275F9" w:rsidP="00F54663">
            <w:pPr>
              <w:jc w:val="center"/>
            </w:pPr>
            <w:r>
              <w:t>No joint frailty</w:t>
            </w:r>
          </w:p>
        </w:tc>
        <w:tc>
          <w:tcPr>
            <w:tcW w:w="1701" w:type="dxa"/>
            <w:tcBorders>
              <w:top w:val="single" w:sz="4" w:space="0" w:color="auto"/>
              <w:bottom w:val="single" w:sz="4" w:space="0" w:color="auto"/>
            </w:tcBorders>
          </w:tcPr>
          <w:p w:rsidR="004275F9" w:rsidRDefault="004275F9" w:rsidP="00F54663">
            <w:pPr>
              <w:jc w:val="center"/>
            </w:pPr>
            <w:r>
              <w:t>Alpha=0.2</w:t>
            </w:r>
          </w:p>
        </w:tc>
        <w:tc>
          <w:tcPr>
            <w:tcW w:w="1984" w:type="dxa"/>
            <w:tcBorders>
              <w:top w:val="single" w:sz="4" w:space="0" w:color="auto"/>
              <w:bottom w:val="single" w:sz="4" w:space="0" w:color="auto"/>
            </w:tcBorders>
          </w:tcPr>
          <w:p w:rsidR="004275F9" w:rsidRDefault="004275F9" w:rsidP="00F54663">
            <w:pPr>
              <w:jc w:val="center"/>
            </w:pPr>
            <w:r>
              <w:t>Alpha=0.4</w:t>
            </w:r>
          </w:p>
        </w:tc>
        <w:tc>
          <w:tcPr>
            <w:tcW w:w="1701" w:type="dxa"/>
            <w:tcBorders>
              <w:top w:val="single" w:sz="4" w:space="0" w:color="auto"/>
              <w:bottom w:val="single" w:sz="4" w:space="0" w:color="auto"/>
            </w:tcBorders>
          </w:tcPr>
          <w:p w:rsidR="004275F9" w:rsidRDefault="004275F9" w:rsidP="00F54663">
            <w:pPr>
              <w:jc w:val="center"/>
            </w:pPr>
            <w:r>
              <w:t>Alpha=0.6</w:t>
            </w:r>
          </w:p>
        </w:tc>
        <w:tc>
          <w:tcPr>
            <w:tcW w:w="1843" w:type="dxa"/>
            <w:tcBorders>
              <w:top w:val="single" w:sz="4" w:space="0" w:color="auto"/>
              <w:bottom w:val="single" w:sz="4" w:space="0" w:color="auto"/>
            </w:tcBorders>
          </w:tcPr>
          <w:p w:rsidR="004275F9" w:rsidRDefault="004275F9" w:rsidP="00F54663">
            <w:pPr>
              <w:jc w:val="center"/>
            </w:pPr>
            <w:r>
              <w:t>Alpha=0.8</w:t>
            </w:r>
          </w:p>
        </w:tc>
        <w:tc>
          <w:tcPr>
            <w:tcW w:w="2126" w:type="dxa"/>
            <w:tcBorders>
              <w:top w:val="single" w:sz="4" w:space="0" w:color="auto"/>
              <w:bottom w:val="single" w:sz="4" w:space="0" w:color="auto"/>
            </w:tcBorders>
          </w:tcPr>
          <w:p w:rsidR="004275F9" w:rsidRDefault="004275F9" w:rsidP="00F54663">
            <w:pPr>
              <w:jc w:val="center"/>
            </w:pPr>
            <w:r>
              <w:t>Alpha=1.0</w:t>
            </w:r>
          </w:p>
        </w:tc>
      </w:tr>
      <w:tr w:rsidR="004275F9" w:rsidTr="00F54663">
        <w:tc>
          <w:tcPr>
            <w:tcW w:w="10598" w:type="dxa"/>
            <w:gridSpan w:val="6"/>
          </w:tcPr>
          <w:p w:rsidR="004275F9" w:rsidRDefault="004275F9" w:rsidP="00F54663">
            <w:r>
              <w:rPr>
                <w:b/>
              </w:rPr>
              <w:t>Estimated hazard ratio per 10mmHg higher long-term average systolic blood pressure (95% CI)</w:t>
            </w:r>
          </w:p>
        </w:tc>
        <w:tc>
          <w:tcPr>
            <w:tcW w:w="2126" w:type="dxa"/>
          </w:tcPr>
          <w:p w:rsidR="004275F9" w:rsidRDefault="004275F9" w:rsidP="00F54663"/>
        </w:tc>
      </w:tr>
      <w:tr w:rsidR="004275F9" w:rsidTr="00F54663">
        <w:tc>
          <w:tcPr>
            <w:tcW w:w="1337" w:type="dxa"/>
          </w:tcPr>
          <w:p w:rsidR="004275F9" w:rsidRDefault="004275F9" w:rsidP="00F54663">
            <w:r>
              <w:t>Aged &lt;70</w:t>
            </w:r>
          </w:p>
        </w:tc>
        <w:tc>
          <w:tcPr>
            <w:tcW w:w="2032" w:type="dxa"/>
          </w:tcPr>
          <w:p w:rsidR="004275F9" w:rsidRDefault="004275F9" w:rsidP="00F54663">
            <w:pPr>
              <w:jc w:val="center"/>
            </w:pPr>
            <w:r>
              <w:t xml:space="preserve">0.999 </w:t>
            </w:r>
          </w:p>
          <w:p w:rsidR="004275F9" w:rsidRDefault="004275F9" w:rsidP="00F54663">
            <w:pPr>
              <w:jc w:val="center"/>
            </w:pPr>
            <w:r>
              <w:t>(0.986 to 1.011)</w:t>
            </w:r>
          </w:p>
        </w:tc>
        <w:tc>
          <w:tcPr>
            <w:tcW w:w="1701" w:type="dxa"/>
          </w:tcPr>
          <w:p w:rsidR="004275F9" w:rsidRDefault="004275F9" w:rsidP="00F54663">
            <w:pPr>
              <w:jc w:val="center"/>
            </w:pPr>
            <w:r>
              <w:t xml:space="preserve">0.988 </w:t>
            </w:r>
          </w:p>
          <w:p w:rsidR="004275F9" w:rsidRDefault="004275F9" w:rsidP="00F54663">
            <w:pPr>
              <w:jc w:val="center"/>
            </w:pPr>
            <w:r>
              <w:t>(0.976 to 1.001)</w:t>
            </w:r>
          </w:p>
        </w:tc>
        <w:tc>
          <w:tcPr>
            <w:tcW w:w="1984" w:type="dxa"/>
          </w:tcPr>
          <w:p w:rsidR="004275F9" w:rsidRDefault="004275F9" w:rsidP="00F54663">
            <w:pPr>
              <w:jc w:val="center"/>
            </w:pPr>
            <w:r>
              <w:t>0.996</w:t>
            </w:r>
          </w:p>
          <w:p w:rsidR="004275F9" w:rsidRDefault="004275F9" w:rsidP="00F54663">
            <w:pPr>
              <w:jc w:val="center"/>
            </w:pPr>
            <w:r>
              <w:t xml:space="preserve"> (0.984 to 1.008)</w:t>
            </w:r>
          </w:p>
        </w:tc>
        <w:tc>
          <w:tcPr>
            <w:tcW w:w="1701" w:type="dxa"/>
          </w:tcPr>
          <w:p w:rsidR="004275F9" w:rsidRDefault="004275F9" w:rsidP="00F54663">
            <w:pPr>
              <w:jc w:val="center"/>
            </w:pPr>
            <w:r>
              <w:t>0.962</w:t>
            </w:r>
          </w:p>
          <w:p w:rsidR="004275F9" w:rsidRDefault="004275F9" w:rsidP="00F54663">
            <w:pPr>
              <w:jc w:val="center"/>
            </w:pPr>
            <w:r>
              <w:t xml:space="preserve"> (0.951 to 0.974)</w:t>
            </w:r>
          </w:p>
        </w:tc>
        <w:tc>
          <w:tcPr>
            <w:tcW w:w="1843" w:type="dxa"/>
          </w:tcPr>
          <w:p w:rsidR="004275F9" w:rsidRDefault="004275F9" w:rsidP="00F54663">
            <w:pPr>
              <w:jc w:val="center"/>
            </w:pPr>
            <w:r>
              <w:t xml:space="preserve">0.982 </w:t>
            </w:r>
          </w:p>
          <w:p w:rsidR="004275F9" w:rsidRDefault="004275F9" w:rsidP="00F54663">
            <w:pPr>
              <w:jc w:val="center"/>
            </w:pPr>
            <w:r>
              <w:t>(0.971 to 0.994)</w:t>
            </w:r>
          </w:p>
        </w:tc>
        <w:tc>
          <w:tcPr>
            <w:tcW w:w="2126" w:type="dxa"/>
          </w:tcPr>
          <w:p w:rsidR="004275F9" w:rsidRDefault="004275F9" w:rsidP="00F54663">
            <w:pPr>
              <w:jc w:val="center"/>
            </w:pPr>
            <w:r>
              <w:t>0.961</w:t>
            </w:r>
          </w:p>
          <w:p w:rsidR="004275F9" w:rsidRDefault="004275F9" w:rsidP="00F54663">
            <w:pPr>
              <w:jc w:val="center"/>
            </w:pPr>
            <w:r>
              <w:t xml:space="preserve"> (0.950 to 0.972)</w:t>
            </w:r>
          </w:p>
        </w:tc>
      </w:tr>
      <w:tr w:rsidR="004275F9" w:rsidTr="00F54663">
        <w:tc>
          <w:tcPr>
            <w:tcW w:w="1337" w:type="dxa"/>
          </w:tcPr>
          <w:p w:rsidR="004275F9" w:rsidRDefault="004275F9" w:rsidP="00F54663">
            <w:r>
              <w:t>Aged 70-85</w:t>
            </w:r>
          </w:p>
        </w:tc>
        <w:tc>
          <w:tcPr>
            <w:tcW w:w="2032" w:type="dxa"/>
          </w:tcPr>
          <w:p w:rsidR="004275F9" w:rsidRDefault="004275F9" w:rsidP="00F54663">
            <w:pPr>
              <w:jc w:val="center"/>
            </w:pPr>
            <w:r>
              <w:t xml:space="preserve">1.000 </w:t>
            </w:r>
          </w:p>
          <w:p w:rsidR="004275F9" w:rsidRDefault="004275F9" w:rsidP="00F54663">
            <w:pPr>
              <w:jc w:val="center"/>
            </w:pPr>
            <w:r>
              <w:t>(0.995 to 1.004)</w:t>
            </w:r>
          </w:p>
        </w:tc>
        <w:tc>
          <w:tcPr>
            <w:tcW w:w="1701" w:type="dxa"/>
          </w:tcPr>
          <w:p w:rsidR="004275F9" w:rsidRDefault="004275F9" w:rsidP="00F54663">
            <w:pPr>
              <w:jc w:val="center"/>
            </w:pPr>
            <w:r>
              <w:t>0.977</w:t>
            </w:r>
          </w:p>
          <w:p w:rsidR="004275F9" w:rsidRDefault="004275F9" w:rsidP="00F54663">
            <w:pPr>
              <w:jc w:val="center"/>
            </w:pPr>
            <w:r>
              <w:t>(0.972 to 0.981)</w:t>
            </w:r>
          </w:p>
        </w:tc>
        <w:tc>
          <w:tcPr>
            <w:tcW w:w="1984" w:type="dxa"/>
          </w:tcPr>
          <w:p w:rsidR="004275F9" w:rsidRDefault="004275F9" w:rsidP="00F54663">
            <w:pPr>
              <w:jc w:val="center"/>
            </w:pPr>
            <w:r>
              <w:t xml:space="preserve">0.958 </w:t>
            </w:r>
          </w:p>
          <w:p w:rsidR="004275F9" w:rsidRDefault="004275F9" w:rsidP="00F54663">
            <w:pPr>
              <w:jc w:val="center"/>
            </w:pPr>
            <w:r>
              <w:t>(0.953 to 0.962)</w:t>
            </w:r>
          </w:p>
        </w:tc>
        <w:tc>
          <w:tcPr>
            <w:tcW w:w="1701" w:type="dxa"/>
          </w:tcPr>
          <w:p w:rsidR="004275F9" w:rsidRDefault="004275F9" w:rsidP="00F54663">
            <w:pPr>
              <w:jc w:val="center"/>
            </w:pPr>
            <w:r>
              <w:t xml:space="preserve">0.948 </w:t>
            </w:r>
          </w:p>
          <w:p w:rsidR="004275F9" w:rsidRDefault="004275F9" w:rsidP="00F54663">
            <w:pPr>
              <w:jc w:val="center"/>
            </w:pPr>
            <w:r>
              <w:t>(0.943 to 0.953)</w:t>
            </w:r>
          </w:p>
        </w:tc>
        <w:tc>
          <w:tcPr>
            <w:tcW w:w="1843" w:type="dxa"/>
          </w:tcPr>
          <w:p w:rsidR="004275F9" w:rsidRDefault="004275F9" w:rsidP="00F54663">
            <w:pPr>
              <w:jc w:val="center"/>
            </w:pPr>
            <w:r>
              <w:t>0.936</w:t>
            </w:r>
          </w:p>
          <w:p w:rsidR="004275F9" w:rsidRDefault="004275F9" w:rsidP="00F54663">
            <w:pPr>
              <w:jc w:val="center"/>
            </w:pPr>
            <w:r>
              <w:t xml:space="preserve"> (0.931 to 0.941)</w:t>
            </w:r>
          </w:p>
        </w:tc>
        <w:tc>
          <w:tcPr>
            <w:tcW w:w="2126" w:type="dxa"/>
          </w:tcPr>
          <w:p w:rsidR="004275F9" w:rsidRDefault="004275F9" w:rsidP="00F54663">
            <w:pPr>
              <w:jc w:val="center"/>
            </w:pPr>
            <w:r>
              <w:t xml:space="preserve">0.930 </w:t>
            </w:r>
          </w:p>
          <w:p w:rsidR="004275F9" w:rsidRDefault="004275F9" w:rsidP="00F54663">
            <w:pPr>
              <w:jc w:val="center"/>
            </w:pPr>
            <w:r>
              <w:t>(0.925 to 0.934)</w:t>
            </w:r>
          </w:p>
        </w:tc>
      </w:tr>
      <w:tr w:rsidR="004275F9" w:rsidTr="00F54663">
        <w:tc>
          <w:tcPr>
            <w:tcW w:w="1337" w:type="dxa"/>
          </w:tcPr>
          <w:p w:rsidR="004275F9" w:rsidRDefault="004275F9" w:rsidP="00F54663">
            <w:r>
              <w:t>Aged &gt;85</w:t>
            </w:r>
          </w:p>
        </w:tc>
        <w:tc>
          <w:tcPr>
            <w:tcW w:w="2032" w:type="dxa"/>
          </w:tcPr>
          <w:p w:rsidR="004275F9" w:rsidRDefault="004275F9" w:rsidP="00F54663">
            <w:pPr>
              <w:jc w:val="center"/>
            </w:pPr>
            <w:r>
              <w:t xml:space="preserve">0.999 </w:t>
            </w:r>
          </w:p>
          <w:p w:rsidR="004275F9" w:rsidRDefault="004275F9" w:rsidP="00F54663">
            <w:pPr>
              <w:jc w:val="center"/>
            </w:pPr>
            <w:r>
              <w:t>(0.993 to 1.004)</w:t>
            </w:r>
          </w:p>
        </w:tc>
        <w:tc>
          <w:tcPr>
            <w:tcW w:w="1701" w:type="dxa"/>
          </w:tcPr>
          <w:p w:rsidR="004275F9" w:rsidRDefault="004275F9" w:rsidP="00F54663">
            <w:pPr>
              <w:jc w:val="center"/>
            </w:pPr>
            <w:r>
              <w:t>0.950</w:t>
            </w:r>
          </w:p>
          <w:p w:rsidR="004275F9" w:rsidRDefault="004275F9" w:rsidP="00F54663">
            <w:pPr>
              <w:jc w:val="center"/>
            </w:pPr>
            <w:r>
              <w:t xml:space="preserve"> (0.945 to 0.956)</w:t>
            </w:r>
          </w:p>
        </w:tc>
        <w:tc>
          <w:tcPr>
            <w:tcW w:w="1984" w:type="dxa"/>
          </w:tcPr>
          <w:p w:rsidR="004275F9" w:rsidRDefault="004275F9" w:rsidP="00F54663">
            <w:pPr>
              <w:jc w:val="center"/>
            </w:pPr>
            <w:r>
              <w:t>0.920</w:t>
            </w:r>
          </w:p>
          <w:p w:rsidR="004275F9" w:rsidRDefault="004275F9" w:rsidP="00F54663">
            <w:pPr>
              <w:jc w:val="center"/>
            </w:pPr>
            <w:r>
              <w:t xml:space="preserve"> (0.915 to 0.926)</w:t>
            </w:r>
          </w:p>
        </w:tc>
        <w:tc>
          <w:tcPr>
            <w:tcW w:w="1701" w:type="dxa"/>
          </w:tcPr>
          <w:p w:rsidR="004275F9" w:rsidRDefault="004275F9" w:rsidP="00F54663">
            <w:pPr>
              <w:jc w:val="center"/>
            </w:pPr>
            <w:r>
              <w:t xml:space="preserve">0.911 </w:t>
            </w:r>
          </w:p>
          <w:p w:rsidR="004275F9" w:rsidRDefault="004275F9" w:rsidP="00F54663">
            <w:pPr>
              <w:jc w:val="center"/>
            </w:pPr>
            <w:r>
              <w:t>(0.905 to 0.916)</w:t>
            </w:r>
          </w:p>
        </w:tc>
        <w:tc>
          <w:tcPr>
            <w:tcW w:w="1843" w:type="dxa"/>
          </w:tcPr>
          <w:p w:rsidR="004275F9" w:rsidRDefault="004275F9" w:rsidP="00F54663">
            <w:pPr>
              <w:jc w:val="center"/>
            </w:pPr>
            <w:r>
              <w:t>0.914</w:t>
            </w:r>
          </w:p>
          <w:p w:rsidR="004275F9" w:rsidRDefault="004275F9" w:rsidP="00F54663">
            <w:pPr>
              <w:jc w:val="center"/>
            </w:pPr>
            <w:r>
              <w:t xml:space="preserve"> (0.908 to 0.919)</w:t>
            </w:r>
          </w:p>
        </w:tc>
        <w:tc>
          <w:tcPr>
            <w:tcW w:w="2126" w:type="dxa"/>
          </w:tcPr>
          <w:p w:rsidR="004275F9" w:rsidRDefault="004275F9" w:rsidP="00F54663">
            <w:pPr>
              <w:jc w:val="center"/>
            </w:pPr>
            <w:r>
              <w:t xml:space="preserve">0.917 </w:t>
            </w:r>
          </w:p>
          <w:p w:rsidR="004275F9" w:rsidRDefault="004275F9" w:rsidP="00F54663">
            <w:pPr>
              <w:jc w:val="center"/>
            </w:pPr>
            <w:r>
              <w:t>(0.911 to 0.923)</w:t>
            </w:r>
          </w:p>
        </w:tc>
      </w:tr>
      <w:tr w:rsidR="004275F9" w:rsidTr="00F54663">
        <w:tc>
          <w:tcPr>
            <w:tcW w:w="12724" w:type="dxa"/>
            <w:gridSpan w:val="7"/>
          </w:tcPr>
          <w:p w:rsidR="004275F9" w:rsidRDefault="004275F9" w:rsidP="00F54663">
            <w:r>
              <w:rPr>
                <w:b/>
              </w:rPr>
              <w:t>Mean frailty for dementia by decade of death</w:t>
            </w:r>
          </w:p>
        </w:tc>
      </w:tr>
      <w:tr w:rsidR="004275F9" w:rsidTr="00F54663">
        <w:tc>
          <w:tcPr>
            <w:tcW w:w="1337" w:type="dxa"/>
          </w:tcPr>
          <w:p w:rsidR="004275F9" w:rsidRDefault="004275F9" w:rsidP="00F54663">
            <w:r>
              <w:t>40-50</w:t>
            </w:r>
          </w:p>
        </w:tc>
        <w:tc>
          <w:tcPr>
            <w:tcW w:w="2032" w:type="dxa"/>
          </w:tcPr>
          <w:p w:rsidR="004275F9" w:rsidRDefault="004275F9" w:rsidP="00F54663">
            <w:pPr>
              <w:jc w:val="center"/>
            </w:pPr>
            <w:r>
              <w:t>1.00</w:t>
            </w:r>
          </w:p>
        </w:tc>
        <w:tc>
          <w:tcPr>
            <w:tcW w:w="1701" w:type="dxa"/>
          </w:tcPr>
          <w:p w:rsidR="004275F9" w:rsidRDefault="004275F9" w:rsidP="00F54663">
            <w:pPr>
              <w:jc w:val="center"/>
            </w:pPr>
            <w:r>
              <w:t>1.19</w:t>
            </w:r>
          </w:p>
        </w:tc>
        <w:tc>
          <w:tcPr>
            <w:tcW w:w="1984" w:type="dxa"/>
          </w:tcPr>
          <w:p w:rsidR="004275F9" w:rsidRDefault="004275F9" w:rsidP="00F54663">
            <w:pPr>
              <w:jc w:val="center"/>
            </w:pPr>
            <w:r>
              <w:t>1.39</w:t>
            </w:r>
          </w:p>
        </w:tc>
        <w:tc>
          <w:tcPr>
            <w:tcW w:w="1701" w:type="dxa"/>
          </w:tcPr>
          <w:p w:rsidR="004275F9" w:rsidRDefault="004275F9" w:rsidP="00F54663">
            <w:pPr>
              <w:jc w:val="center"/>
            </w:pPr>
            <w:r>
              <w:t>1.57</w:t>
            </w:r>
          </w:p>
        </w:tc>
        <w:tc>
          <w:tcPr>
            <w:tcW w:w="1843" w:type="dxa"/>
          </w:tcPr>
          <w:p w:rsidR="004275F9" w:rsidRDefault="004275F9" w:rsidP="00F54663">
            <w:pPr>
              <w:jc w:val="center"/>
            </w:pPr>
            <w:r>
              <w:t>1.73</w:t>
            </w:r>
          </w:p>
        </w:tc>
        <w:tc>
          <w:tcPr>
            <w:tcW w:w="2126" w:type="dxa"/>
          </w:tcPr>
          <w:p w:rsidR="004275F9" w:rsidRDefault="004275F9" w:rsidP="00F54663">
            <w:pPr>
              <w:jc w:val="center"/>
            </w:pPr>
            <w:r>
              <w:t>1.88</w:t>
            </w:r>
          </w:p>
        </w:tc>
      </w:tr>
      <w:tr w:rsidR="004275F9" w:rsidTr="00F54663">
        <w:tc>
          <w:tcPr>
            <w:tcW w:w="1337" w:type="dxa"/>
          </w:tcPr>
          <w:p w:rsidR="004275F9" w:rsidRDefault="004275F9" w:rsidP="00F54663">
            <w:r>
              <w:t>50-60</w:t>
            </w:r>
          </w:p>
        </w:tc>
        <w:tc>
          <w:tcPr>
            <w:tcW w:w="2032" w:type="dxa"/>
          </w:tcPr>
          <w:p w:rsidR="004275F9" w:rsidRDefault="004275F9" w:rsidP="00F54663">
            <w:pPr>
              <w:jc w:val="center"/>
            </w:pPr>
            <w:r>
              <w:t>1.00</w:t>
            </w:r>
          </w:p>
        </w:tc>
        <w:tc>
          <w:tcPr>
            <w:tcW w:w="1701" w:type="dxa"/>
          </w:tcPr>
          <w:p w:rsidR="004275F9" w:rsidRDefault="004275F9" w:rsidP="00F54663">
            <w:pPr>
              <w:jc w:val="center"/>
            </w:pPr>
            <w:r>
              <w:t>1.19</w:t>
            </w:r>
          </w:p>
        </w:tc>
        <w:tc>
          <w:tcPr>
            <w:tcW w:w="1984" w:type="dxa"/>
          </w:tcPr>
          <w:p w:rsidR="004275F9" w:rsidRDefault="004275F9" w:rsidP="00F54663">
            <w:pPr>
              <w:jc w:val="center"/>
            </w:pPr>
            <w:r>
              <w:t>1.37</w:t>
            </w:r>
          </w:p>
        </w:tc>
        <w:tc>
          <w:tcPr>
            <w:tcW w:w="1701" w:type="dxa"/>
          </w:tcPr>
          <w:p w:rsidR="004275F9" w:rsidRDefault="004275F9" w:rsidP="00F54663">
            <w:pPr>
              <w:jc w:val="center"/>
            </w:pPr>
            <w:r>
              <w:t>1.53</w:t>
            </w:r>
          </w:p>
        </w:tc>
        <w:tc>
          <w:tcPr>
            <w:tcW w:w="1843" w:type="dxa"/>
          </w:tcPr>
          <w:p w:rsidR="004275F9" w:rsidRDefault="004275F9" w:rsidP="00F54663">
            <w:pPr>
              <w:jc w:val="center"/>
            </w:pPr>
            <w:r>
              <w:t>1.67</w:t>
            </w:r>
          </w:p>
        </w:tc>
        <w:tc>
          <w:tcPr>
            <w:tcW w:w="2126" w:type="dxa"/>
          </w:tcPr>
          <w:p w:rsidR="004275F9" w:rsidRDefault="004275F9" w:rsidP="00F54663">
            <w:pPr>
              <w:jc w:val="center"/>
            </w:pPr>
            <w:r>
              <w:t>1.79</w:t>
            </w:r>
          </w:p>
        </w:tc>
      </w:tr>
      <w:tr w:rsidR="004275F9" w:rsidTr="00F54663">
        <w:tc>
          <w:tcPr>
            <w:tcW w:w="1337" w:type="dxa"/>
          </w:tcPr>
          <w:p w:rsidR="004275F9" w:rsidRDefault="004275F9" w:rsidP="00F54663">
            <w:r>
              <w:t>60-70</w:t>
            </w:r>
          </w:p>
        </w:tc>
        <w:tc>
          <w:tcPr>
            <w:tcW w:w="2032" w:type="dxa"/>
          </w:tcPr>
          <w:p w:rsidR="004275F9" w:rsidRDefault="004275F9" w:rsidP="00F54663">
            <w:pPr>
              <w:jc w:val="center"/>
            </w:pPr>
            <w:r>
              <w:t>1.00</w:t>
            </w:r>
          </w:p>
        </w:tc>
        <w:tc>
          <w:tcPr>
            <w:tcW w:w="1701" w:type="dxa"/>
          </w:tcPr>
          <w:p w:rsidR="004275F9" w:rsidRDefault="004275F9" w:rsidP="00F54663">
            <w:pPr>
              <w:jc w:val="center"/>
            </w:pPr>
            <w:r>
              <w:t>1.17</w:t>
            </w:r>
          </w:p>
        </w:tc>
        <w:tc>
          <w:tcPr>
            <w:tcW w:w="1984" w:type="dxa"/>
          </w:tcPr>
          <w:p w:rsidR="004275F9" w:rsidRDefault="004275F9" w:rsidP="00F54663">
            <w:pPr>
              <w:jc w:val="center"/>
            </w:pPr>
            <w:r>
              <w:t>1.31</w:t>
            </w:r>
          </w:p>
        </w:tc>
        <w:tc>
          <w:tcPr>
            <w:tcW w:w="1701" w:type="dxa"/>
          </w:tcPr>
          <w:p w:rsidR="004275F9" w:rsidRDefault="004275F9" w:rsidP="00F54663">
            <w:pPr>
              <w:jc w:val="center"/>
            </w:pPr>
            <w:r>
              <w:t>1.44</w:t>
            </w:r>
          </w:p>
        </w:tc>
        <w:tc>
          <w:tcPr>
            <w:tcW w:w="1843" w:type="dxa"/>
          </w:tcPr>
          <w:p w:rsidR="004275F9" w:rsidRDefault="004275F9" w:rsidP="00F54663">
            <w:pPr>
              <w:jc w:val="center"/>
            </w:pPr>
            <w:r>
              <w:t>1.54</w:t>
            </w:r>
          </w:p>
        </w:tc>
        <w:tc>
          <w:tcPr>
            <w:tcW w:w="2126" w:type="dxa"/>
          </w:tcPr>
          <w:p w:rsidR="004275F9" w:rsidRDefault="004275F9" w:rsidP="00F54663">
            <w:pPr>
              <w:jc w:val="center"/>
            </w:pPr>
            <w:r>
              <w:t>1.63</w:t>
            </w:r>
          </w:p>
        </w:tc>
      </w:tr>
      <w:tr w:rsidR="004275F9" w:rsidTr="00F54663">
        <w:tc>
          <w:tcPr>
            <w:tcW w:w="1337" w:type="dxa"/>
          </w:tcPr>
          <w:p w:rsidR="004275F9" w:rsidRDefault="004275F9" w:rsidP="00F54663">
            <w:r>
              <w:t>70-80</w:t>
            </w:r>
          </w:p>
        </w:tc>
        <w:tc>
          <w:tcPr>
            <w:tcW w:w="2032" w:type="dxa"/>
          </w:tcPr>
          <w:p w:rsidR="004275F9" w:rsidRDefault="004275F9" w:rsidP="00F54663">
            <w:pPr>
              <w:jc w:val="center"/>
            </w:pPr>
            <w:r>
              <w:t>1.00</w:t>
            </w:r>
          </w:p>
        </w:tc>
        <w:tc>
          <w:tcPr>
            <w:tcW w:w="1701" w:type="dxa"/>
          </w:tcPr>
          <w:p w:rsidR="004275F9" w:rsidRDefault="004275F9" w:rsidP="00F54663">
            <w:pPr>
              <w:jc w:val="center"/>
            </w:pPr>
            <w:r>
              <w:t>1.11</w:t>
            </w:r>
          </w:p>
        </w:tc>
        <w:tc>
          <w:tcPr>
            <w:tcW w:w="1984" w:type="dxa"/>
          </w:tcPr>
          <w:p w:rsidR="004275F9" w:rsidRDefault="004275F9" w:rsidP="00F54663">
            <w:pPr>
              <w:jc w:val="center"/>
            </w:pPr>
            <w:r>
              <w:t>1.19</w:t>
            </w:r>
          </w:p>
        </w:tc>
        <w:tc>
          <w:tcPr>
            <w:tcW w:w="1701" w:type="dxa"/>
          </w:tcPr>
          <w:p w:rsidR="004275F9" w:rsidRDefault="004275F9" w:rsidP="00F54663">
            <w:pPr>
              <w:jc w:val="center"/>
            </w:pPr>
            <w:r>
              <w:t>1.25</w:t>
            </w:r>
          </w:p>
        </w:tc>
        <w:tc>
          <w:tcPr>
            <w:tcW w:w="1843" w:type="dxa"/>
          </w:tcPr>
          <w:p w:rsidR="004275F9" w:rsidRDefault="004275F9" w:rsidP="00F54663">
            <w:pPr>
              <w:jc w:val="center"/>
            </w:pPr>
            <w:r>
              <w:t>1.28</w:t>
            </w:r>
          </w:p>
        </w:tc>
        <w:tc>
          <w:tcPr>
            <w:tcW w:w="2126" w:type="dxa"/>
          </w:tcPr>
          <w:p w:rsidR="004275F9" w:rsidRDefault="004275F9" w:rsidP="00F54663">
            <w:pPr>
              <w:jc w:val="center"/>
            </w:pPr>
            <w:r>
              <w:t>1.29</w:t>
            </w:r>
          </w:p>
        </w:tc>
      </w:tr>
      <w:tr w:rsidR="004275F9" w:rsidTr="00F54663">
        <w:tc>
          <w:tcPr>
            <w:tcW w:w="1337" w:type="dxa"/>
          </w:tcPr>
          <w:p w:rsidR="004275F9" w:rsidRDefault="004275F9" w:rsidP="00F54663">
            <w:r>
              <w:t>80-90</w:t>
            </w:r>
          </w:p>
        </w:tc>
        <w:tc>
          <w:tcPr>
            <w:tcW w:w="2032" w:type="dxa"/>
          </w:tcPr>
          <w:p w:rsidR="004275F9" w:rsidRDefault="004275F9" w:rsidP="00F54663">
            <w:pPr>
              <w:jc w:val="center"/>
            </w:pPr>
            <w:r>
              <w:t>1.00</w:t>
            </w:r>
          </w:p>
        </w:tc>
        <w:tc>
          <w:tcPr>
            <w:tcW w:w="1701" w:type="dxa"/>
          </w:tcPr>
          <w:p w:rsidR="004275F9" w:rsidRDefault="004275F9" w:rsidP="00F54663">
            <w:pPr>
              <w:jc w:val="center"/>
            </w:pPr>
            <w:r>
              <w:t>0.99</w:t>
            </w:r>
          </w:p>
        </w:tc>
        <w:tc>
          <w:tcPr>
            <w:tcW w:w="1984" w:type="dxa"/>
          </w:tcPr>
          <w:p w:rsidR="004275F9" w:rsidRDefault="004275F9" w:rsidP="00F54663">
            <w:pPr>
              <w:jc w:val="center"/>
            </w:pPr>
            <w:r>
              <w:t>0.96</w:t>
            </w:r>
          </w:p>
        </w:tc>
        <w:tc>
          <w:tcPr>
            <w:tcW w:w="1701" w:type="dxa"/>
          </w:tcPr>
          <w:p w:rsidR="004275F9" w:rsidRDefault="004275F9" w:rsidP="00F54663">
            <w:pPr>
              <w:jc w:val="center"/>
            </w:pPr>
            <w:r>
              <w:t>0.92</w:t>
            </w:r>
          </w:p>
        </w:tc>
        <w:tc>
          <w:tcPr>
            <w:tcW w:w="1843" w:type="dxa"/>
          </w:tcPr>
          <w:p w:rsidR="004275F9" w:rsidRDefault="004275F9" w:rsidP="00F54663">
            <w:pPr>
              <w:jc w:val="center"/>
            </w:pPr>
            <w:r>
              <w:t>0.87</w:t>
            </w:r>
          </w:p>
        </w:tc>
        <w:tc>
          <w:tcPr>
            <w:tcW w:w="2126" w:type="dxa"/>
          </w:tcPr>
          <w:p w:rsidR="004275F9" w:rsidRDefault="004275F9" w:rsidP="00F54663">
            <w:pPr>
              <w:jc w:val="center"/>
            </w:pPr>
            <w:r>
              <w:t>0.82</w:t>
            </w:r>
          </w:p>
        </w:tc>
      </w:tr>
      <w:tr w:rsidR="004275F9" w:rsidTr="00F54663">
        <w:tc>
          <w:tcPr>
            <w:tcW w:w="1337" w:type="dxa"/>
          </w:tcPr>
          <w:p w:rsidR="004275F9" w:rsidRDefault="004275F9" w:rsidP="00F54663">
            <w:r>
              <w:t>90+</w:t>
            </w:r>
          </w:p>
        </w:tc>
        <w:tc>
          <w:tcPr>
            <w:tcW w:w="2032" w:type="dxa"/>
          </w:tcPr>
          <w:p w:rsidR="004275F9" w:rsidRDefault="004275F9" w:rsidP="00F54663">
            <w:pPr>
              <w:jc w:val="center"/>
            </w:pPr>
            <w:r>
              <w:t>1.00</w:t>
            </w:r>
          </w:p>
        </w:tc>
        <w:tc>
          <w:tcPr>
            <w:tcW w:w="1701" w:type="dxa"/>
          </w:tcPr>
          <w:p w:rsidR="004275F9" w:rsidRDefault="004275F9" w:rsidP="00F54663">
            <w:pPr>
              <w:jc w:val="center"/>
            </w:pPr>
            <w:r>
              <w:t>0.75</w:t>
            </w:r>
          </w:p>
        </w:tc>
        <w:tc>
          <w:tcPr>
            <w:tcW w:w="1984" w:type="dxa"/>
          </w:tcPr>
          <w:p w:rsidR="004275F9" w:rsidRDefault="004275F9" w:rsidP="00F54663">
            <w:pPr>
              <w:jc w:val="center"/>
            </w:pPr>
            <w:r>
              <w:t>0.59</w:t>
            </w:r>
          </w:p>
        </w:tc>
        <w:tc>
          <w:tcPr>
            <w:tcW w:w="1701" w:type="dxa"/>
          </w:tcPr>
          <w:p w:rsidR="004275F9" w:rsidRDefault="004275F9" w:rsidP="00F54663">
            <w:pPr>
              <w:jc w:val="center"/>
            </w:pPr>
            <w:r>
              <w:t>0.49</w:t>
            </w:r>
          </w:p>
        </w:tc>
        <w:tc>
          <w:tcPr>
            <w:tcW w:w="1843" w:type="dxa"/>
          </w:tcPr>
          <w:p w:rsidR="004275F9" w:rsidRDefault="004275F9" w:rsidP="00F54663">
            <w:pPr>
              <w:jc w:val="center"/>
            </w:pPr>
            <w:r>
              <w:t>0.43</w:t>
            </w:r>
          </w:p>
        </w:tc>
        <w:tc>
          <w:tcPr>
            <w:tcW w:w="2126" w:type="dxa"/>
          </w:tcPr>
          <w:p w:rsidR="004275F9" w:rsidRDefault="004275F9" w:rsidP="00F54663">
            <w:pPr>
              <w:jc w:val="center"/>
            </w:pPr>
            <w:r>
              <w:t>0.38</w:t>
            </w:r>
          </w:p>
        </w:tc>
      </w:tr>
    </w:tbl>
    <w:p w:rsidR="004275F9" w:rsidRDefault="004275F9" w:rsidP="004275F9"/>
    <w:p w:rsidR="004275F9" w:rsidRDefault="004275F9" w:rsidP="004275F9"/>
    <w:p w:rsidR="00281F95" w:rsidRDefault="00281F95"/>
    <w:sectPr w:rsidR="00281F95" w:rsidSect="009B30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D09"/>
    <w:multiLevelType w:val="hybridMultilevel"/>
    <w:tmpl w:val="8E8E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64D8C"/>
    <w:multiLevelType w:val="hybridMultilevel"/>
    <w:tmpl w:val="955C596C"/>
    <w:lvl w:ilvl="0" w:tplc="815C21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F9"/>
    <w:rsid w:val="000379E8"/>
    <w:rsid w:val="00210D85"/>
    <w:rsid w:val="00281F95"/>
    <w:rsid w:val="004275F9"/>
    <w:rsid w:val="004453C9"/>
    <w:rsid w:val="0057177D"/>
    <w:rsid w:val="00E42AA4"/>
    <w:rsid w:val="00EC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D12C"/>
  <w15:chartTrackingRefBased/>
  <w15:docId w15:val="{DA81F5CD-B81B-474A-8FD0-7465FBC7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F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5F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275F9"/>
    <w:rPr>
      <w:sz w:val="16"/>
      <w:szCs w:val="16"/>
    </w:rPr>
  </w:style>
  <w:style w:type="paragraph" w:styleId="CommentText">
    <w:name w:val="annotation text"/>
    <w:basedOn w:val="Normal"/>
    <w:link w:val="CommentTextChar"/>
    <w:uiPriority w:val="99"/>
    <w:semiHidden/>
    <w:unhideWhenUsed/>
    <w:rsid w:val="004275F9"/>
    <w:pPr>
      <w:spacing w:line="240" w:lineRule="auto"/>
    </w:pPr>
    <w:rPr>
      <w:sz w:val="20"/>
      <w:szCs w:val="20"/>
    </w:rPr>
  </w:style>
  <w:style w:type="character" w:customStyle="1" w:styleId="CommentTextChar">
    <w:name w:val="Comment Text Char"/>
    <w:basedOn w:val="DefaultParagraphFont"/>
    <w:link w:val="CommentText"/>
    <w:uiPriority w:val="99"/>
    <w:semiHidden/>
    <w:rsid w:val="004275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275F9"/>
    <w:rPr>
      <w:b/>
      <w:bCs/>
    </w:rPr>
  </w:style>
  <w:style w:type="character" w:customStyle="1" w:styleId="CommentSubjectChar">
    <w:name w:val="Comment Subject Char"/>
    <w:basedOn w:val="CommentTextChar"/>
    <w:link w:val="CommentSubject"/>
    <w:uiPriority w:val="99"/>
    <w:semiHidden/>
    <w:rsid w:val="004275F9"/>
    <w:rPr>
      <w:rFonts w:eastAsiaTheme="minorEastAsia"/>
      <w:b/>
      <w:bCs/>
      <w:sz w:val="20"/>
      <w:szCs w:val="20"/>
    </w:rPr>
  </w:style>
  <w:style w:type="paragraph" w:styleId="ListParagraph">
    <w:name w:val="List Paragraph"/>
    <w:basedOn w:val="Normal"/>
    <w:uiPriority w:val="34"/>
    <w:qFormat/>
    <w:rsid w:val="004275F9"/>
    <w:pPr>
      <w:ind w:left="720"/>
      <w:contextualSpacing/>
    </w:pPr>
  </w:style>
  <w:style w:type="paragraph" w:styleId="Header">
    <w:name w:val="header"/>
    <w:basedOn w:val="Normal"/>
    <w:link w:val="HeaderChar"/>
    <w:uiPriority w:val="99"/>
    <w:unhideWhenUsed/>
    <w:rsid w:val="00427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5F9"/>
    <w:rPr>
      <w:rFonts w:eastAsiaTheme="minorEastAsia"/>
    </w:rPr>
  </w:style>
  <w:style w:type="paragraph" w:styleId="Footer">
    <w:name w:val="footer"/>
    <w:basedOn w:val="Normal"/>
    <w:link w:val="FooterChar"/>
    <w:uiPriority w:val="99"/>
    <w:unhideWhenUsed/>
    <w:rsid w:val="00427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5F9"/>
    <w:rPr>
      <w:rFonts w:eastAsiaTheme="minorEastAsia"/>
    </w:rPr>
  </w:style>
  <w:style w:type="table" w:styleId="TableGrid">
    <w:name w:val="Table Grid"/>
    <w:basedOn w:val="TableNormal"/>
    <w:uiPriority w:val="59"/>
    <w:rsid w:val="004275F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4275F9"/>
    <w:rPr>
      <w:color w:val="0000FF"/>
      <w:u w:val="single"/>
    </w:rPr>
  </w:style>
  <w:style w:type="character" w:customStyle="1" w:styleId="ref-journal">
    <w:name w:val="ref-journal"/>
    <w:basedOn w:val="DefaultParagraphFont"/>
    <w:rsid w:val="004275F9"/>
  </w:style>
  <w:style w:type="character" w:customStyle="1" w:styleId="ref-vol">
    <w:name w:val="ref-vol"/>
    <w:basedOn w:val="DefaultParagraphFont"/>
    <w:rsid w:val="004275F9"/>
  </w:style>
  <w:style w:type="paragraph" w:styleId="HTMLPreformatted">
    <w:name w:val="HTML Preformatted"/>
    <w:basedOn w:val="Normal"/>
    <w:link w:val="HTMLPreformattedChar"/>
    <w:uiPriority w:val="99"/>
    <w:semiHidden/>
    <w:unhideWhenUsed/>
    <w:rsid w:val="0042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4275F9"/>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Gregson</dc:creator>
  <cp:keywords/>
  <dc:description/>
  <cp:lastModifiedBy>John Gregson</cp:lastModifiedBy>
  <cp:revision>6</cp:revision>
  <dcterms:created xsi:type="dcterms:W3CDTF">2018-04-03T13:38:00Z</dcterms:created>
  <dcterms:modified xsi:type="dcterms:W3CDTF">2019-05-14T14:25:00Z</dcterms:modified>
</cp:coreProperties>
</file>