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08C8" w14:textId="77777777" w:rsidR="003B0F8E" w:rsidRPr="00493CFB" w:rsidRDefault="003B0F8E" w:rsidP="005E701A">
      <w:pPr>
        <w:spacing w:after="0" w:line="480" w:lineRule="auto"/>
        <w:rPr>
          <w:lang w:val="en-US"/>
        </w:rPr>
      </w:pPr>
      <w:r w:rsidRPr="00493CFB">
        <w:rPr>
          <w:lang w:val="en-US"/>
        </w:rPr>
        <w:t>Table 1: Baseline Characteristic by African-American and non-African-American race</w:t>
      </w:r>
    </w:p>
    <w:p w14:paraId="23B5E1E9" w14:textId="77777777" w:rsidR="001A155E" w:rsidRPr="00493CFB" w:rsidRDefault="001A155E" w:rsidP="005E701A">
      <w:pPr>
        <w:spacing w:after="0" w:line="480" w:lineRule="auto"/>
        <w:rPr>
          <w:lang w:val="en-US"/>
        </w:rPr>
      </w:pPr>
    </w:p>
    <w:tbl>
      <w:tblPr>
        <w:tblW w:w="795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8"/>
        <w:gridCol w:w="2041"/>
        <w:gridCol w:w="1928"/>
        <w:gridCol w:w="861"/>
        <w:gridCol w:w="19"/>
      </w:tblGrid>
      <w:tr w:rsidR="00CB0E87" w:rsidRPr="00493CFB" w14:paraId="2B9F30BD" w14:textId="77777777" w:rsidTr="00793528">
        <w:trPr>
          <w:gridAfter w:val="1"/>
          <w:wAfter w:w="19" w:type="dxa"/>
          <w:cantSplit/>
          <w:tblHeader/>
          <w:jc w:val="center"/>
        </w:trPr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13A867DC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IDX"/>
            <w:bookmarkEnd w:id="0"/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3EA52FF3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Non-African Americans</w:t>
            </w: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>N = 17707 (89.0%)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622D4CA0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African Americans</w:t>
            </w: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  <w:t xml:space="preserve"> N = 2125 (11.0%)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EE17DAC" w14:textId="77777777" w:rsidR="00CB0E87" w:rsidRPr="00493CFB" w:rsidRDefault="00CB0E87" w:rsidP="005E701A">
            <w:pPr>
              <w:keepNext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 value</w:t>
            </w:r>
          </w:p>
        </w:tc>
      </w:tr>
      <w:tr w:rsidR="00CB0E87" w:rsidRPr="00493CFB" w14:paraId="3C98DB00" w14:textId="77777777" w:rsidTr="00793528">
        <w:trPr>
          <w:cantSplit/>
          <w:jc w:val="center"/>
        </w:trPr>
        <w:tc>
          <w:tcPr>
            <w:tcW w:w="3108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51D82E0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DEMOGRAPHICS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8329867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0D76C5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9224C0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B0E87" w:rsidRPr="00493CFB" w14:paraId="4AFD6BF4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4F167594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Age, years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2BA97BCB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64.76 ± 12.23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1FFEEA19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61.42 ± 12.16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11678246" w14:textId="4BC1A5CF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5A086084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77235624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Gender (female) 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21AC8F80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5288 (29.9%)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7409F50B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985 (46.4%)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3D0A9524" w14:textId="1225B5F1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7D796CD0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0E6B8B03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BMI (kg/m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US"/>
              </w:rPr>
              <w:t>2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4EC0AA83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29.84 ± 6.10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505A34D0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30.66 ± 6.72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2FA8E582" w14:textId="39E14520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6A8DCB79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3650576E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Diabetes at baseline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4336F825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6545 (37.0%)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2EDA6D79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995 (46.8%)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0CA6801F" w14:textId="5AC7B114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6C9A25AF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5CC3D339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Hypertension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5F8B0B9F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14384 (81.2%)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7449AB66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1933 (91.0%)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494163B0" w14:textId="13EBDE9C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6BF27D3F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70A4A71A" w14:textId="7656B6FA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Hypercholesterolemia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77AB8C73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14873 (84.0%)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0B38094C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1746 (82.2%)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7FC96346" w14:textId="08759282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CB0E87" w:rsidRPr="00493CFB" w14:paraId="5912F43D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50BBCDCD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Smoking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4FD30B50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4216 (23.8%)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6E65CDBB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769 (36.2%)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52927EAF" w14:textId="4AD97860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1A86A4A5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47309AE2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Pre-Procedure Creatinine, mg/dl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2EB297F6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1.15 ± 0.94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147C7344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1.57 ± 1.83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055EA257" w14:textId="3F94CF1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787C8D82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3A671AE5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Pre-Procedure Hemoglobin, mg/dl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207F8B93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13.33 ± 2.12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581A4BB6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12.58 ± 1.97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03D75FA2" w14:textId="1B08E70E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749EC00A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5D4DB540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ISCHEMIC HISTORY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092F505D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772AB9C7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3D25F7C3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B0E87" w:rsidRPr="00493CFB" w14:paraId="74FC961E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093A356C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Family history of CAD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19203865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5630 (31.8%)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04202B19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544 (25.6%)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61221E98" w14:textId="6CEEAA51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151CDA4B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1917E221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Previous MI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444ACEC0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5201 (29.4%)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04EA6F86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731 (34.4%)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30C51E01" w14:textId="002A2C35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55FFB505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0EEF1F21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Previous PCI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0689EB17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4519 (25.5%)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740C8A60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489 (23.0%)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2025677C" w14:textId="21824345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0.01</w:t>
            </w:r>
          </w:p>
        </w:tc>
      </w:tr>
      <w:tr w:rsidR="00CB0E87" w:rsidRPr="00493CFB" w14:paraId="75FCCA2F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4DD06AC4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Previous CABG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4F9CB4E6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3124 (17.6%)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49D4B146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287 (13.5%)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7FA19C79" w14:textId="2DBB293F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4A537BC0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7DE57391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Prior CHF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668F83AD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3706 (20.9%)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2ABB6362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532 (25.0%)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71E070C7" w14:textId="61EF2068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04833A3E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7FBF5F85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Prior PAD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6BC06B4C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2109 (11.9%)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4FE137B9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307 (14.4%)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0E238A74" w14:textId="134DD86D" w:rsidR="00CB0E87" w:rsidRPr="00493CFB" w:rsidRDefault="00AF0B05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CB0E87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CB0E87" w:rsidRPr="00493CFB" w14:paraId="390DA001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395E158B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Prior Cerebrovascular Disease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696D5819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2064 (11.7%)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22D9B8C9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308 (14.5%)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1592BA9C" w14:textId="28CD2AC9" w:rsidR="00CB0E87" w:rsidRPr="00493CFB" w:rsidRDefault="00AF0B05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CB0E87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0.0001</w:t>
            </w:r>
          </w:p>
        </w:tc>
      </w:tr>
      <w:tr w:rsidR="00CB0E87" w:rsidRPr="00493CFB" w14:paraId="18153FDC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5AC01C14" w14:textId="77777777" w:rsidR="00CB0E87" w:rsidRPr="00493CFB" w:rsidRDefault="00CB0E87" w:rsidP="005E701A">
            <w:pPr>
              <w:adjustRightInd w:val="0"/>
              <w:spacing w:after="0" w:line="48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CAD Presentation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170223AE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481F79B7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7A8D4176" w14:textId="45A6BDD3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&lt;</w:t>
            </w:r>
            <w:r w:rsidR="00AF0B05"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</w:t>
            </w: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.0001</w:t>
            </w:r>
          </w:p>
        </w:tc>
      </w:tr>
      <w:tr w:rsidR="00CB0E87" w:rsidRPr="00493CFB" w14:paraId="7D827836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023F954C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Unstable Angina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5C4F24D4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10128 (57.2%)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6344B6E7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1044 (49.1%)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5E299D40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B0E87" w:rsidRPr="00493CFB" w14:paraId="24C1A7D7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114AB943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NSTEMI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7AB20CBD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4776 (27.0%)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1B9FA0DA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618 (29.1%)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55EA9E24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B0E87" w:rsidRPr="00493CFB" w14:paraId="640C67EA" w14:textId="77777777" w:rsidTr="00793528">
        <w:trPr>
          <w:cantSplit/>
          <w:jc w:val="center"/>
        </w:trPr>
        <w:tc>
          <w:tcPr>
            <w:tcW w:w="3108" w:type="dxa"/>
            <w:shd w:val="clear" w:color="auto" w:fill="FFFFFF"/>
            <w:tcMar>
              <w:left w:w="40" w:type="dxa"/>
              <w:right w:w="40" w:type="dxa"/>
            </w:tcMar>
          </w:tcPr>
          <w:p w14:paraId="3450B800" w14:textId="77777777" w:rsidR="00CB0E87" w:rsidRPr="00493CFB" w:rsidRDefault="00CB0E87" w:rsidP="005E701A">
            <w:pPr>
              <w:adjustRightInd w:val="0"/>
              <w:spacing w:after="0" w:line="480" w:lineRule="auto"/>
              <w:ind w:left="229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STEMI</w:t>
            </w:r>
          </w:p>
        </w:tc>
        <w:tc>
          <w:tcPr>
            <w:tcW w:w="2041" w:type="dxa"/>
            <w:shd w:val="clear" w:color="auto" w:fill="FFFFFF"/>
            <w:tcMar>
              <w:left w:w="40" w:type="dxa"/>
              <w:right w:w="40" w:type="dxa"/>
            </w:tcMar>
          </w:tcPr>
          <w:p w14:paraId="17AFAA20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2802 (15.8%)</w:t>
            </w:r>
          </w:p>
        </w:tc>
        <w:tc>
          <w:tcPr>
            <w:tcW w:w="1928" w:type="dxa"/>
            <w:shd w:val="clear" w:color="auto" w:fill="FFFFFF"/>
            <w:tcMar>
              <w:left w:w="40" w:type="dxa"/>
              <w:right w:w="40" w:type="dxa"/>
            </w:tcMar>
          </w:tcPr>
          <w:p w14:paraId="491E4419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493CF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463 (21.8%)</w:t>
            </w:r>
          </w:p>
        </w:tc>
        <w:tc>
          <w:tcPr>
            <w:tcW w:w="880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p w14:paraId="29274EF2" w14:textId="77777777" w:rsidR="00CB0E87" w:rsidRPr="00493CFB" w:rsidRDefault="00CB0E87" w:rsidP="005E701A">
            <w:pPr>
              <w:adjustRightInd w:val="0"/>
              <w:spacing w:after="0" w:line="48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AFB5938" w14:textId="2C747B4E" w:rsidR="001A155E" w:rsidRPr="00493CFB" w:rsidRDefault="00E079E5" w:rsidP="005E701A">
      <w:pPr>
        <w:spacing w:after="0" w:line="480" w:lineRule="auto"/>
        <w:ind w:left="851" w:right="707"/>
        <w:rPr>
          <w:lang w:val="en-US"/>
        </w:rPr>
      </w:pPr>
      <w:r w:rsidRPr="00493CFB">
        <w:rPr>
          <w:lang w:val="en-US"/>
        </w:rPr>
        <w:t>BMI, body mass index; CABG, coronary artery bypass graft; CAD, coronary artery disease; CHF, congestive heart failure; MI, myocardial infarction; NSTEMI, non-ST segment elevation MI; PAD, peripheral artery disease, PCI, percutaneous coronary artery disease; STEMI, ST-segment elevation MI</w:t>
      </w:r>
      <w:bookmarkStart w:id="1" w:name="_GoBack"/>
    </w:p>
    <w:bookmarkEnd w:id="1"/>
    <w:p w14:paraId="06776E26" w14:textId="3736040B" w:rsidR="00CA3D35" w:rsidRPr="00493CFB" w:rsidRDefault="00CA3D35" w:rsidP="00894D98">
      <w:pPr>
        <w:spacing w:after="0" w:line="480" w:lineRule="auto"/>
        <w:ind w:left="851" w:right="707"/>
        <w:rPr>
          <w:lang w:val="en-US"/>
        </w:rPr>
      </w:pPr>
    </w:p>
    <w:sectPr w:rsidR="00CA3D35" w:rsidRPr="00493CFB" w:rsidSect="000976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1E43" w14:textId="77777777" w:rsidR="00F209F4" w:rsidRDefault="00F209F4" w:rsidP="00195C2A">
      <w:pPr>
        <w:spacing w:after="0" w:line="240" w:lineRule="auto"/>
      </w:pPr>
      <w:r>
        <w:separator/>
      </w:r>
    </w:p>
  </w:endnote>
  <w:endnote w:type="continuationSeparator" w:id="0">
    <w:p w14:paraId="6981C7A0" w14:textId="77777777" w:rsidR="00F209F4" w:rsidRDefault="00F209F4" w:rsidP="00195C2A">
      <w:pPr>
        <w:spacing w:after="0" w:line="240" w:lineRule="auto"/>
      </w:pPr>
      <w:r>
        <w:continuationSeparator/>
      </w:r>
    </w:p>
  </w:endnote>
  <w:endnote w:type="continuationNotice" w:id="1">
    <w:p w14:paraId="11863AF2" w14:textId="77777777" w:rsidR="00F209F4" w:rsidRDefault="00F209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362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AF7B6" w14:textId="048483A1" w:rsidR="00C8182D" w:rsidRDefault="00C81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B7FF757" w14:textId="77777777" w:rsidR="00C8182D" w:rsidRDefault="00C81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8DA4" w14:textId="77777777" w:rsidR="00F209F4" w:rsidRDefault="00F209F4" w:rsidP="00195C2A">
      <w:pPr>
        <w:spacing w:after="0" w:line="240" w:lineRule="auto"/>
      </w:pPr>
      <w:r>
        <w:separator/>
      </w:r>
    </w:p>
  </w:footnote>
  <w:footnote w:type="continuationSeparator" w:id="0">
    <w:p w14:paraId="7BB40CD0" w14:textId="77777777" w:rsidR="00F209F4" w:rsidRDefault="00F209F4" w:rsidP="00195C2A">
      <w:pPr>
        <w:spacing w:after="0" w:line="240" w:lineRule="auto"/>
      </w:pPr>
      <w:r>
        <w:continuationSeparator/>
      </w:r>
    </w:p>
  </w:footnote>
  <w:footnote w:type="continuationNotice" w:id="1">
    <w:p w14:paraId="079AF581" w14:textId="77777777" w:rsidR="00F209F4" w:rsidRDefault="00F209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BB91" w14:textId="77777777" w:rsidR="00DA730A" w:rsidRDefault="00DA73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B055D"/>
    <w:multiLevelType w:val="multilevel"/>
    <w:tmpl w:val="C60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44FC7"/>
    <w:multiLevelType w:val="hybridMultilevel"/>
    <w:tmpl w:val="85F69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24BED"/>
    <w:multiLevelType w:val="hybridMultilevel"/>
    <w:tmpl w:val="FBD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theterization Cardi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0eps9dd929depeavpcvr9fi9002wfatwvr9&quot;&gt;Race&lt;record-ids&gt;&lt;item&gt;1&lt;/item&gt;&lt;item&gt;2&lt;/item&gt;&lt;item&gt;3&lt;/item&gt;&lt;item&gt;4&lt;/item&gt;&lt;item&gt;5&lt;/item&gt;&lt;item&gt;6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/record-ids&gt;&lt;/item&gt;&lt;/Libraries&gt;"/>
  </w:docVars>
  <w:rsids>
    <w:rsidRoot w:val="0025740B"/>
    <w:rsid w:val="0000123B"/>
    <w:rsid w:val="00006CCD"/>
    <w:rsid w:val="000070C8"/>
    <w:rsid w:val="00012FA3"/>
    <w:rsid w:val="00013119"/>
    <w:rsid w:val="000269B7"/>
    <w:rsid w:val="000402B8"/>
    <w:rsid w:val="0004317A"/>
    <w:rsid w:val="00046B49"/>
    <w:rsid w:val="00047ADF"/>
    <w:rsid w:val="0006373E"/>
    <w:rsid w:val="00066272"/>
    <w:rsid w:val="00070778"/>
    <w:rsid w:val="00076188"/>
    <w:rsid w:val="00076B08"/>
    <w:rsid w:val="00083D54"/>
    <w:rsid w:val="00095157"/>
    <w:rsid w:val="00097610"/>
    <w:rsid w:val="000A2C22"/>
    <w:rsid w:val="000C0D3F"/>
    <w:rsid w:val="000D4068"/>
    <w:rsid w:val="000D6474"/>
    <w:rsid w:val="000D66EF"/>
    <w:rsid w:val="000E1A89"/>
    <w:rsid w:val="000E275D"/>
    <w:rsid w:val="00101621"/>
    <w:rsid w:val="001076A1"/>
    <w:rsid w:val="00115665"/>
    <w:rsid w:val="00120528"/>
    <w:rsid w:val="00126D33"/>
    <w:rsid w:val="00134770"/>
    <w:rsid w:val="00137DBE"/>
    <w:rsid w:val="00144B15"/>
    <w:rsid w:val="0014657D"/>
    <w:rsid w:val="00153BAE"/>
    <w:rsid w:val="0015756E"/>
    <w:rsid w:val="00163278"/>
    <w:rsid w:val="00167F44"/>
    <w:rsid w:val="00171738"/>
    <w:rsid w:val="00177123"/>
    <w:rsid w:val="001807F5"/>
    <w:rsid w:val="0018505A"/>
    <w:rsid w:val="00186FB3"/>
    <w:rsid w:val="00195C2A"/>
    <w:rsid w:val="001A155E"/>
    <w:rsid w:val="001B5B26"/>
    <w:rsid w:val="001B5D43"/>
    <w:rsid w:val="001D0E73"/>
    <w:rsid w:val="001D3E50"/>
    <w:rsid w:val="001E6079"/>
    <w:rsid w:val="001F0BD1"/>
    <w:rsid w:val="00202BEF"/>
    <w:rsid w:val="002038D6"/>
    <w:rsid w:val="00205F47"/>
    <w:rsid w:val="00207B1C"/>
    <w:rsid w:val="00207D45"/>
    <w:rsid w:val="00211707"/>
    <w:rsid w:val="00214AA8"/>
    <w:rsid w:val="00217499"/>
    <w:rsid w:val="002177E8"/>
    <w:rsid w:val="002206AE"/>
    <w:rsid w:val="00223F86"/>
    <w:rsid w:val="002341B1"/>
    <w:rsid w:val="00241E17"/>
    <w:rsid w:val="00242D47"/>
    <w:rsid w:val="0025108A"/>
    <w:rsid w:val="00255BEA"/>
    <w:rsid w:val="0025740B"/>
    <w:rsid w:val="002740F0"/>
    <w:rsid w:val="00290A99"/>
    <w:rsid w:val="00290B43"/>
    <w:rsid w:val="00291B0C"/>
    <w:rsid w:val="002933E6"/>
    <w:rsid w:val="002A4440"/>
    <w:rsid w:val="002A5B69"/>
    <w:rsid w:val="002C0450"/>
    <w:rsid w:val="002C1A7F"/>
    <w:rsid w:val="002D026C"/>
    <w:rsid w:val="002D7ABB"/>
    <w:rsid w:val="002E2F5E"/>
    <w:rsid w:val="002E4F96"/>
    <w:rsid w:val="002F3393"/>
    <w:rsid w:val="00312A96"/>
    <w:rsid w:val="00341D41"/>
    <w:rsid w:val="003507D5"/>
    <w:rsid w:val="0035453B"/>
    <w:rsid w:val="00354A23"/>
    <w:rsid w:val="00354B92"/>
    <w:rsid w:val="003845D9"/>
    <w:rsid w:val="003925C6"/>
    <w:rsid w:val="0039797D"/>
    <w:rsid w:val="003A077C"/>
    <w:rsid w:val="003A0FEC"/>
    <w:rsid w:val="003A1343"/>
    <w:rsid w:val="003A6FC3"/>
    <w:rsid w:val="003A704E"/>
    <w:rsid w:val="003B0F8E"/>
    <w:rsid w:val="003B4F3B"/>
    <w:rsid w:val="003C1CB0"/>
    <w:rsid w:val="003D0F70"/>
    <w:rsid w:val="003D4381"/>
    <w:rsid w:val="003D5CE3"/>
    <w:rsid w:val="003D77F8"/>
    <w:rsid w:val="003E44A7"/>
    <w:rsid w:val="003E5A50"/>
    <w:rsid w:val="003E5D4F"/>
    <w:rsid w:val="003F1E95"/>
    <w:rsid w:val="003F47FD"/>
    <w:rsid w:val="003F48E1"/>
    <w:rsid w:val="003F67AA"/>
    <w:rsid w:val="00404CE5"/>
    <w:rsid w:val="004054BB"/>
    <w:rsid w:val="004074F5"/>
    <w:rsid w:val="00416DCC"/>
    <w:rsid w:val="00432EFD"/>
    <w:rsid w:val="0045209F"/>
    <w:rsid w:val="004533D8"/>
    <w:rsid w:val="0045687E"/>
    <w:rsid w:val="004643DA"/>
    <w:rsid w:val="00467C61"/>
    <w:rsid w:val="0048180F"/>
    <w:rsid w:val="00490648"/>
    <w:rsid w:val="00492B03"/>
    <w:rsid w:val="00493CFB"/>
    <w:rsid w:val="004A030F"/>
    <w:rsid w:val="004A4682"/>
    <w:rsid w:val="004B2932"/>
    <w:rsid w:val="004C099F"/>
    <w:rsid w:val="004D0483"/>
    <w:rsid w:val="004E063E"/>
    <w:rsid w:val="004F2088"/>
    <w:rsid w:val="0050047F"/>
    <w:rsid w:val="00501263"/>
    <w:rsid w:val="005111B6"/>
    <w:rsid w:val="00511BE2"/>
    <w:rsid w:val="00515E2C"/>
    <w:rsid w:val="00524925"/>
    <w:rsid w:val="00526AE7"/>
    <w:rsid w:val="00526B9D"/>
    <w:rsid w:val="00534CFB"/>
    <w:rsid w:val="005402FA"/>
    <w:rsid w:val="00543FF6"/>
    <w:rsid w:val="00546421"/>
    <w:rsid w:val="00550095"/>
    <w:rsid w:val="005573A5"/>
    <w:rsid w:val="005612C5"/>
    <w:rsid w:val="005622C8"/>
    <w:rsid w:val="00570A9C"/>
    <w:rsid w:val="00570D5B"/>
    <w:rsid w:val="00574C5F"/>
    <w:rsid w:val="00592DCD"/>
    <w:rsid w:val="00593597"/>
    <w:rsid w:val="00596899"/>
    <w:rsid w:val="005A032A"/>
    <w:rsid w:val="005A0D20"/>
    <w:rsid w:val="005A46F5"/>
    <w:rsid w:val="005A68C5"/>
    <w:rsid w:val="005B5CBE"/>
    <w:rsid w:val="005C5A73"/>
    <w:rsid w:val="005D1061"/>
    <w:rsid w:val="005E1117"/>
    <w:rsid w:val="005E29E0"/>
    <w:rsid w:val="005E6B9E"/>
    <w:rsid w:val="005E701A"/>
    <w:rsid w:val="005F0650"/>
    <w:rsid w:val="005F34F4"/>
    <w:rsid w:val="005F498B"/>
    <w:rsid w:val="006050BE"/>
    <w:rsid w:val="006102A9"/>
    <w:rsid w:val="0061043C"/>
    <w:rsid w:val="00611C4B"/>
    <w:rsid w:val="00611E0E"/>
    <w:rsid w:val="00626EE8"/>
    <w:rsid w:val="006272CF"/>
    <w:rsid w:val="00633BE8"/>
    <w:rsid w:val="006375EA"/>
    <w:rsid w:val="00637ABC"/>
    <w:rsid w:val="00643A85"/>
    <w:rsid w:val="00656D0F"/>
    <w:rsid w:val="00662BD9"/>
    <w:rsid w:val="0068122A"/>
    <w:rsid w:val="006813B7"/>
    <w:rsid w:val="00683AB5"/>
    <w:rsid w:val="00684F3F"/>
    <w:rsid w:val="00687725"/>
    <w:rsid w:val="006A1AAF"/>
    <w:rsid w:val="006A1E78"/>
    <w:rsid w:val="006A7760"/>
    <w:rsid w:val="006B40E5"/>
    <w:rsid w:val="006B7D92"/>
    <w:rsid w:val="006C7159"/>
    <w:rsid w:val="006D2D58"/>
    <w:rsid w:val="006F114D"/>
    <w:rsid w:val="006F2E5E"/>
    <w:rsid w:val="006F65B4"/>
    <w:rsid w:val="007002CB"/>
    <w:rsid w:val="0070160B"/>
    <w:rsid w:val="00703E7D"/>
    <w:rsid w:val="00713249"/>
    <w:rsid w:val="00723AA9"/>
    <w:rsid w:val="007258AE"/>
    <w:rsid w:val="00732872"/>
    <w:rsid w:val="00740F1C"/>
    <w:rsid w:val="007436E2"/>
    <w:rsid w:val="00746BB9"/>
    <w:rsid w:val="007507DA"/>
    <w:rsid w:val="00756E3C"/>
    <w:rsid w:val="007574E7"/>
    <w:rsid w:val="00774499"/>
    <w:rsid w:val="0078065B"/>
    <w:rsid w:val="00780FF2"/>
    <w:rsid w:val="0078687C"/>
    <w:rsid w:val="00793528"/>
    <w:rsid w:val="0079488D"/>
    <w:rsid w:val="007A407B"/>
    <w:rsid w:val="007B2069"/>
    <w:rsid w:val="007B5446"/>
    <w:rsid w:val="007C7CA0"/>
    <w:rsid w:val="007D0104"/>
    <w:rsid w:val="007D3F46"/>
    <w:rsid w:val="007D6C1C"/>
    <w:rsid w:val="007F19AC"/>
    <w:rsid w:val="007F5466"/>
    <w:rsid w:val="00814A98"/>
    <w:rsid w:val="00814F70"/>
    <w:rsid w:val="0081548F"/>
    <w:rsid w:val="00820037"/>
    <w:rsid w:val="00820E1A"/>
    <w:rsid w:val="008220A8"/>
    <w:rsid w:val="008345F6"/>
    <w:rsid w:val="0083614B"/>
    <w:rsid w:val="00843B35"/>
    <w:rsid w:val="00843DC9"/>
    <w:rsid w:val="00852A7E"/>
    <w:rsid w:val="008562D3"/>
    <w:rsid w:val="008601A1"/>
    <w:rsid w:val="00862C63"/>
    <w:rsid w:val="00865D1F"/>
    <w:rsid w:val="0087012D"/>
    <w:rsid w:val="00874C67"/>
    <w:rsid w:val="00884643"/>
    <w:rsid w:val="00894D98"/>
    <w:rsid w:val="00896871"/>
    <w:rsid w:val="008A1E52"/>
    <w:rsid w:val="008A6CB9"/>
    <w:rsid w:val="008A6E07"/>
    <w:rsid w:val="008B0076"/>
    <w:rsid w:val="008D125E"/>
    <w:rsid w:val="008E1E6C"/>
    <w:rsid w:val="008E7AF7"/>
    <w:rsid w:val="008F51CD"/>
    <w:rsid w:val="00902917"/>
    <w:rsid w:val="009055D8"/>
    <w:rsid w:val="00913856"/>
    <w:rsid w:val="0092558B"/>
    <w:rsid w:val="00925EFA"/>
    <w:rsid w:val="009349AC"/>
    <w:rsid w:val="00943445"/>
    <w:rsid w:val="00943484"/>
    <w:rsid w:val="009550F6"/>
    <w:rsid w:val="009552C6"/>
    <w:rsid w:val="00956616"/>
    <w:rsid w:val="00961279"/>
    <w:rsid w:val="00963AD0"/>
    <w:rsid w:val="00966158"/>
    <w:rsid w:val="00975D94"/>
    <w:rsid w:val="009808A7"/>
    <w:rsid w:val="00981108"/>
    <w:rsid w:val="00984D21"/>
    <w:rsid w:val="009856AD"/>
    <w:rsid w:val="00994C9B"/>
    <w:rsid w:val="00997225"/>
    <w:rsid w:val="009A12EB"/>
    <w:rsid w:val="009B2ACE"/>
    <w:rsid w:val="009B471E"/>
    <w:rsid w:val="009C7A06"/>
    <w:rsid w:val="009D0F90"/>
    <w:rsid w:val="009D342F"/>
    <w:rsid w:val="009E1333"/>
    <w:rsid w:val="009E21D7"/>
    <w:rsid w:val="009F1529"/>
    <w:rsid w:val="009F3E4C"/>
    <w:rsid w:val="00A008AA"/>
    <w:rsid w:val="00A0719F"/>
    <w:rsid w:val="00A142FD"/>
    <w:rsid w:val="00A2346F"/>
    <w:rsid w:val="00A31FC4"/>
    <w:rsid w:val="00A4140B"/>
    <w:rsid w:val="00A42351"/>
    <w:rsid w:val="00A452AA"/>
    <w:rsid w:val="00A47631"/>
    <w:rsid w:val="00A60DF7"/>
    <w:rsid w:val="00A651D5"/>
    <w:rsid w:val="00A73C4E"/>
    <w:rsid w:val="00A753FA"/>
    <w:rsid w:val="00A838FA"/>
    <w:rsid w:val="00A93153"/>
    <w:rsid w:val="00A95469"/>
    <w:rsid w:val="00A95D1E"/>
    <w:rsid w:val="00A961F2"/>
    <w:rsid w:val="00A9622D"/>
    <w:rsid w:val="00A9634A"/>
    <w:rsid w:val="00AA21DB"/>
    <w:rsid w:val="00AA6F1C"/>
    <w:rsid w:val="00AB4469"/>
    <w:rsid w:val="00AC0E27"/>
    <w:rsid w:val="00AD5AFE"/>
    <w:rsid w:val="00AD61F3"/>
    <w:rsid w:val="00AE030F"/>
    <w:rsid w:val="00AE4792"/>
    <w:rsid w:val="00AE50E2"/>
    <w:rsid w:val="00AE7FEF"/>
    <w:rsid w:val="00AF0B05"/>
    <w:rsid w:val="00AF6405"/>
    <w:rsid w:val="00B034DE"/>
    <w:rsid w:val="00B23C9F"/>
    <w:rsid w:val="00B257EB"/>
    <w:rsid w:val="00B323BA"/>
    <w:rsid w:val="00B325F9"/>
    <w:rsid w:val="00B37B6C"/>
    <w:rsid w:val="00B445AF"/>
    <w:rsid w:val="00B45C07"/>
    <w:rsid w:val="00B608C3"/>
    <w:rsid w:val="00B7642E"/>
    <w:rsid w:val="00B83640"/>
    <w:rsid w:val="00B9051B"/>
    <w:rsid w:val="00B97F04"/>
    <w:rsid w:val="00BB3BB5"/>
    <w:rsid w:val="00BB6D89"/>
    <w:rsid w:val="00BC79C0"/>
    <w:rsid w:val="00BD0990"/>
    <w:rsid w:val="00BD2E45"/>
    <w:rsid w:val="00BD5593"/>
    <w:rsid w:val="00BD7693"/>
    <w:rsid w:val="00BE7986"/>
    <w:rsid w:val="00BF1302"/>
    <w:rsid w:val="00C13F7A"/>
    <w:rsid w:val="00C152CB"/>
    <w:rsid w:val="00C15837"/>
    <w:rsid w:val="00C15A51"/>
    <w:rsid w:val="00C20F1C"/>
    <w:rsid w:val="00C30B8C"/>
    <w:rsid w:val="00C31EAE"/>
    <w:rsid w:val="00C42372"/>
    <w:rsid w:val="00C42FDE"/>
    <w:rsid w:val="00C461E9"/>
    <w:rsid w:val="00C46F5B"/>
    <w:rsid w:val="00C51766"/>
    <w:rsid w:val="00C55EEE"/>
    <w:rsid w:val="00C726F8"/>
    <w:rsid w:val="00C8182D"/>
    <w:rsid w:val="00C87B61"/>
    <w:rsid w:val="00C925CC"/>
    <w:rsid w:val="00CA3D35"/>
    <w:rsid w:val="00CA4270"/>
    <w:rsid w:val="00CA6A2E"/>
    <w:rsid w:val="00CB0E87"/>
    <w:rsid w:val="00CB12DA"/>
    <w:rsid w:val="00CC18CE"/>
    <w:rsid w:val="00CC2589"/>
    <w:rsid w:val="00CC36C2"/>
    <w:rsid w:val="00CC4565"/>
    <w:rsid w:val="00CC55BB"/>
    <w:rsid w:val="00CC6000"/>
    <w:rsid w:val="00CD4DA0"/>
    <w:rsid w:val="00CE6517"/>
    <w:rsid w:val="00CF6018"/>
    <w:rsid w:val="00D01467"/>
    <w:rsid w:val="00D053A2"/>
    <w:rsid w:val="00D106E0"/>
    <w:rsid w:val="00D1440D"/>
    <w:rsid w:val="00D270A5"/>
    <w:rsid w:val="00D32720"/>
    <w:rsid w:val="00D37401"/>
    <w:rsid w:val="00D44D7A"/>
    <w:rsid w:val="00D471C0"/>
    <w:rsid w:val="00D47A12"/>
    <w:rsid w:val="00D51081"/>
    <w:rsid w:val="00D56F78"/>
    <w:rsid w:val="00D7018E"/>
    <w:rsid w:val="00D72E71"/>
    <w:rsid w:val="00D77677"/>
    <w:rsid w:val="00D9161A"/>
    <w:rsid w:val="00D958E5"/>
    <w:rsid w:val="00DA5730"/>
    <w:rsid w:val="00DA730A"/>
    <w:rsid w:val="00DB0EE9"/>
    <w:rsid w:val="00DC0BE6"/>
    <w:rsid w:val="00DC0F1A"/>
    <w:rsid w:val="00DC7A8F"/>
    <w:rsid w:val="00DD19A4"/>
    <w:rsid w:val="00DE2919"/>
    <w:rsid w:val="00DE5E72"/>
    <w:rsid w:val="00DE756A"/>
    <w:rsid w:val="00E079E5"/>
    <w:rsid w:val="00E3309C"/>
    <w:rsid w:val="00E354BD"/>
    <w:rsid w:val="00E360B0"/>
    <w:rsid w:val="00E46548"/>
    <w:rsid w:val="00E4765A"/>
    <w:rsid w:val="00E517F5"/>
    <w:rsid w:val="00E54E8F"/>
    <w:rsid w:val="00E60F53"/>
    <w:rsid w:val="00E63E9D"/>
    <w:rsid w:val="00E730BC"/>
    <w:rsid w:val="00E73EAF"/>
    <w:rsid w:val="00E750A2"/>
    <w:rsid w:val="00E94A90"/>
    <w:rsid w:val="00E96711"/>
    <w:rsid w:val="00EA0788"/>
    <w:rsid w:val="00EA1857"/>
    <w:rsid w:val="00EB6A6A"/>
    <w:rsid w:val="00EB7F29"/>
    <w:rsid w:val="00EC0FFB"/>
    <w:rsid w:val="00EC3C9C"/>
    <w:rsid w:val="00ED671F"/>
    <w:rsid w:val="00EE23C1"/>
    <w:rsid w:val="00F00E6E"/>
    <w:rsid w:val="00F04A5E"/>
    <w:rsid w:val="00F06C6C"/>
    <w:rsid w:val="00F209F4"/>
    <w:rsid w:val="00F262E1"/>
    <w:rsid w:val="00F26C8A"/>
    <w:rsid w:val="00F4185E"/>
    <w:rsid w:val="00F46591"/>
    <w:rsid w:val="00F47F81"/>
    <w:rsid w:val="00F50F53"/>
    <w:rsid w:val="00F56057"/>
    <w:rsid w:val="00F70550"/>
    <w:rsid w:val="00F81B5A"/>
    <w:rsid w:val="00F9088B"/>
    <w:rsid w:val="00F92C77"/>
    <w:rsid w:val="00FA065D"/>
    <w:rsid w:val="00FA40AF"/>
    <w:rsid w:val="00FB1ADF"/>
    <w:rsid w:val="00FB30AF"/>
    <w:rsid w:val="00FB42E6"/>
    <w:rsid w:val="00FC1A38"/>
    <w:rsid w:val="00FC4CFF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19E1"/>
  <w15:docId w15:val="{BCDEAEDE-5517-4CD3-B18C-D139AB40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68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8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87C"/>
    <w:rPr>
      <w:sz w:val="24"/>
      <w:szCs w:val="24"/>
    </w:rPr>
  </w:style>
  <w:style w:type="character" w:customStyle="1" w:styleId="citationref">
    <w:name w:val="citationref"/>
    <w:basedOn w:val="DefaultParagraphFont"/>
    <w:rsid w:val="00D47A12"/>
  </w:style>
  <w:style w:type="character" w:styleId="Hyperlink">
    <w:name w:val="Hyperlink"/>
    <w:basedOn w:val="DefaultParagraphFont"/>
    <w:uiPriority w:val="99"/>
    <w:unhideWhenUsed/>
    <w:rsid w:val="00D47A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7A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C2A"/>
  </w:style>
  <w:style w:type="paragraph" w:styleId="Footer">
    <w:name w:val="footer"/>
    <w:basedOn w:val="Normal"/>
    <w:link w:val="FooterChar"/>
    <w:uiPriority w:val="99"/>
    <w:unhideWhenUsed/>
    <w:rsid w:val="00195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C2A"/>
  </w:style>
  <w:style w:type="paragraph" w:customStyle="1" w:styleId="EndNoteBibliographyTitle">
    <w:name w:val="EndNote Bibliography Title"/>
    <w:basedOn w:val="Normal"/>
    <w:link w:val="EndNoteBibliographyTitleChar"/>
    <w:rsid w:val="00AF640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640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F640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F6405"/>
    <w:rPr>
      <w:rFonts w:ascii="Calibri" w:hAnsi="Calibri" w:cs="Calibri"/>
      <w:noProof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354A23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008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C15A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12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12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1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4C9B-6588-441C-8779-C36883E9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Faggioni, Michela</dc:creator>
  <cp:lastModifiedBy>Faggioni, Michela</cp:lastModifiedBy>
  <cp:revision>4</cp:revision>
  <dcterms:created xsi:type="dcterms:W3CDTF">2018-11-05T04:01:00Z</dcterms:created>
  <dcterms:modified xsi:type="dcterms:W3CDTF">2018-11-05T04:03:00Z</dcterms:modified>
</cp:coreProperties>
</file>