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A33D" w14:textId="7A43EDB7" w:rsidR="00DF189B" w:rsidRPr="0052431D" w:rsidRDefault="00DF189B" w:rsidP="00C74418">
      <w:pPr>
        <w:spacing w:after="0" w:line="360" w:lineRule="auto"/>
        <w:rPr>
          <w:rFonts w:asciiTheme="minorHAnsi" w:hAnsiTheme="minorHAnsi" w:cs="Arial"/>
          <w:b/>
          <w:color w:val="000000" w:themeColor="text1"/>
          <w:sz w:val="24"/>
          <w:szCs w:val="24"/>
          <w:lang w:val="en-GB"/>
        </w:rPr>
      </w:pPr>
      <w:r w:rsidRPr="0052431D">
        <w:rPr>
          <w:rFonts w:asciiTheme="minorHAnsi" w:hAnsiTheme="minorHAnsi" w:cs="Arial"/>
          <w:b/>
          <w:color w:val="000000" w:themeColor="text1"/>
          <w:sz w:val="24"/>
          <w:szCs w:val="24"/>
          <w:lang w:val="en-GB"/>
        </w:rPr>
        <w:t xml:space="preserve">The burden of HIV, syphilis and </w:t>
      </w:r>
      <w:r w:rsidR="00EF00F9">
        <w:rPr>
          <w:rFonts w:asciiTheme="minorHAnsi" w:hAnsiTheme="minorHAnsi" w:cs="Arial"/>
          <w:b/>
          <w:sz w:val="24"/>
          <w:szCs w:val="24"/>
          <w:lang w:val="en-GB"/>
        </w:rPr>
        <w:t xml:space="preserve">schistosome infection and associated factors </w:t>
      </w:r>
      <w:r w:rsidRPr="0052431D">
        <w:rPr>
          <w:rFonts w:asciiTheme="minorHAnsi" w:hAnsiTheme="minorHAnsi" w:cs="Arial"/>
          <w:b/>
          <w:color w:val="000000" w:themeColor="text1"/>
          <w:sz w:val="24"/>
          <w:szCs w:val="24"/>
          <w:lang w:val="en-GB"/>
        </w:rPr>
        <w:t xml:space="preserve">among adults in the fishing communities in </w:t>
      </w:r>
      <w:proofErr w:type="spellStart"/>
      <w:r w:rsidRPr="0052431D">
        <w:rPr>
          <w:rFonts w:asciiTheme="minorHAnsi" w:hAnsiTheme="minorHAnsi" w:cs="Arial"/>
          <w:b/>
          <w:color w:val="000000" w:themeColor="text1"/>
          <w:sz w:val="24"/>
          <w:szCs w:val="24"/>
          <w:lang w:val="en-GB"/>
        </w:rPr>
        <w:t>northwestern</w:t>
      </w:r>
      <w:proofErr w:type="spellEnd"/>
      <w:r w:rsidRPr="0052431D">
        <w:rPr>
          <w:rFonts w:asciiTheme="minorHAnsi" w:hAnsiTheme="minorHAnsi" w:cs="Arial"/>
          <w:b/>
          <w:color w:val="000000" w:themeColor="text1"/>
          <w:sz w:val="24"/>
          <w:szCs w:val="24"/>
          <w:lang w:val="en-GB"/>
        </w:rPr>
        <w:t xml:space="preserve"> Tanzania</w:t>
      </w:r>
    </w:p>
    <w:p w14:paraId="157531EE" w14:textId="77777777" w:rsidR="00DF189B" w:rsidRPr="0052431D" w:rsidRDefault="00DF189B" w:rsidP="00C74418">
      <w:pPr>
        <w:spacing w:after="0" w:line="360" w:lineRule="auto"/>
        <w:rPr>
          <w:rFonts w:asciiTheme="minorHAnsi" w:hAnsiTheme="minorHAnsi" w:cs="Arial"/>
          <w:b/>
          <w:color w:val="000000" w:themeColor="text1"/>
          <w:sz w:val="24"/>
          <w:szCs w:val="24"/>
          <w:lang w:val="en-GB"/>
        </w:rPr>
      </w:pPr>
    </w:p>
    <w:p w14:paraId="4C0937F9" w14:textId="63133F65" w:rsidR="00DF189B" w:rsidRPr="0052431D" w:rsidRDefault="00DF189B" w:rsidP="00C74418">
      <w:pPr>
        <w:spacing w:after="0" w:line="360" w:lineRule="auto"/>
        <w:rPr>
          <w:rFonts w:asciiTheme="minorHAnsi" w:hAnsiTheme="minorHAnsi" w:cs="Arial"/>
          <w:color w:val="000000" w:themeColor="text1"/>
          <w:sz w:val="24"/>
          <w:szCs w:val="24"/>
          <w:lang w:val="en-GB"/>
        </w:rPr>
      </w:pPr>
      <w:r w:rsidRPr="0052431D">
        <w:rPr>
          <w:rFonts w:asciiTheme="minorHAnsi" w:hAnsiTheme="minorHAnsi" w:cs="Arial"/>
          <w:color w:val="000000" w:themeColor="text1"/>
          <w:sz w:val="24"/>
          <w:szCs w:val="24"/>
          <w:lang w:val="en-GB"/>
        </w:rPr>
        <w:t>Saidi Kapiga</w:t>
      </w:r>
      <w:r w:rsidRPr="0052431D">
        <w:rPr>
          <w:rFonts w:asciiTheme="minorHAnsi" w:hAnsiTheme="minorHAnsi" w:cs="Arial"/>
          <w:color w:val="000000" w:themeColor="text1"/>
          <w:sz w:val="24"/>
          <w:szCs w:val="24"/>
          <w:vertAlign w:val="superscript"/>
          <w:lang w:val="en-GB"/>
        </w:rPr>
        <w:t>1,2</w:t>
      </w:r>
      <w:r w:rsidRPr="0052431D">
        <w:rPr>
          <w:rFonts w:asciiTheme="minorHAnsi" w:hAnsiTheme="minorHAnsi" w:cs="Arial"/>
          <w:color w:val="000000" w:themeColor="text1"/>
          <w:sz w:val="24"/>
          <w:szCs w:val="24"/>
          <w:lang w:val="en-GB"/>
        </w:rPr>
        <w:t>, Christian H Hansen</w:t>
      </w:r>
      <w:r w:rsidRPr="0052431D">
        <w:rPr>
          <w:rFonts w:asciiTheme="minorHAnsi" w:hAnsiTheme="minorHAnsi" w:cs="Arial"/>
          <w:color w:val="000000" w:themeColor="text1"/>
          <w:sz w:val="24"/>
          <w:szCs w:val="24"/>
          <w:vertAlign w:val="superscript"/>
          <w:lang w:val="en-GB"/>
        </w:rPr>
        <w:t>3,4</w:t>
      </w:r>
      <w:r w:rsidRPr="0052431D">
        <w:rPr>
          <w:rFonts w:asciiTheme="minorHAnsi" w:hAnsiTheme="minorHAnsi" w:cs="Arial"/>
          <w:color w:val="000000" w:themeColor="text1"/>
          <w:sz w:val="24"/>
          <w:szCs w:val="24"/>
          <w:lang w:val="en-GB"/>
        </w:rPr>
        <w:t>, Jennifer A. Downs</w:t>
      </w:r>
      <w:r w:rsidRPr="0052431D">
        <w:rPr>
          <w:rFonts w:asciiTheme="minorHAnsi" w:hAnsiTheme="minorHAnsi" w:cs="Arial"/>
          <w:color w:val="000000" w:themeColor="text1"/>
          <w:sz w:val="24"/>
          <w:szCs w:val="24"/>
          <w:vertAlign w:val="superscript"/>
          <w:lang w:val="en-GB"/>
        </w:rPr>
        <w:t>5</w:t>
      </w:r>
      <w:r>
        <w:rPr>
          <w:rFonts w:asciiTheme="minorHAnsi" w:hAnsiTheme="minorHAnsi" w:cs="Arial"/>
          <w:color w:val="000000" w:themeColor="text1"/>
          <w:sz w:val="24"/>
          <w:szCs w:val="24"/>
          <w:vertAlign w:val="superscript"/>
          <w:lang w:val="en-GB"/>
        </w:rPr>
        <w:t>,6</w:t>
      </w:r>
      <w:r w:rsidRPr="0052431D">
        <w:rPr>
          <w:rFonts w:asciiTheme="minorHAnsi" w:hAnsiTheme="minorHAnsi" w:cs="Arial"/>
          <w:color w:val="000000" w:themeColor="text1"/>
          <w:sz w:val="24"/>
          <w:szCs w:val="24"/>
          <w:lang w:val="en-GB"/>
        </w:rPr>
        <w:t>, Simon Sichalwe</w:t>
      </w:r>
      <w:r w:rsidRPr="0052431D">
        <w:rPr>
          <w:rFonts w:asciiTheme="minorHAnsi" w:hAnsiTheme="minorHAnsi" w:cs="Arial"/>
          <w:color w:val="000000" w:themeColor="text1"/>
          <w:sz w:val="24"/>
          <w:szCs w:val="24"/>
          <w:vertAlign w:val="superscript"/>
          <w:lang w:val="en-GB"/>
        </w:rPr>
        <w:t>1</w:t>
      </w:r>
      <w:r w:rsidRPr="0052431D">
        <w:rPr>
          <w:rFonts w:asciiTheme="minorHAnsi" w:hAnsiTheme="minorHAnsi" w:cs="Arial"/>
          <w:color w:val="000000" w:themeColor="text1"/>
          <w:sz w:val="24"/>
          <w:szCs w:val="24"/>
          <w:lang w:val="en-GB"/>
        </w:rPr>
        <w:t>, Ramadhan Hashim</w:t>
      </w:r>
      <w:r w:rsidRPr="0052431D">
        <w:rPr>
          <w:rFonts w:asciiTheme="minorHAnsi" w:hAnsiTheme="minorHAnsi" w:cs="Arial"/>
          <w:color w:val="000000" w:themeColor="text1"/>
          <w:sz w:val="24"/>
          <w:szCs w:val="24"/>
          <w:vertAlign w:val="superscript"/>
          <w:lang w:val="en-GB"/>
        </w:rPr>
        <w:t>1</w:t>
      </w:r>
      <w:r w:rsidR="00F75EFA">
        <w:rPr>
          <w:rFonts w:asciiTheme="minorHAnsi" w:hAnsiTheme="minorHAnsi" w:cs="Arial"/>
          <w:color w:val="000000" w:themeColor="text1"/>
          <w:sz w:val="24"/>
          <w:szCs w:val="24"/>
          <w:lang w:val="en-GB"/>
        </w:rPr>
        <w:t>, Julius Mngara</w:t>
      </w:r>
      <w:r>
        <w:rPr>
          <w:rFonts w:asciiTheme="minorHAnsi" w:hAnsiTheme="minorHAnsi" w:cs="Arial"/>
          <w:color w:val="000000" w:themeColor="text1"/>
          <w:sz w:val="24"/>
          <w:szCs w:val="24"/>
          <w:vertAlign w:val="superscript"/>
          <w:lang w:val="en-GB"/>
        </w:rPr>
        <w:t>7</w:t>
      </w:r>
      <w:r w:rsidRPr="0052431D">
        <w:rPr>
          <w:rFonts w:asciiTheme="minorHAnsi" w:hAnsiTheme="minorHAnsi" w:cs="Arial"/>
          <w:color w:val="000000" w:themeColor="text1"/>
          <w:sz w:val="24"/>
          <w:szCs w:val="24"/>
          <w:lang w:val="en-GB"/>
        </w:rPr>
        <w:t xml:space="preserve">, </w:t>
      </w:r>
      <w:proofErr w:type="spellStart"/>
      <w:r w:rsidRPr="0052431D">
        <w:rPr>
          <w:rFonts w:asciiTheme="minorHAnsi" w:hAnsiTheme="minorHAnsi" w:cs="Arial"/>
          <w:color w:val="000000" w:themeColor="text1"/>
          <w:sz w:val="24"/>
          <w:szCs w:val="24"/>
          <w:lang w:val="en-GB"/>
        </w:rPr>
        <w:t>Govert</w:t>
      </w:r>
      <w:proofErr w:type="spellEnd"/>
      <w:r w:rsidRPr="0052431D">
        <w:rPr>
          <w:rFonts w:asciiTheme="minorHAnsi" w:hAnsiTheme="minorHAnsi" w:cs="Arial"/>
          <w:color w:val="000000" w:themeColor="text1"/>
          <w:sz w:val="24"/>
          <w:szCs w:val="24"/>
          <w:lang w:val="en-GB"/>
        </w:rPr>
        <w:t xml:space="preserve"> J. van Dam</w:t>
      </w:r>
      <w:r>
        <w:rPr>
          <w:rFonts w:asciiTheme="minorHAnsi" w:hAnsiTheme="minorHAnsi" w:cs="Arial"/>
          <w:color w:val="000000" w:themeColor="text1"/>
          <w:sz w:val="24"/>
          <w:szCs w:val="24"/>
          <w:vertAlign w:val="superscript"/>
          <w:lang w:val="en-GB"/>
        </w:rPr>
        <w:t>8</w:t>
      </w:r>
      <w:r w:rsidRPr="0052431D">
        <w:rPr>
          <w:rFonts w:asciiTheme="minorHAnsi" w:hAnsiTheme="minorHAnsi" w:cs="Arial"/>
          <w:color w:val="000000" w:themeColor="text1"/>
          <w:sz w:val="24"/>
          <w:szCs w:val="24"/>
          <w:lang w:val="en-GB"/>
        </w:rPr>
        <w:t>, Paul L.A.M. Corstjens</w:t>
      </w:r>
      <w:r>
        <w:rPr>
          <w:rFonts w:asciiTheme="minorHAnsi" w:hAnsiTheme="minorHAnsi" w:cs="Arial"/>
          <w:color w:val="000000" w:themeColor="text1"/>
          <w:sz w:val="24"/>
          <w:szCs w:val="24"/>
          <w:vertAlign w:val="superscript"/>
          <w:lang w:val="en-GB"/>
        </w:rPr>
        <w:t>9</w:t>
      </w:r>
      <w:r w:rsidRPr="0052431D">
        <w:rPr>
          <w:rFonts w:asciiTheme="minorHAnsi" w:hAnsiTheme="minorHAnsi" w:cs="Arial"/>
          <w:color w:val="000000" w:themeColor="text1"/>
          <w:sz w:val="24"/>
          <w:szCs w:val="24"/>
          <w:lang w:val="en-GB"/>
        </w:rPr>
        <w:t xml:space="preserve">, Justin </w:t>
      </w:r>
      <w:r w:rsidR="00442356">
        <w:rPr>
          <w:rFonts w:asciiTheme="minorHAnsi" w:hAnsiTheme="minorHAnsi" w:cs="Arial"/>
          <w:color w:val="000000" w:themeColor="text1"/>
          <w:sz w:val="24"/>
          <w:szCs w:val="24"/>
          <w:lang w:val="en-GB"/>
        </w:rPr>
        <w:t xml:space="preserve">R. </w:t>
      </w:r>
      <w:r w:rsidRPr="0052431D">
        <w:rPr>
          <w:rFonts w:asciiTheme="minorHAnsi" w:hAnsiTheme="minorHAnsi" w:cs="Arial"/>
          <w:color w:val="000000" w:themeColor="text1"/>
          <w:sz w:val="24"/>
          <w:szCs w:val="24"/>
          <w:lang w:val="en-GB"/>
        </w:rPr>
        <w:t>Kingery</w:t>
      </w:r>
      <w:r w:rsidRPr="0052431D">
        <w:rPr>
          <w:rFonts w:asciiTheme="minorHAnsi" w:hAnsiTheme="minorHAnsi" w:cs="Arial"/>
          <w:color w:val="000000" w:themeColor="text1"/>
          <w:sz w:val="24"/>
          <w:szCs w:val="24"/>
          <w:vertAlign w:val="superscript"/>
          <w:lang w:val="en-GB"/>
        </w:rPr>
        <w:t>5</w:t>
      </w:r>
      <w:r>
        <w:rPr>
          <w:rFonts w:asciiTheme="minorHAnsi" w:hAnsiTheme="minorHAnsi" w:cs="Arial"/>
          <w:color w:val="000000" w:themeColor="text1"/>
          <w:sz w:val="24"/>
          <w:szCs w:val="24"/>
          <w:vertAlign w:val="superscript"/>
          <w:lang w:val="en-GB"/>
        </w:rPr>
        <w:t>,6</w:t>
      </w:r>
      <w:r w:rsidRPr="0052431D">
        <w:rPr>
          <w:rFonts w:asciiTheme="minorHAnsi" w:hAnsiTheme="minorHAnsi" w:cs="Arial"/>
          <w:color w:val="000000" w:themeColor="text1"/>
          <w:sz w:val="24"/>
          <w:szCs w:val="24"/>
          <w:lang w:val="en-GB"/>
        </w:rPr>
        <w:t>, Rob</w:t>
      </w:r>
      <w:r w:rsidR="00442356">
        <w:rPr>
          <w:rFonts w:asciiTheme="minorHAnsi" w:hAnsiTheme="minorHAnsi" w:cs="Arial"/>
          <w:color w:val="000000" w:themeColor="text1"/>
          <w:sz w:val="24"/>
          <w:szCs w:val="24"/>
          <w:lang w:val="en-GB"/>
        </w:rPr>
        <w:t>ert N.</w:t>
      </w:r>
      <w:r w:rsidRPr="0052431D">
        <w:rPr>
          <w:rFonts w:asciiTheme="minorHAnsi" w:hAnsiTheme="minorHAnsi" w:cs="Arial"/>
          <w:color w:val="000000" w:themeColor="text1"/>
          <w:sz w:val="24"/>
          <w:szCs w:val="24"/>
          <w:lang w:val="en-GB"/>
        </w:rPr>
        <w:t xml:space="preserve"> Peck</w:t>
      </w:r>
      <w:r w:rsidRPr="0052431D">
        <w:rPr>
          <w:rFonts w:asciiTheme="minorHAnsi" w:hAnsiTheme="minorHAnsi" w:cs="Arial"/>
          <w:color w:val="000000" w:themeColor="text1"/>
          <w:sz w:val="24"/>
          <w:szCs w:val="24"/>
          <w:vertAlign w:val="superscript"/>
          <w:lang w:val="en-GB"/>
        </w:rPr>
        <w:t>1,5</w:t>
      </w:r>
      <w:r>
        <w:rPr>
          <w:rFonts w:asciiTheme="minorHAnsi" w:hAnsiTheme="minorHAnsi" w:cs="Arial"/>
          <w:color w:val="000000" w:themeColor="text1"/>
          <w:sz w:val="24"/>
          <w:szCs w:val="24"/>
          <w:vertAlign w:val="superscript"/>
          <w:lang w:val="en-GB"/>
        </w:rPr>
        <w:t>,6</w:t>
      </w:r>
      <w:r w:rsidRPr="0052431D">
        <w:rPr>
          <w:rFonts w:asciiTheme="minorHAnsi" w:hAnsiTheme="minorHAnsi" w:cs="Arial"/>
          <w:color w:val="000000" w:themeColor="text1"/>
          <w:sz w:val="24"/>
          <w:szCs w:val="24"/>
          <w:lang w:val="en-GB"/>
        </w:rPr>
        <w:t>, Heiner Grosskurth</w:t>
      </w:r>
      <w:r w:rsidRPr="0052431D">
        <w:rPr>
          <w:rFonts w:asciiTheme="minorHAnsi" w:hAnsiTheme="minorHAnsi" w:cs="Arial"/>
          <w:color w:val="000000" w:themeColor="text1"/>
          <w:sz w:val="24"/>
          <w:szCs w:val="24"/>
          <w:vertAlign w:val="superscript"/>
          <w:lang w:val="en-GB"/>
        </w:rPr>
        <w:t>1,4</w:t>
      </w:r>
    </w:p>
    <w:p w14:paraId="74B81554" w14:textId="77777777" w:rsidR="00C74418" w:rsidRDefault="00C74418" w:rsidP="00C74418">
      <w:pPr>
        <w:spacing w:after="0" w:line="360" w:lineRule="auto"/>
        <w:rPr>
          <w:rFonts w:asciiTheme="minorHAnsi" w:hAnsiTheme="minorHAnsi" w:cs="Arial"/>
          <w:color w:val="000000" w:themeColor="text1"/>
          <w:sz w:val="24"/>
          <w:szCs w:val="24"/>
          <w:vertAlign w:val="superscript"/>
          <w:lang w:val="en-GB"/>
        </w:rPr>
      </w:pPr>
    </w:p>
    <w:p w14:paraId="3C3B70E3" w14:textId="77777777" w:rsidR="00C74418" w:rsidRDefault="00C74418" w:rsidP="00C74418">
      <w:pPr>
        <w:spacing w:after="0" w:line="360" w:lineRule="auto"/>
        <w:rPr>
          <w:rFonts w:asciiTheme="minorHAnsi" w:hAnsiTheme="minorHAnsi" w:cs="Arial"/>
          <w:color w:val="000000" w:themeColor="text1"/>
          <w:sz w:val="24"/>
          <w:szCs w:val="24"/>
          <w:vertAlign w:val="superscript"/>
          <w:lang w:val="en-GB"/>
        </w:rPr>
      </w:pPr>
    </w:p>
    <w:p w14:paraId="18B5345C"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sidRPr="0052431D">
        <w:rPr>
          <w:rFonts w:asciiTheme="minorHAnsi" w:hAnsiTheme="minorHAnsi" w:cs="Arial"/>
          <w:color w:val="000000" w:themeColor="text1"/>
          <w:sz w:val="24"/>
          <w:szCs w:val="24"/>
          <w:vertAlign w:val="superscript"/>
          <w:lang w:val="en-GB"/>
        </w:rPr>
        <w:t>1</w:t>
      </w:r>
      <w:r w:rsidRPr="0052431D">
        <w:rPr>
          <w:rFonts w:asciiTheme="minorHAnsi" w:hAnsiTheme="minorHAnsi" w:cs="Arial"/>
          <w:color w:val="000000" w:themeColor="text1"/>
          <w:sz w:val="24"/>
          <w:szCs w:val="24"/>
          <w:lang w:val="en-GB"/>
        </w:rPr>
        <w:t>Mwanza Intervention Trials Unit, National Institute for Medical Research, Mwanza, Tanzania</w:t>
      </w:r>
    </w:p>
    <w:p w14:paraId="7AA66C49"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sidRPr="0052431D">
        <w:rPr>
          <w:rFonts w:asciiTheme="minorHAnsi" w:hAnsiTheme="minorHAnsi" w:cs="Arial"/>
          <w:color w:val="000000" w:themeColor="text1"/>
          <w:sz w:val="24"/>
          <w:szCs w:val="24"/>
          <w:vertAlign w:val="superscript"/>
          <w:lang w:val="en-GB"/>
        </w:rPr>
        <w:t>2</w:t>
      </w:r>
      <w:r w:rsidRPr="0052431D">
        <w:rPr>
          <w:rFonts w:asciiTheme="minorHAnsi" w:hAnsiTheme="minorHAnsi" w:cs="Arial"/>
          <w:color w:val="000000" w:themeColor="text1"/>
          <w:sz w:val="24"/>
          <w:szCs w:val="24"/>
          <w:lang w:val="en-GB"/>
        </w:rPr>
        <w:t>Department of Infectious Diseases Epidemiology, London School of Hygiene &amp; Tropical Medicine, UK</w:t>
      </w:r>
    </w:p>
    <w:p w14:paraId="5D951591" w14:textId="77777777" w:rsidR="00DF189B" w:rsidRPr="0052431D" w:rsidRDefault="00DF189B" w:rsidP="00C74418">
      <w:pPr>
        <w:spacing w:after="0" w:line="360" w:lineRule="auto"/>
        <w:ind w:left="142" w:hanging="142"/>
        <w:contextualSpacing/>
        <w:rPr>
          <w:rFonts w:asciiTheme="minorHAnsi" w:hAnsiTheme="minorHAnsi" w:cs="Arial"/>
          <w:sz w:val="24"/>
          <w:szCs w:val="24"/>
        </w:rPr>
      </w:pPr>
      <w:r w:rsidRPr="0052431D">
        <w:rPr>
          <w:rFonts w:asciiTheme="minorHAnsi" w:hAnsiTheme="minorHAnsi" w:cs="Arial"/>
          <w:sz w:val="24"/>
          <w:szCs w:val="24"/>
          <w:vertAlign w:val="superscript"/>
        </w:rPr>
        <w:t>3</w:t>
      </w:r>
      <w:r w:rsidRPr="0052431D">
        <w:rPr>
          <w:rFonts w:asciiTheme="minorHAnsi" w:hAnsiTheme="minorHAnsi" w:cs="Arial"/>
          <w:sz w:val="24"/>
          <w:szCs w:val="24"/>
        </w:rPr>
        <w:t>MRC/UVRI and LSHTM Uganda Research Unit, Entebbe, Uganda</w:t>
      </w:r>
    </w:p>
    <w:p w14:paraId="3B694EFE" w14:textId="77777777" w:rsidR="00DF189B" w:rsidRPr="0052431D" w:rsidRDefault="00DF189B" w:rsidP="00C74418">
      <w:pPr>
        <w:spacing w:after="0" w:line="360" w:lineRule="auto"/>
        <w:ind w:left="142" w:hanging="142"/>
        <w:contextualSpacing/>
        <w:rPr>
          <w:rFonts w:asciiTheme="minorHAnsi" w:hAnsiTheme="minorHAnsi" w:cs="Arial"/>
          <w:sz w:val="24"/>
          <w:szCs w:val="24"/>
        </w:rPr>
      </w:pPr>
      <w:r w:rsidRPr="0052431D">
        <w:rPr>
          <w:rFonts w:asciiTheme="minorHAnsi" w:hAnsiTheme="minorHAnsi" w:cs="Arial"/>
          <w:sz w:val="24"/>
          <w:szCs w:val="24"/>
          <w:vertAlign w:val="superscript"/>
        </w:rPr>
        <w:t>4</w:t>
      </w:r>
      <w:r w:rsidRPr="0052431D">
        <w:rPr>
          <w:rFonts w:asciiTheme="minorHAnsi" w:hAnsiTheme="minorHAnsi" w:cs="Arial"/>
          <w:sz w:val="24"/>
          <w:szCs w:val="24"/>
        </w:rPr>
        <w:t>MRC Tropical Epidemiology Group, London School of Hygiene &amp; Tropical Medicine, UK</w:t>
      </w:r>
    </w:p>
    <w:p w14:paraId="52082EA7"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sidRPr="0052431D">
        <w:rPr>
          <w:rFonts w:asciiTheme="minorHAnsi" w:hAnsiTheme="minorHAnsi" w:cs="Arial"/>
          <w:sz w:val="24"/>
          <w:szCs w:val="24"/>
          <w:vertAlign w:val="superscript"/>
          <w:lang w:val="en-GB"/>
        </w:rPr>
        <w:t>5</w:t>
      </w:r>
      <w:r w:rsidRPr="0052431D">
        <w:rPr>
          <w:rFonts w:asciiTheme="minorHAnsi" w:hAnsiTheme="minorHAnsi" w:cs="Arial"/>
          <w:sz w:val="24"/>
          <w:szCs w:val="24"/>
          <w:lang w:val="en-GB"/>
        </w:rPr>
        <w:t xml:space="preserve">Department of Medicine, Weill </w:t>
      </w:r>
      <w:proofErr w:type="spellStart"/>
      <w:r w:rsidRPr="0052431D">
        <w:rPr>
          <w:rFonts w:asciiTheme="minorHAnsi" w:hAnsiTheme="minorHAnsi" w:cs="Arial"/>
          <w:sz w:val="24"/>
          <w:szCs w:val="24"/>
          <w:lang w:val="en-GB"/>
        </w:rPr>
        <w:t>Bugando</w:t>
      </w:r>
      <w:proofErr w:type="spellEnd"/>
      <w:r w:rsidRPr="0052431D">
        <w:rPr>
          <w:rFonts w:asciiTheme="minorHAnsi" w:hAnsiTheme="minorHAnsi" w:cs="Arial"/>
          <w:sz w:val="24"/>
          <w:szCs w:val="24"/>
          <w:lang w:val="en-GB"/>
        </w:rPr>
        <w:t xml:space="preserve"> School of Medicine, Mwanza, Tanzania</w:t>
      </w:r>
    </w:p>
    <w:p w14:paraId="1EF2A858" w14:textId="77777777" w:rsidR="00DF189B" w:rsidRPr="00DE783C" w:rsidRDefault="00DF189B" w:rsidP="00C74418">
      <w:pPr>
        <w:spacing w:after="0" w:line="360" w:lineRule="auto"/>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vertAlign w:val="superscript"/>
          <w:lang w:val="en-GB"/>
        </w:rPr>
        <w:t>6</w:t>
      </w:r>
      <w:r>
        <w:rPr>
          <w:rFonts w:asciiTheme="minorHAnsi" w:hAnsiTheme="minorHAnsi" w:cs="Arial"/>
          <w:color w:val="000000" w:themeColor="text1"/>
          <w:sz w:val="24"/>
          <w:szCs w:val="24"/>
          <w:lang w:val="en-GB"/>
        </w:rPr>
        <w:t>Center for Global Health, Weill Cornell Medicine, New York, USA</w:t>
      </w:r>
    </w:p>
    <w:p w14:paraId="5E30EC1E"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vertAlign w:val="superscript"/>
          <w:lang w:val="en-GB"/>
        </w:rPr>
        <w:t>7</w:t>
      </w:r>
      <w:r w:rsidRPr="0052431D">
        <w:rPr>
          <w:rFonts w:asciiTheme="minorHAnsi" w:hAnsiTheme="minorHAnsi" w:cs="Arial"/>
          <w:color w:val="000000" w:themeColor="text1"/>
          <w:sz w:val="24"/>
          <w:szCs w:val="24"/>
          <w:lang w:val="en-GB"/>
        </w:rPr>
        <w:t>National Institute for Medical Research, Mwanza, Tanzania</w:t>
      </w:r>
    </w:p>
    <w:p w14:paraId="15DF24ED"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vertAlign w:val="superscript"/>
          <w:lang w:val="en-GB"/>
        </w:rPr>
        <w:t>8</w:t>
      </w:r>
      <w:r w:rsidRPr="0052431D">
        <w:rPr>
          <w:rFonts w:asciiTheme="minorHAnsi" w:hAnsiTheme="minorHAnsi" w:cs="Arial"/>
          <w:color w:val="000000" w:themeColor="text1"/>
          <w:sz w:val="24"/>
          <w:szCs w:val="24"/>
          <w:lang w:val="en-GB"/>
        </w:rPr>
        <w:t xml:space="preserve">Department of Parasitology, Leiden University Medical </w:t>
      </w:r>
      <w:proofErr w:type="spellStart"/>
      <w:r w:rsidRPr="0052431D">
        <w:rPr>
          <w:rFonts w:asciiTheme="minorHAnsi" w:hAnsiTheme="minorHAnsi" w:cs="Arial"/>
          <w:color w:val="000000" w:themeColor="text1"/>
          <w:sz w:val="24"/>
          <w:szCs w:val="24"/>
          <w:lang w:val="en-GB"/>
        </w:rPr>
        <w:t>Center</w:t>
      </w:r>
      <w:proofErr w:type="spellEnd"/>
      <w:r w:rsidRPr="0052431D">
        <w:rPr>
          <w:rFonts w:asciiTheme="minorHAnsi" w:hAnsiTheme="minorHAnsi" w:cs="Arial"/>
          <w:color w:val="000000" w:themeColor="text1"/>
          <w:sz w:val="24"/>
          <w:szCs w:val="24"/>
          <w:lang w:val="en-GB"/>
        </w:rPr>
        <w:t>, Leiden, the Netherlands</w:t>
      </w:r>
    </w:p>
    <w:p w14:paraId="2C984C66" w14:textId="77777777" w:rsidR="00DF189B" w:rsidRPr="0052431D" w:rsidRDefault="00DF189B" w:rsidP="00C74418">
      <w:pPr>
        <w:spacing w:after="0" w:line="360" w:lineRule="auto"/>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vertAlign w:val="superscript"/>
          <w:lang w:val="en-GB"/>
        </w:rPr>
        <w:t>9</w:t>
      </w:r>
      <w:r w:rsidRPr="0052431D">
        <w:rPr>
          <w:rFonts w:asciiTheme="minorHAnsi" w:hAnsiTheme="minorHAnsi" w:cs="Arial"/>
          <w:color w:val="000000" w:themeColor="text1"/>
          <w:sz w:val="24"/>
          <w:szCs w:val="24"/>
          <w:lang w:val="en-GB"/>
        </w:rPr>
        <w:t xml:space="preserve">Department of Cell </w:t>
      </w:r>
      <w:r>
        <w:rPr>
          <w:rFonts w:asciiTheme="minorHAnsi" w:hAnsiTheme="minorHAnsi" w:cs="Arial"/>
          <w:color w:val="000000" w:themeColor="text1"/>
          <w:sz w:val="24"/>
          <w:szCs w:val="24"/>
          <w:lang w:val="en-GB"/>
        </w:rPr>
        <w:t xml:space="preserve">and Chemical </w:t>
      </w:r>
      <w:r w:rsidRPr="0052431D">
        <w:rPr>
          <w:rFonts w:asciiTheme="minorHAnsi" w:hAnsiTheme="minorHAnsi" w:cs="Arial"/>
          <w:color w:val="000000" w:themeColor="text1"/>
          <w:sz w:val="24"/>
          <w:szCs w:val="24"/>
          <w:lang w:val="en-GB"/>
        </w:rPr>
        <w:t xml:space="preserve">Biology, Leiden University Medical </w:t>
      </w:r>
      <w:proofErr w:type="spellStart"/>
      <w:r w:rsidRPr="0052431D">
        <w:rPr>
          <w:rFonts w:asciiTheme="minorHAnsi" w:hAnsiTheme="minorHAnsi" w:cs="Arial"/>
          <w:color w:val="000000" w:themeColor="text1"/>
          <w:sz w:val="24"/>
          <w:szCs w:val="24"/>
          <w:lang w:val="en-GB"/>
        </w:rPr>
        <w:t>Center</w:t>
      </w:r>
      <w:proofErr w:type="spellEnd"/>
      <w:r w:rsidRPr="0052431D">
        <w:rPr>
          <w:rFonts w:asciiTheme="minorHAnsi" w:hAnsiTheme="minorHAnsi" w:cs="Arial"/>
          <w:color w:val="000000" w:themeColor="text1"/>
          <w:sz w:val="24"/>
          <w:szCs w:val="24"/>
          <w:lang w:val="en-GB"/>
        </w:rPr>
        <w:t>, Leiden, the Netherlands</w:t>
      </w:r>
    </w:p>
    <w:p w14:paraId="69B7B6A6" w14:textId="77777777" w:rsidR="00DF189B" w:rsidRPr="0052431D" w:rsidRDefault="00DF189B" w:rsidP="00C74418">
      <w:pPr>
        <w:spacing w:after="0" w:line="360" w:lineRule="auto"/>
        <w:rPr>
          <w:rFonts w:asciiTheme="minorHAnsi" w:hAnsiTheme="minorHAnsi" w:cs="Arial"/>
          <w:color w:val="000000" w:themeColor="text1"/>
          <w:sz w:val="24"/>
          <w:szCs w:val="24"/>
        </w:rPr>
      </w:pPr>
    </w:p>
    <w:p w14:paraId="7D2D3BFC" w14:textId="77777777" w:rsidR="0027649D" w:rsidRDefault="0027649D" w:rsidP="00C74418">
      <w:pPr>
        <w:spacing w:after="0" w:line="360" w:lineRule="auto"/>
        <w:rPr>
          <w:rFonts w:asciiTheme="minorHAnsi" w:hAnsiTheme="minorHAnsi" w:cs="Arial"/>
          <w:color w:val="000000" w:themeColor="text1"/>
          <w:sz w:val="24"/>
          <w:szCs w:val="24"/>
          <w:lang w:val="en-GB"/>
        </w:rPr>
      </w:pPr>
    </w:p>
    <w:p w14:paraId="603286E0" w14:textId="530E0B51" w:rsidR="00442356" w:rsidRPr="0052431D" w:rsidRDefault="00442356" w:rsidP="00C74418">
      <w:pPr>
        <w:spacing w:after="0" w:line="360" w:lineRule="auto"/>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lang w:val="en-GB"/>
        </w:rPr>
        <w:t>Keywords: HIV/AIDS, schistosomiasis, syphilis, Tanzania, epidemiology, prevention and control</w:t>
      </w:r>
    </w:p>
    <w:p w14:paraId="661E0EC8" w14:textId="77777777" w:rsidR="003C1D80" w:rsidRDefault="003C1D80" w:rsidP="00C74418">
      <w:pPr>
        <w:spacing w:after="160" w:line="360" w:lineRule="auto"/>
        <w:rPr>
          <w:rFonts w:asciiTheme="minorHAnsi" w:hAnsiTheme="minorHAnsi" w:cs="Arial"/>
          <w:b/>
          <w:bCs/>
          <w:color w:val="000000" w:themeColor="text1"/>
          <w:sz w:val="24"/>
          <w:szCs w:val="24"/>
          <w:lang w:val="en-GB"/>
        </w:rPr>
      </w:pPr>
      <w:r>
        <w:rPr>
          <w:rFonts w:asciiTheme="minorHAnsi" w:hAnsiTheme="minorHAnsi" w:cs="Arial"/>
          <w:b/>
          <w:bCs/>
          <w:color w:val="000000" w:themeColor="text1"/>
          <w:sz w:val="24"/>
          <w:szCs w:val="24"/>
          <w:lang w:val="en-GB"/>
        </w:rPr>
        <w:br w:type="page"/>
      </w:r>
    </w:p>
    <w:p w14:paraId="0AACEE25" w14:textId="0F5F0160" w:rsidR="0027649D" w:rsidRDefault="0027649D" w:rsidP="00C74418">
      <w:pPr>
        <w:spacing w:after="0" w:line="360" w:lineRule="auto"/>
        <w:rPr>
          <w:rFonts w:asciiTheme="minorHAnsi" w:hAnsiTheme="minorHAnsi" w:cs="Arial"/>
          <w:b/>
          <w:bCs/>
          <w:color w:val="000000" w:themeColor="text1"/>
          <w:sz w:val="24"/>
          <w:szCs w:val="24"/>
          <w:lang w:val="en-GB"/>
        </w:rPr>
      </w:pPr>
      <w:r w:rsidRPr="0052431D">
        <w:rPr>
          <w:rFonts w:asciiTheme="minorHAnsi" w:hAnsiTheme="minorHAnsi" w:cs="Arial"/>
          <w:b/>
          <w:bCs/>
          <w:color w:val="000000" w:themeColor="text1"/>
          <w:sz w:val="24"/>
          <w:szCs w:val="24"/>
          <w:lang w:val="en-GB"/>
        </w:rPr>
        <w:lastRenderedPageBreak/>
        <w:t>A</w:t>
      </w:r>
      <w:r w:rsidR="00C5572F">
        <w:rPr>
          <w:rFonts w:asciiTheme="minorHAnsi" w:hAnsiTheme="minorHAnsi" w:cs="Arial"/>
          <w:b/>
          <w:bCs/>
          <w:color w:val="000000" w:themeColor="text1"/>
          <w:sz w:val="24"/>
          <w:szCs w:val="24"/>
          <w:lang w:val="en-GB"/>
        </w:rPr>
        <w:t>BSTRACT</w:t>
      </w:r>
    </w:p>
    <w:p w14:paraId="5EC39451" w14:textId="77777777" w:rsidR="00AE3B32" w:rsidRPr="0052431D" w:rsidRDefault="00AE3B32" w:rsidP="00C74418">
      <w:pPr>
        <w:spacing w:after="0" w:line="360" w:lineRule="auto"/>
        <w:rPr>
          <w:rFonts w:asciiTheme="minorHAnsi" w:hAnsiTheme="minorHAnsi" w:cs="Arial"/>
          <w:b/>
          <w:bCs/>
          <w:color w:val="000000" w:themeColor="text1"/>
          <w:sz w:val="24"/>
          <w:szCs w:val="24"/>
          <w:lang w:val="en-GB"/>
        </w:rPr>
      </w:pPr>
    </w:p>
    <w:p w14:paraId="67A0C826" w14:textId="37595B76" w:rsidR="009D46C6" w:rsidRPr="00C5572F" w:rsidRDefault="0017730C" w:rsidP="00C74418">
      <w:pPr>
        <w:autoSpaceDE w:val="0"/>
        <w:autoSpaceDN w:val="0"/>
        <w:adjustRightInd w:val="0"/>
        <w:spacing w:after="0" w:line="360" w:lineRule="auto"/>
        <w:jc w:val="both"/>
        <w:rPr>
          <w:rFonts w:cs="Calibri"/>
          <w:b/>
          <w:sz w:val="24"/>
          <w:szCs w:val="24"/>
        </w:rPr>
      </w:pPr>
      <w:r>
        <w:rPr>
          <w:rFonts w:cs="Calibri"/>
          <w:b/>
          <w:sz w:val="24"/>
          <w:szCs w:val="24"/>
        </w:rPr>
        <w:t>Objectives</w:t>
      </w:r>
    </w:p>
    <w:p w14:paraId="687BA99E" w14:textId="0D96C0F9" w:rsidR="00AE3B32" w:rsidRDefault="003C1D80" w:rsidP="00483172">
      <w:pPr>
        <w:autoSpaceDE w:val="0"/>
        <w:autoSpaceDN w:val="0"/>
        <w:adjustRightInd w:val="0"/>
        <w:spacing w:after="0" w:line="360" w:lineRule="auto"/>
        <w:jc w:val="both"/>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lang w:val="en-GB"/>
        </w:rPr>
        <w:t xml:space="preserve">We conducted a </w:t>
      </w:r>
      <w:r w:rsidR="003C5C99" w:rsidRPr="0052431D">
        <w:rPr>
          <w:rFonts w:asciiTheme="minorHAnsi" w:hAnsiTheme="minorHAnsi" w:cs="Arial"/>
          <w:color w:val="000000" w:themeColor="text1"/>
          <w:sz w:val="24"/>
          <w:szCs w:val="24"/>
          <w:lang w:val="en-GB"/>
        </w:rPr>
        <w:t>study to</w:t>
      </w:r>
      <w:r w:rsidR="00B7053E">
        <w:rPr>
          <w:rFonts w:asciiTheme="minorHAnsi" w:hAnsiTheme="minorHAnsi" w:cs="Arial"/>
          <w:color w:val="000000" w:themeColor="text1"/>
          <w:sz w:val="24"/>
          <w:szCs w:val="24"/>
          <w:lang w:val="en-GB"/>
        </w:rPr>
        <w:t xml:space="preserve"> quantify the burden of HIV</w:t>
      </w:r>
      <w:r w:rsidR="009D46C6">
        <w:rPr>
          <w:rFonts w:asciiTheme="minorHAnsi" w:hAnsiTheme="minorHAnsi" w:cs="Arial"/>
          <w:color w:val="000000" w:themeColor="text1"/>
          <w:sz w:val="24"/>
          <w:szCs w:val="24"/>
          <w:lang w:val="en-GB"/>
        </w:rPr>
        <w:t>, syphilis and schistosome infection</w:t>
      </w:r>
      <w:r w:rsidR="00B7053E">
        <w:rPr>
          <w:rFonts w:asciiTheme="minorHAnsi" w:hAnsiTheme="minorHAnsi" w:cs="Arial"/>
          <w:color w:val="000000" w:themeColor="text1"/>
          <w:sz w:val="24"/>
          <w:szCs w:val="24"/>
          <w:lang w:val="en-GB"/>
        </w:rPr>
        <w:t xml:space="preserve"> </w:t>
      </w:r>
      <w:r w:rsidR="003C5C99" w:rsidRPr="0052431D">
        <w:rPr>
          <w:rFonts w:asciiTheme="minorHAnsi" w:hAnsiTheme="minorHAnsi" w:cs="Arial"/>
          <w:color w:val="000000" w:themeColor="text1"/>
          <w:sz w:val="24"/>
          <w:szCs w:val="24"/>
          <w:lang w:val="en-GB"/>
        </w:rPr>
        <w:t xml:space="preserve">and associated </w:t>
      </w:r>
      <w:r w:rsidR="009D46C6">
        <w:rPr>
          <w:rFonts w:asciiTheme="minorHAnsi" w:hAnsiTheme="minorHAnsi" w:cs="Arial"/>
          <w:color w:val="000000" w:themeColor="text1"/>
          <w:sz w:val="24"/>
          <w:szCs w:val="24"/>
          <w:lang w:val="en-GB"/>
        </w:rPr>
        <w:t xml:space="preserve">risk factors </w:t>
      </w:r>
      <w:r w:rsidR="003C5C99" w:rsidRPr="0052431D">
        <w:rPr>
          <w:rFonts w:asciiTheme="minorHAnsi" w:hAnsiTheme="minorHAnsi" w:cs="Arial"/>
          <w:color w:val="000000" w:themeColor="text1"/>
          <w:sz w:val="24"/>
          <w:szCs w:val="24"/>
          <w:lang w:val="en-GB"/>
        </w:rPr>
        <w:t xml:space="preserve">among adults </w:t>
      </w:r>
      <w:r w:rsidR="00483172">
        <w:rPr>
          <w:rFonts w:asciiTheme="minorHAnsi" w:hAnsiTheme="minorHAnsi" w:cs="Arial"/>
          <w:color w:val="000000" w:themeColor="text1"/>
          <w:sz w:val="24"/>
          <w:szCs w:val="24"/>
          <w:lang w:val="en-GB"/>
        </w:rPr>
        <w:t xml:space="preserve">living </w:t>
      </w:r>
      <w:r w:rsidR="003C5C99" w:rsidRPr="0052431D">
        <w:rPr>
          <w:rFonts w:asciiTheme="minorHAnsi" w:hAnsiTheme="minorHAnsi" w:cs="Arial"/>
          <w:color w:val="000000" w:themeColor="text1"/>
          <w:sz w:val="24"/>
          <w:szCs w:val="24"/>
          <w:lang w:val="en-GB"/>
        </w:rPr>
        <w:t>in se</w:t>
      </w:r>
      <w:r w:rsidR="00483172">
        <w:rPr>
          <w:rFonts w:asciiTheme="minorHAnsi" w:hAnsiTheme="minorHAnsi" w:cs="Arial"/>
          <w:color w:val="000000" w:themeColor="text1"/>
          <w:sz w:val="24"/>
          <w:szCs w:val="24"/>
          <w:lang w:val="en-GB"/>
        </w:rPr>
        <w:t xml:space="preserve">ven fishing </w:t>
      </w:r>
      <w:r w:rsidR="003C5C99" w:rsidRPr="0052431D">
        <w:rPr>
          <w:rFonts w:asciiTheme="minorHAnsi" w:hAnsiTheme="minorHAnsi" w:cs="Arial"/>
          <w:color w:val="000000" w:themeColor="text1"/>
          <w:sz w:val="24"/>
          <w:szCs w:val="24"/>
          <w:lang w:val="en-GB"/>
        </w:rPr>
        <w:t xml:space="preserve">communities of Lake Victoria in northwest Tanzania. </w:t>
      </w:r>
    </w:p>
    <w:p w14:paraId="43574976" w14:textId="77777777" w:rsidR="00483172" w:rsidRPr="00AE3B32" w:rsidRDefault="00483172" w:rsidP="00483172">
      <w:pPr>
        <w:autoSpaceDE w:val="0"/>
        <w:autoSpaceDN w:val="0"/>
        <w:adjustRightInd w:val="0"/>
        <w:spacing w:after="0" w:line="360" w:lineRule="auto"/>
        <w:jc w:val="both"/>
        <w:rPr>
          <w:rFonts w:cs="Calibri"/>
          <w:bCs/>
          <w:sz w:val="24"/>
          <w:szCs w:val="24"/>
          <w:highlight w:val="yellow"/>
        </w:rPr>
      </w:pPr>
    </w:p>
    <w:p w14:paraId="08FCCE72" w14:textId="77777777" w:rsidR="009D46C6" w:rsidRPr="00C5572F" w:rsidRDefault="00AE3B32" w:rsidP="00C74418">
      <w:pPr>
        <w:autoSpaceDE w:val="0"/>
        <w:autoSpaceDN w:val="0"/>
        <w:adjustRightInd w:val="0"/>
        <w:spacing w:after="0" w:line="360" w:lineRule="auto"/>
        <w:jc w:val="both"/>
        <w:rPr>
          <w:rFonts w:cs="Calibri"/>
          <w:b/>
          <w:sz w:val="24"/>
          <w:szCs w:val="24"/>
        </w:rPr>
      </w:pPr>
      <w:r w:rsidRPr="00C5572F">
        <w:rPr>
          <w:rFonts w:cs="Calibri"/>
          <w:b/>
          <w:sz w:val="24"/>
          <w:szCs w:val="24"/>
        </w:rPr>
        <w:t>Methods</w:t>
      </w:r>
    </w:p>
    <w:p w14:paraId="5A9D4F74" w14:textId="7D5961AE" w:rsidR="007D79C2" w:rsidRDefault="003C1D80" w:rsidP="00C74418">
      <w:pPr>
        <w:autoSpaceDE w:val="0"/>
        <w:autoSpaceDN w:val="0"/>
        <w:adjustRightInd w:val="0"/>
        <w:spacing w:after="0" w:line="360" w:lineRule="auto"/>
        <w:jc w:val="both"/>
        <w:rPr>
          <w:rFonts w:asciiTheme="minorHAnsi" w:hAnsiTheme="minorHAnsi" w:cs="Arial"/>
          <w:bCs/>
          <w:sz w:val="24"/>
          <w:szCs w:val="24"/>
          <w:lang w:val="en-GB"/>
        </w:rPr>
      </w:pPr>
      <w:r>
        <w:rPr>
          <w:rFonts w:cs="Calibri"/>
          <w:bCs/>
          <w:sz w:val="24"/>
          <w:szCs w:val="24"/>
        </w:rPr>
        <w:t xml:space="preserve">A cross-sectional </w:t>
      </w:r>
      <w:r w:rsidR="00B7053E">
        <w:rPr>
          <w:rFonts w:cs="Calibri"/>
          <w:bCs/>
          <w:sz w:val="24"/>
          <w:szCs w:val="24"/>
        </w:rPr>
        <w:t xml:space="preserve">study </w:t>
      </w:r>
      <w:r>
        <w:rPr>
          <w:rFonts w:cs="Calibri"/>
          <w:bCs/>
          <w:sz w:val="24"/>
          <w:szCs w:val="24"/>
        </w:rPr>
        <w:t xml:space="preserve">was </w:t>
      </w:r>
      <w:r w:rsidR="003C5C99" w:rsidRPr="003C5C99">
        <w:rPr>
          <w:rFonts w:asciiTheme="minorHAnsi" w:hAnsiTheme="minorHAnsi" w:cs="Arial"/>
          <w:bCs/>
          <w:sz w:val="24"/>
          <w:szCs w:val="24"/>
          <w:lang w:val="en-GB"/>
        </w:rPr>
        <w:t xml:space="preserve">conducted </w:t>
      </w:r>
      <w:r>
        <w:rPr>
          <w:rFonts w:asciiTheme="minorHAnsi" w:hAnsiTheme="minorHAnsi" w:cs="Arial"/>
          <w:bCs/>
          <w:sz w:val="24"/>
          <w:szCs w:val="24"/>
          <w:lang w:val="en-GB"/>
        </w:rPr>
        <w:t xml:space="preserve">between </w:t>
      </w:r>
      <w:r w:rsidRPr="0052431D">
        <w:rPr>
          <w:rFonts w:asciiTheme="minorHAnsi" w:hAnsiTheme="minorHAnsi" w:cs="Arial"/>
          <w:bCs/>
          <w:sz w:val="24"/>
          <w:szCs w:val="24"/>
          <w:lang w:val="en-GB"/>
        </w:rPr>
        <w:t>2015</w:t>
      </w:r>
      <w:r>
        <w:rPr>
          <w:rFonts w:asciiTheme="minorHAnsi" w:hAnsiTheme="minorHAnsi" w:cs="Arial"/>
          <w:bCs/>
          <w:sz w:val="24"/>
          <w:szCs w:val="24"/>
          <w:lang w:val="en-GB"/>
        </w:rPr>
        <w:t>-2016</w:t>
      </w:r>
      <w:r w:rsidRPr="0052431D">
        <w:rPr>
          <w:rFonts w:asciiTheme="minorHAnsi" w:hAnsiTheme="minorHAnsi" w:cs="Arial"/>
          <w:bCs/>
          <w:sz w:val="24"/>
          <w:szCs w:val="24"/>
          <w:lang w:val="en-GB"/>
        </w:rPr>
        <w:t xml:space="preserve"> </w:t>
      </w:r>
      <w:r w:rsidR="003C5C99" w:rsidRPr="003C5C99">
        <w:rPr>
          <w:rFonts w:asciiTheme="minorHAnsi" w:hAnsiTheme="minorHAnsi" w:cs="Arial"/>
          <w:bCs/>
          <w:sz w:val="24"/>
          <w:szCs w:val="24"/>
          <w:lang w:val="en-GB"/>
        </w:rPr>
        <w:t xml:space="preserve">in </w:t>
      </w:r>
      <w:r w:rsidR="00483172">
        <w:rPr>
          <w:rFonts w:asciiTheme="minorHAnsi" w:hAnsiTheme="minorHAnsi" w:cs="Arial"/>
          <w:bCs/>
          <w:sz w:val="24"/>
          <w:szCs w:val="24"/>
          <w:lang w:val="en-GB"/>
        </w:rPr>
        <w:t xml:space="preserve">the </w:t>
      </w:r>
      <w:r w:rsidR="0017730C">
        <w:rPr>
          <w:rFonts w:asciiTheme="minorHAnsi" w:hAnsiTheme="minorHAnsi" w:cs="Arial"/>
          <w:bCs/>
          <w:sz w:val="24"/>
          <w:szCs w:val="24"/>
          <w:lang w:val="en-GB"/>
        </w:rPr>
        <w:t xml:space="preserve">selected </w:t>
      </w:r>
      <w:r w:rsidR="003C5C99">
        <w:rPr>
          <w:rFonts w:asciiTheme="minorHAnsi" w:hAnsiTheme="minorHAnsi" w:cs="Arial"/>
          <w:bCs/>
          <w:sz w:val="24"/>
          <w:szCs w:val="24"/>
          <w:lang w:val="en-GB"/>
        </w:rPr>
        <w:t>communities</w:t>
      </w:r>
      <w:r w:rsidR="007D79C2">
        <w:rPr>
          <w:rFonts w:asciiTheme="minorHAnsi" w:hAnsiTheme="minorHAnsi" w:cs="Arial"/>
          <w:bCs/>
          <w:sz w:val="24"/>
          <w:szCs w:val="24"/>
          <w:lang w:val="en-GB"/>
        </w:rPr>
        <w:t>.</w:t>
      </w:r>
      <w:r w:rsidR="003C5C99" w:rsidRPr="0052431D">
        <w:rPr>
          <w:rFonts w:asciiTheme="minorHAnsi" w:hAnsiTheme="minorHAnsi" w:cs="Arial"/>
          <w:bCs/>
          <w:sz w:val="24"/>
          <w:szCs w:val="24"/>
          <w:lang w:val="en-GB"/>
        </w:rPr>
        <w:t xml:space="preserve"> In each community, we randomly selected a sample of adults from the general population and from three p</w:t>
      </w:r>
      <w:r w:rsidR="003C5C99">
        <w:rPr>
          <w:rFonts w:asciiTheme="minorHAnsi" w:hAnsiTheme="minorHAnsi" w:cs="Arial"/>
          <w:bCs/>
          <w:sz w:val="24"/>
          <w:szCs w:val="24"/>
          <w:lang w:val="en-GB"/>
        </w:rPr>
        <w:t xml:space="preserve">utative </w:t>
      </w:r>
      <w:r w:rsidR="003C5C99" w:rsidRPr="0052431D">
        <w:rPr>
          <w:rFonts w:asciiTheme="minorHAnsi" w:hAnsiTheme="minorHAnsi" w:cs="Arial"/>
          <w:bCs/>
          <w:sz w:val="24"/>
          <w:szCs w:val="24"/>
          <w:lang w:val="en-GB"/>
        </w:rPr>
        <w:t>risk groups</w:t>
      </w:r>
      <w:r w:rsidR="003C5C99" w:rsidRPr="0052431D">
        <w:rPr>
          <w:rFonts w:asciiTheme="minorHAnsi" w:hAnsiTheme="minorHAnsi" w:cs="Arial"/>
          <w:b/>
          <w:bCs/>
          <w:sz w:val="24"/>
          <w:szCs w:val="24"/>
          <w:lang w:val="en-GB"/>
        </w:rPr>
        <w:t xml:space="preserve"> </w:t>
      </w:r>
      <w:r w:rsidR="003C5C99" w:rsidRPr="0052431D">
        <w:rPr>
          <w:rFonts w:asciiTheme="minorHAnsi" w:hAnsiTheme="minorHAnsi" w:cs="Arial"/>
          <w:bCs/>
          <w:sz w:val="24"/>
          <w:szCs w:val="24"/>
          <w:lang w:val="en-GB"/>
        </w:rPr>
        <w:t>including: 1) fishermen, 2) fish processors and traders, and 3) women working in</w:t>
      </w:r>
      <w:r w:rsidR="003C5C99">
        <w:rPr>
          <w:rFonts w:asciiTheme="minorHAnsi" w:hAnsiTheme="minorHAnsi" w:cs="Arial"/>
          <w:bCs/>
          <w:sz w:val="24"/>
          <w:szCs w:val="24"/>
          <w:lang w:val="en-GB"/>
        </w:rPr>
        <w:t xml:space="preserve"> the</w:t>
      </w:r>
      <w:r w:rsidR="003C5C99" w:rsidRPr="0052431D">
        <w:rPr>
          <w:rFonts w:asciiTheme="minorHAnsi" w:hAnsiTheme="minorHAnsi" w:cs="Arial"/>
          <w:bCs/>
          <w:sz w:val="24"/>
          <w:szCs w:val="24"/>
          <w:lang w:val="en-GB"/>
        </w:rPr>
        <w:t xml:space="preserve"> recreational facilities.</w:t>
      </w:r>
      <w:r w:rsidR="00390BEC">
        <w:rPr>
          <w:rFonts w:asciiTheme="minorHAnsi" w:hAnsiTheme="minorHAnsi" w:cs="Arial"/>
          <w:bCs/>
          <w:sz w:val="24"/>
          <w:szCs w:val="24"/>
          <w:lang w:val="en-GB"/>
        </w:rPr>
        <w:t xml:space="preserve"> </w:t>
      </w:r>
      <w:r w:rsidR="009B0867">
        <w:rPr>
          <w:rFonts w:asciiTheme="minorHAnsi" w:hAnsiTheme="minorHAnsi" w:cs="Arial"/>
          <w:bCs/>
          <w:sz w:val="24"/>
          <w:szCs w:val="24"/>
          <w:lang w:val="en-GB"/>
        </w:rPr>
        <w:t>Part</w:t>
      </w:r>
      <w:r w:rsidR="007D79C2" w:rsidRPr="0052431D">
        <w:rPr>
          <w:rFonts w:asciiTheme="minorHAnsi" w:hAnsiTheme="minorHAnsi" w:cs="Arial"/>
          <w:bCs/>
          <w:sz w:val="24"/>
          <w:szCs w:val="24"/>
          <w:lang w:val="en-GB"/>
        </w:rPr>
        <w:t>icipa</w:t>
      </w:r>
      <w:r w:rsidR="009B0867">
        <w:rPr>
          <w:rFonts w:asciiTheme="minorHAnsi" w:hAnsiTheme="minorHAnsi" w:cs="Arial"/>
          <w:bCs/>
          <w:sz w:val="24"/>
          <w:szCs w:val="24"/>
          <w:lang w:val="en-GB"/>
        </w:rPr>
        <w:t xml:space="preserve">nts were </w:t>
      </w:r>
      <w:r w:rsidR="007D79C2" w:rsidRPr="0052431D">
        <w:rPr>
          <w:rFonts w:asciiTheme="minorHAnsi" w:hAnsiTheme="minorHAnsi" w:cs="Arial"/>
          <w:bCs/>
          <w:sz w:val="24"/>
          <w:szCs w:val="24"/>
          <w:lang w:val="en-GB"/>
        </w:rPr>
        <w:t xml:space="preserve">interviewed </w:t>
      </w:r>
      <w:r w:rsidR="009D46C6">
        <w:rPr>
          <w:rFonts w:asciiTheme="minorHAnsi" w:hAnsiTheme="minorHAnsi" w:cs="Arial"/>
          <w:bCs/>
          <w:sz w:val="24"/>
          <w:szCs w:val="24"/>
          <w:lang w:val="en-GB"/>
        </w:rPr>
        <w:t xml:space="preserve">to obtain information about potential risk factors, and </w:t>
      </w:r>
      <w:r w:rsidR="008D14D0">
        <w:rPr>
          <w:rFonts w:asciiTheme="minorHAnsi" w:hAnsiTheme="minorHAnsi" w:cs="Arial"/>
          <w:bCs/>
          <w:sz w:val="24"/>
          <w:szCs w:val="24"/>
          <w:lang w:val="en-GB"/>
        </w:rPr>
        <w:t>v</w:t>
      </w:r>
      <w:r w:rsidR="007D79C2" w:rsidRPr="0052431D">
        <w:rPr>
          <w:rFonts w:asciiTheme="minorHAnsi" w:hAnsiTheme="minorHAnsi" w:cs="Arial"/>
          <w:bCs/>
          <w:sz w:val="24"/>
          <w:szCs w:val="24"/>
          <w:lang w:val="en-GB"/>
        </w:rPr>
        <w:t xml:space="preserve">enous blood was collected for </w:t>
      </w:r>
      <w:r w:rsidR="009B0867">
        <w:rPr>
          <w:rFonts w:asciiTheme="minorHAnsi" w:hAnsiTheme="minorHAnsi" w:cs="Arial"/>
          <w:bCs/>
          <w:sz w:val="24"/>
          <w:szCs w:val="24"/>
          <w:lang w:val="en-GB"/>
        </w:rPr>
        <w:t xml:space="preserve">detection of </w:t>
      </w:r>
      <w:r w:rsidR="007D79C2" w:rsidRPr="0052431D">
        <w:rPr>
          <w:rFonts w:asciiTheme="minorHAnsi" w:hAnsiTheme="minorHAnsi" w:cs="Arial"/>
          <w:bCs/>
          <w:sz w:val="24"/>
          <w:szCs w:val="24"/>
          <w:lang w:val="en-GB"/>
        </w:rPr>
        <w:t>HIV</w:t>
      </w:r>
      <w:r w:rsidR="009B0867">
        <w:rPr>
          <w:rFonts w:asciiTheme="minorHAnsi" w:hAnsiTheme="minorHAnsi" w:cs="Arial"/>
          <w:bCs/>
          <w:sz w:val="24"/>
          <w:szCs w:val="24"/>
          <w:lang w:val="en-GB"/>
        </w:rPr>
        <w:t xml:space="preserve">, </w:t>
      </w:r>
      <w:r w:rsidR="007D79C2" w:rsidRPr="0052431D">
        <w:rPr>
          <w:rFonts w:asciiTheme="minorHAnsi" w:hAnsiTheme="minorHAnsi" w:cs="Arial"/>
          <w:bCs/>
          <w:sz w:val="24"/>
          <w:szCs w:val="24"/>
          <w:lang w:val="en-GB"/>
        </w:rPr>
        <w:t xml:space="preserve">syphilis </w:t>
      </w:r>
      <w:r w:rsidR="009B0867">
        <w:rPr>
          <w:rFonts w:asciiTheme="minorHAnsi" w:hAnsiTheme="minorHAnsi" w:cs="Arial"/>
          <w:bCs/>
          <w:sz w:val="24"/>
          <w:szCs w:val="24"/>
          <w:lang w:val="en-GB"/>
        </w:rPr>
        <w:t xml:space="preserve">and </w:t>
      </w:r>
      <w:r w:rsidR="009B0867" w:rsidRPr="0052431D">
        <w:rPr>
          <w:rFonts w:asciiTheme="minorHAnsi" w:hAnsiTheme="minorHAnsi" w:cs="Arial"/>
          <w:bCs/>
          <w:sz w:val="24"/>
          <w:szCs w:val="24"/>
          <w:lang w:val="en-GB"/>
        </w:rPr>
        <w:t>schistosome infections</w:t>
      </w:r>
      <w:r w:rsidR="007D79C2" w:rsidRPr="0052431D">
        <w:rPr>
          <w:rFonts w:asciiTheme="minorHAnsi" w:hAnsiTheme="minorHAnsi" w:cs="Arial"/>
          <w:bCs/>
          <w:sz w:val="24"/>
          <w:szCs w:val="24"/>
          <w:lang w:val="en-GB"/>
        </w:rPr>
        <w:t xml:space="preserve">. </w:t>
      </w:r>
      <w:r w:rsidR="00271EFD">
        <w:rPr>
          <w:rFonts w:asciiTheme="minorHAnsi" w:hAnsiTheme="minorHAnsi" w:cs="Arial"/>
          <w:bCs/>
          <w:sz w:val="24"/>
          <w:szCs w:val="24"/>
          <w:lang w:val="en-GB"/>
        </w:rPr>
        <w:t xml:space="preserve">We used logistic regression </w:t>
      </w:r>
      <w:r w:rsidR="001A0D69">
        <w:rPr>
          <w:rFonts w:asciiTheme="minorHAnsi" w:hAnsiTheme="minorHAnsi" w:cs="Arial"/>
          <w:bCs/>
          <w:sz w:val="24"/>
          <w:szCs w:val="24"/>
          <w:lang w:val="en-GB"/>
        </w:rPr>
        <w:t xml:space="preserve">models </w:t>
      </w:r>
      <w:r w:rsidR="00271EFD">
        <w:rPr>
          <w:rFonts w:asciiTheme="minorHAnsi" w:hAnsiTheme="minorHAnsi" w:cs="Arial"/>
          <w:bCs/>
          <w:sz w:val="24"/>
          <w:szCs w:val="24"/>
          <w:lang w:val="en-GB"/>
        </w:rPr>
        <w:t xml:space="preserve">to quantify </w:t>
      </w:r>
      <w:r w:rsidR="001A0D69">
        <w:rPr>
          <w:rFonts w:asciiTheme="minorHAnsi" w:hAnsiTheme="minorHAnsi" w:cs="Arial"/>
          <w:bCs/>
          <w:sz w:val="24"/>
          <w:szCs w:val="24"/>
          <w:lang w:val="en-GB"/>
        </w:rPr>
        <w:t xml:space="preserve">the </w:t>
      </w:r>
      <w:r w:rsidR="00271EFD">
        <w:rPr>
          <w:rFonts w:asciiTheme="minorHAnsi" w:hAnsiTheme="minorHAnsi" w:cs="Arial"/>
          <w:bCs/>
          <w:sz w:val="24"/>
          <w:szCs w:val="24"/>
          <w:lang w:val="en-GB"/>
        </w:rPr>
        <w:t xml:space="preserve">associations between potential risk factors and HIV, </w:t>
      </w:r>
      <w:r w:rsidR="001A0D69">
        <w:rPr>
          <w:rFonts w:asciiTheme="minorHAnsi" w:hAnsiTheme="minorHAnsi" w:cs="Arial"/>
          <w:bCs/>
          <w:sz w:val="24"/>
          <w:szCs w:val="24"/>
          <w:lang w:val="en-GB"/>
        </w:rPr>
        <w:t xml:space="preserve">and also </w:t>
      </w:r>
      <w:r w:rsidR="00271EFD">
        <w:rPr>
          <w:rFonts w:asciiTheme="minorHAnsi" w:hAnsiTheme="minorHAnsi" w:cs="Arial"/>
          <w:bCs/>
          <w:sz w:val="24"/>
          <w:szCs w:val="24"/>
          <w:lang w:val="en-GB"/>
        </w:rPr>
        <w:t>between schistosome infection and HIV.</w:t>
      </w:r>
    </w:p>
    <w:p w14:paraId="6D887028" w14:textId="2643AFB6" w:rsidR="00390BEC" w:rsidRDefault="00390BEC" w:rsidP="00C74418">
      <w:pPr>
        <w:autoSpaceDE w:val="0"/>
        <w:autoSpaceDN w:val="0"/>
        <w:adjustRightInd w:val="0"/>
        <w:spacing w:after="0" w:line="360" w:lineRule="auto"/>
        <w:jc w:val="both"/>
        <w:rPr>
          <w:rFonts w:asciiTheme="minorHAnsi" w:hAnsiTheme="minorHAnsi" w:cs="Arial"/>
          <w:bCs/>
          <w:sz w:val="24"/>
          <w:szCs w:val="24"/>
          <w:lang w:val="en-GB"/>
        </w:rPr>
      </w:pPr>
    </w:p>
    <w:p w14:paraId="5FB3FEF4" w14:textId="77777777" w:rsidR="009D46C6" w:rsidRPr="00C5572F" w:rsidRDefault="00390BEC" w:rsidP="00C74418">
      <w:pPr>
        <w:spacing w:after="0" w:line="360" w:lineRule="auto"/>
        <w:jc w:val="both"/>
        <w:rPr>
          <w:rFonts w:asciiTheme="minorHAnsi" w:hAnsiTheme="minorHAnsi" w:cs="Arial"/>
          <w:b/>
          <w:sz w:val="24"/>
          <w:szCs w:val="24"/>
          <w:lang w:val="en-GB"/>
        </w:rPr>
      </w:pPr>
      <w:r w:rsidRPr="00C5572F">
        <w:rPr>
          <w:rFonts w:asciiTheme="minorHAnsi" w:hAnsiTheme="minorHAnsi" w:cs="Arial"/>
          <w:b/>
          <w:sz w:val="24"/>
          <w:szCs w:val="24"/>
          <w:lang w:val="en-GB"/>
        </w:rPr>
        <w:t>Results</w:t>
      </w:r>
    </w:p>
    <w:p w14:paraId="79C418E3" w14:textId="23796CE5" w:rsidR="00F10377" w:rsidRPr="0052431D" w:rsidRDefault="003C1D80" w:rsidP="00C74418">
      <w:pPr>
        <w:spacing w:after="0" w:line="360" w:lineRule="auto"/>
        <w:jc w:val="both"/>
        <w:rPr>
          <w:rFonts w:asciiTheme="minorHAnsi" w:hAnsiTheme="minorHAnsi" w:cs="Arial"/>
          <w:bCs/>
          <w:sz w:val="24"/>
          <w:szCs w:val="24"/>
          <w:lang w:val="en-GB"/>
        </w:rPr>
      </w:pPr>
      <w:r>
        <w:rPr>
          <w:rFonts w:asciiTheme="minorHAnsi" w:hAnsiTheme="minorHAnsi" w:cs="Arial"/>
          <w:bCs/>
          <w:sz w:val="24"/>
          <w:szCs w:val="24"/>
          <w:lang w:val="en-GB"/>
        </w:rPr>
        <w:t xml:space="preserve">We </w:t>
      </w:r>
      <w:r w:rsidR="00390BEC" w:rsidRPr="0052431D">
        <w:rPr>
          <w:rFonts w:asciiTheme="minorHAnsi" w:hAnsiTheme="minorHAnsi" w:cs="Arial"/>
          <w:bCs/>
          <w:sz w:val="24"/>
          <w:szCs w:val="24"/>
          <w:lang w:val="en-GB"/>
        </w:rPr>
        <w:t xml:space="preserve">enrolled 1128 people from </w:t>
      </w:r>
      <w:r w:rsidR="008D14D0">
        <w:rPr>
          <w:rFonts w:asciiTheme="minorHAnsi" w:hAnsiTheme="minorHAnsi" w:cs="Arial"/>
          <w:bCs/>
          <w:sz w:val="24"/>
          <w:szCs w:val="24"/>
          <w:lang w:val="en-GB"/>
        </w:rPr>
        <w:t xml:space="preserve">selected </w:t>
      </w:r>
      <w:r w:rsidR="00390BEC" w:rsidRPr="0052431D">
        <w:rPr>
          <w:rFonts w:asciiTheme="minorHAnsi" w:hAnsiTheme="minorHAnsi" w:cs="Arial"/>
          <w:bCs/>
          <w:sz w:val="24"/>
          <w:szCs w:val="24"/>
          <w:lang w:val="en-GB"/>
        </w:rPr>
        <w:t>fishing communities</w:t>
      </w:r>
      <w:r w:rsidR="00390BEC">
        <w:rPr>
          <w:rFonts w:asciiTheme="minorHAnsi" w:hAnsiTheme="minorHAnsi" w:cs="Arial"/>
          <w:bCs/>
          <w:sz w:val="24"/>
          <w:szCs w:val="24"/>
          <w:lang w:val="en-GB"/>
        </w:rPr>
        <w:t xml:space="preserve">. </w:t>
      </w:r>
      <w:r w:rsidR="00390BEC" w:rsidRPr="0052431D">
        <w:rPr>
          <w:rFonts w:asciiTheme="minorHAnsi" w:hAnsiTheme="minorHAnsi" w:cs="Arial"/>
          <w:bCs/>
          <w:sz w:val="24"/>
          <w:szCs w:val="24"/>
          <w:lang w:val="en-GB"/>
        </w:rPr>
        <w:t>The overall pr</w:t>
      </w:r>
      <w:r>
        <w:rPr>
          <w:rFonts w:asciiTheme="minorHAnsi" w:hAnsiTheme="minorHAnsi" w:cs="Arial"/>
          <w:bCs/>
          <w:sz w:val="24"/>
          <w:szCs w:val="24"/>
          <w:lang w:val="en-GB"/>
        </w:rPr>
        <w:t xml:space="preserve">evalence of </w:t>
      </w:r>
      <w:r w:rsidR="00390BEC" w:rsidRPr="0052431D">
        <w:rPr>
          <w:rFonts w:asciiTheme="minorHAnsi" w:hAnsiTheme="minorHAnsi" w:cs="Arial"/>
          <w:bCs/>
          <w:sz w:val="24"/>
          <w:szCs w:val="24"/>
          <w:lang w:val="en-GB"/>
        </w:rPr>
        <w:t>HIV</w:t>
      </w:r>
      <w:r w:rsidR="008D14D0">
        <w:rPr>
          <w:rFonts w:asciiTheme="minorHAnsi" w:hAnsiTheme="minorHAnsi" w:cs="Arial"/>
          <w:bCs/>
          <w:sz w:val="24"/>
          <w:szCs w:val="24"/>
          <w:lang w:val="en-GB"/>
        </w:rPr>
        <w:t xml:space="preserve">, </w:t>
      </w:r>
      <w:r w:rsidR="00390BEC" w:rsidRPr="0052431D">
        <w:rPr>
          <w:rFonts w:asciiTheme="minorHAnsi" w:hAnsiTheme="minorHAnsi" w:cs="Arial"/>
          <w:bCs/>
          <w:sz w:val="24"/>
          <w:szCs w:val="24"/>
          <w:lang w:val="en-GB"/>
        </w:rPr>
        <w:t>syphilis</w:t>
      </w:r>
      <w:r w:rsidR="008D14D0">
        <w:rPr>
          <w:rFonts w:asciiTheme="minorHAnsi" w:hAnsiTheme="minorHAnsi" w:cs="Arial"/>
          <w:bCs/>
          <w:sz w:val="24"/>
          <w:szCs w:val="24"/>
          <w:lang w:val="en-GB"/>
        </w:rPr>
        <w:t xml:space="preserve"> and s</w:t>
      </w:r>
      <w:r w:rsidR="008D14D0" w:rsidRPr="0052431D">
        <w:rPr>
          <w:rFonts w:asciiTheme="minorHAnsi" w:hAnsiTheme="minorHAnsi" w:cs="Arial"/>
          <w:bCs/>
          <w:sz w:val="24"/>
          <w:szCs w:val="24"/>
          <w:lang w:val="en-GB"/>
        </w:rPr>
        <w:t>chistosome infection</w:t>
      </w:r>
      <w:r w:rsidR="00390BEC" w:rsidRPr="0052431D">
        <w:rPr>
          <w:rFonts w:asciiTheme="minorHAnsi" w:hAnsiTheme="minorHAnsi" w:cs="Arial"/>
          <w:bCs/>
          <w:sz w:val="24"/>
          <w:szCs w:val="24"/>
          <w:lang w:val="en-GB"/>
        </w:rPr>
        <w:t xml:space="preserve"> was 14.2%</w:t>
      </w:r>
      <w:r w:rsidR="008D14D0">
        <w:rPr>
          <w:rFonts w:asciiTheme="minorHAnsi" w:hAnsiTheme="minorHAnsi" w:cs="Arial"/>
          <w:bCs/>
          <w:sz w:val="24"/>
          <w:szCs w:val="24"/>
          <w:lang w:val="en-GB"/>
        </w:rPr>
        <w:t>, 1</w:t>
      </w:r>
      <w:r w:rsidR="00390BEC" w:rsidRPr="0052431D">
        <w:rPr>
          <w:rFonts w:asciiTheme="minorHAnsi" w:hAnsiTheme="minorHAnsi" w:cs="Arial"/>
          <w:bCs/>
          <w:sz w:val="24"/>
          <w:szCs w:val="24"/>
          <w:lang w:val="en-GB"/>
        </w:rPr>
        <w:t xml:space="preserve">5.6% </w:t>
      </w:r>
      <w:r w:rsidR="008D14D0">
        <w:rPr>
          <w:rFonts w:asciiTheme="minorHAnsi" w:hAnsiTheme="minorHAnsi" w:cs="Arial"/>
          <w:bCs/>
          <w:sz w:val="24"/>
          <w:szCs w:val="24"/>
          <w:lang w:val="en-GB"/>
        </w:rPr>
        <w:t xml:space="preserve">and 83.1% </w:t>
      </w:r>
      <w:r w:rsidR="00390BEC" w:rsidRPr="0052431D">
        <w:rPr>
          <w:rFonts w:asciiTheme="minorHAnsi" w:hAnsiTheme="minorHAnsi" w:cs="Arial"/>
          <w:bCs/>
          <w:sz w:val="24"/>
          <w:szCs w:val="24"/>
          <w:lang w:val="en-GB"/>
        </w:rPr>
        <w:t>respectively. Female recreational facility workers had the highest prevalence of HIV</w:t>
      </w:r>
      <w:r w:rsidR="00390BEC">
        <w:rPr>
          <w:rFonts w:asciiTheme="minorHAnsi" w:hAnsiTheme="minorHAnsi" w:cs="Arial"/>
          <w:bCs/>
          <w:sz w:val="24"/>
          <w:szCs w:val="24"/>
          <w:lang w:val="en-GB"/>
        </w:rPr>
        <w:t xml:space="preserve"> </w:t>
      </w:r>
      <w:r w:rsidR="00390BEC" w:rsidRPr="0052431D">
        <w:rPr>
          <w:rFonts w:asciiTheme="minorHAnsi" w:hAnsiTheme="minorHAnsi" w:cs="Arial"/>
          <w:bCs/>
          <w:sz w:val="24"/>
          <w:szCs w:val="24"/>
          <w:lang w:val="en-GB"/>
        </w:rPr>
        <w:t>(30.4%) and syphilis (24%)</w:t>
      </w:r>
      <w:r w:rsidR="00390BEC">
        <w:rPr>
          <w:rFonts w:asciiTheme="minorHAnsi" w:hAnsiTheme="minorHAnsi" w:cs="Arial"/>
          <w:bCs/>
          <w:sz w:val="24"/>
          <w:szCs w:val="24"/>
          <w:lang w:val="en-GB"/>
        </w:rPr>
        <w:t>.</w:t>
      </w:r>
      <w:r w:rsidR="00A644C4" w:rsidRPr="0052431D">
        <w:rPr>
          <w:rFonts w:asciiTheme="minorHAnsi" w:hAnsiTheme="minorHAnsi" w:cs="Arial"/>
          <w:bCs/>
          <w:sz w:val="24"/>
          <w:szCs w:val="24"/>
          <w:lang w:val="en-GB"/>
        </w:rPr>
        <w:t xml:space="preserve"> The odds of being HIV infected were generally higher in all age categories. </w:t>
      </w:r>
      <w:r w:rsidR="00F10377" w:rsidRPr="0052431D">
        <w:rPr>
          <w:rFonts w:asciiTheme="minorHAnsi" w:hAnsiTheme="minorHAnsi" w:cs="Arial"/>
          <w:bCs/>
          <w:sz w:val="24"/>
          <w:szCs w:val="24"/>
          <w:lang w:val="en-GB"/>
        </w:rPr>
        <w:t xml:space="preserve">Transactional sex was commonly reported and receiving gifts </w:t>
      </w:r>
      <w:r w:rsidR="009B0867">
        <w:rPr>
          <w:rFonts w:asciiTheme="minorHAnsi" w:hAnsiTheme="minorHAnsi" w:cs="Arial"/>
          <w:bCs/>
          <w:sz w:val="24"/>
          <w:szCs w:val="24"/>
          <w:lang w:val="en-GB"/>
        </w:rPr>
        <w:t xml:space="preserve">for sex </w:t>
      </w:r>
      <w:r w:rsidR="00F10377">
        <w:rPr>
          <w:rFonts w:asciiTheme="minorHAnsi" w:hAnsiTheme="minorHAnsi" w:cs="Arial"/>
          <w:bCs/>
          <w:sz w:val="24"/>
          <w:szCs w:val="24"/>
          <w:lang w:val="en-GB"/>
        </w:rPr>
        <w:t xml:space="preserve">was </w:t>
      </w:r>
      <w:r w:rsidR="00F10377" w:rsidRPr="0052431D">
        <w:rPr>
          <w:rFonts w:asciiTheme="minorHAnsi" w:hAnsiTheme="minorHAnsi" w:cs="Arial"/>
          <w:bCs/>
          <w:sz w:val="24"/>
          <w:szCs w:val="24"/>
          <w:lang w:val="en-GB"/>
        </w:rPr>
        <w:t>especially found to be strongly associated with HIV</w:t>
      </w:r>
      <w:r w:rsidR="00F10377">
        <w:rPr>
          <w:rFonts w:asciiTheme="minorHAnsi" w:hAnsiTheme="minorHAnsi" w:cs="Arial"/>
          <w:bCs/>
          <w:sz w:val="24"/>
          <w:szCs w:val="24"/>
          <w:lang w:val="en-GB"/>
        </w:rPr>
        <w:t xml:space="preserve"> </w:t>
      </w:r>
      <w:r w:rsidR="00F10377" w:rsidRPr="0052431D">
        <w:rPr>
          <w:rFonts w:asciiTheme="minorHAnsi" w:hAnsiTheme="minorHAnsi" w:cs="Arial"/>
          <w:bCs/>
          <w:sz w:val="24"/>
          <w:szCs w:val="24"/>
          <w:lang w:val="en-GB"/>
        </w:rPr>
        <w:t>(</w:t>
      </w:r>
      <w:r w:rsidR="00F10377">
        <w:rPr>
          <w:rFonts w:asciiTheme="minorHAnsi" w:hAnsiTheme="minorHAnsi" w:cs="Arial"/>
          <w:bCs/>
          <w:sz w:val="24"/>
          <w:szCs w:val="24"/>
          <w:lang w:val="en-GB"/>
        </w:rPr>
        <w:t xml:space="preserve">adjusted </w:t>
      </w:r>
      <w:r w:rsidR="00F10377" w:rsidRPr="0052431D">
        <w:rPr>
          <w:rFonts w:asciiTheme="minorHAnsi" w:hAnsiTheme="minorHAnsi" w:cs="Arial"/>
          <w:bCs/>
          <w:sz w:val="24"/>
          <w:szCs w:val="24"/>
          <w:lang w:val="en-GB"/>
        </w:rPr>
        <w:t xml:space="preserve">OR = </w:t>
      </w:r>
      <w:r w:rsidR="00F10377">
        <w:rPr>
          <w:rFonts w:asciiTheme="minorHAnsi" w:hAnsiTheme="minorHAnsi" w:cs="Arial"/>
          <w:bCs/>
          <w:sz w:val="24"/>
          <w:szCs w:val="24"/>
          <w:lang w:val="en-GB"/>
        </w:rPr>
        <w:t xml:space="preserve">2.50; </w:t>
      </w:r>
      <w:r w:rsidR="00F10377" w:rsidRPr="0052431D">
        <w:rPr>
          <w:rFonts w:asciiTheme="minorHAnsi" w:hAnsiTheme="minorHAnsi" w:cs="Arial"/>
          <w:bCs/>
          <w:sz w:val="24"/>
          <w:szCs w:val="24"/>
          <w:lang w:val="en-GB"/>
        </w:rPr>
        <w:t>95% CI: 1.</w:t>
      </w:r>
      <w:r w:rsidR="00F10377">
        <w:rPr>
          <w:rFonts w:asciiTheme="minorHAnsi" w:hAnsiTheme="minorHAnsi" w:cs="Arial"/>
          <w:bCs/>
          <w:sz w:val="24"/>
          <w:szCs w:val="24"/>
          <w:lang w:val="en-GB"/>
        </w:rPr>
        <w:t>44-4.34, p=0.008)</w:t>
      </w:r>
      <w:r w:rsidR="00F10377" w:rsidRPr="0052431D">
        <w:rPr>
          <w:rFonts w:asciiTheme="minorHAnsi" w:hAnsiTheme="minorHAnsi" w:cs="Arial"/>
          <w:bCs/>
          <w:sz w:val="24"/>
          <w:szCs w:val="24"/>
          <w:lang w:val="en-GB"/>
        </w:rPr>
        <w:t>.</w:t>
      </w:r>
      <w:r w:rsidR="00F10377">
        <w:rPr>
          <w:rFonts w:asciiTheme="minorHAnsi" w:hAnsiTheme="minorHAnsi" w:cs="Arial"/>
          <w:bCs/>
          <w:sz w:val="24"/>
          <w:szCs w:val="24"/>
          <w:lang w:val="en-GB"/>
        </w:rPr>
        <w:t xml:space="preserve"> </w:t>
      </w:r>
      <w:r w:rsidR="00F10377" w:rsidRPr="0052431D">
        <w:rPr>
          <w:rFonts w:asciiTheme="minorHAnsi" w:hAnsiTheme="minorHAnsi" w:cs="Arial"/>
          <w:bCs/>
          <w:sz w:val="24"/>
          <w:szCs w:val="24"/>
          <w:lang w:val="en-GB"/>
        </w:rPr>
        <w:t xml:space="preserve">Confirmed </w:t>
      </w:r>
      <w:r w:rsidR="00F10377">
        <w:rPr>
          <w:rFonts w:asciiTheme="minorHAnsi" w:hAnsiTheme="minorHAnsi" w:cs="Arial"/>
          <w:bCs/>
          <w:sz w:val="24"/>
          <w:szCs w:val="24"/>
          <w:lang w:val="en-GB"/>
        </w:rPr>
        <w:t xml:space="preserve">serological </w:t>
      </w:r>
      <w:r w:rsidR="00F10377" w:rsidRPr="0052431D">
        <w:rPr>
          <w:rFonts w:asciiTheme="minorHAnsi" w:hAnsiTheme="minorHAnsi" w:cs="Arial"/>
          <w:bCs/>
          <w:sz w:val="24"/>
          <w:szCs w:val="24"/>
          <w:lang w:val="en-GB"/>
        </w:rPr>
        <w:t xml:space="preserve">syphilis was associated with </w:t>
      </w:r>
      <w:r w:rsidR="009B0867">
        <w:rPr>
          <w:rFonts w:asciiTheme="minorHAnsi" w:hAnsiTheme="minorHAnsi" w:cs="Arial"/>
          <w:bCs/>
          <w:sz w:val="24"/>
          <w:szCs w:val="24"/>
          <w:lang w:val="en-GB"/>
        </w:rPr>
        <w:t xml:space="preserve">increased </w:t>
      </w:r>
      <w:r w:rsidR="00F10377">
        <w:rPr>
          <w:rFonts w:asciiTheme="minorHAnsi" w:hAnsiTheme="minorHAnsi" w:cs="Arial"/>
          <w:bCs/>
          <w:sz w:val="24"/>
          <w:szCs w:val="24"/>
          <w:lang w:val="en-GB"/>
        </w:rPr>
        <w:t xml:space="preserve">odds of having </w:t>
      </w:r>
      <w:r w:rsidR="00F10377" w:rsidRPr="0052431D">
        <w:rPr>
          <w:rFonts w:asciiTheme="minorHAnsi" w:hAnsiTheme="minorHAnsi" w:cs="Arial"/>
          <w:bCs/>
          <w:sz w:val="24"/>
          <w:szCs w:val="24"/>
          <w:lang w:val="en-GB"/>
        </w:rPr>
        <w:t xml:space="preserve">HIV </w:t>
      </w:r>
      <w:r w:rsidR="00F10377">
        <w:rPr>
          <w:rFonts w:asciiTheme="minorHAnsi" w:hAnsiTheme="minorHAnsi" w:cs="Arial"/>
          <w:bCs/>
          <w:sz w:val="24"/>
          <w:szCs w:val="24"/>
          <w:lang w:val="en-GB"/>
        </w:rPr>
        <w:t>infection</w:t>
      </w:r>
      <w:r w:rsidR="00F10377" w:rsidRPr="0052431D">
        <w:rPr>
          <w:rFonts w:asciiTheme="minorHAnsi" w:hAnsiTheme="minorHAnsi" w:cs="Arial"/>
          <w:bCs/>
          <w:sz w:val="24"/>
          <w:szCs w:val="24"/>
          <w:lang w:val="en-GB"/>
        </w:rPr>
        <w:t xml:space="preserve">. </w:t>
      </w:r>
      <w:r w:rsidR="00F10377">
        <w:rPr>
          <w:rFonts w:asciiTheme="minorHAnsi" w:hAnsiTheme="minorHAnsi" w:cs="Arial"/>
          <w:bCs/>
          <w:sz w:val="24"/>
          <w:szCs w:val="24"/>
          <w:lang w:val="en-GB"/>
        </w:rPr>
        <w:t xml:space="preserve">HIV was not associated with schistosome infection </w:t>
      </w:r>
      <w:r w:rsidR="00F10377" w:rsidRPr="0052431D">
        <w:rPr>
          <w:rFonts w:asciiTheme="minorHAnsi" w:hAnsiTheme="minorHAnsi" w:cs="Arial"/>
          <w:bCs/>
          <w:sz w:val="24"/>
          <w:szCs w:val="24"/>
          <w:lang w:val="en-GB"/>
        </w:rPr>
        <w:t xml:space="preserve">in a </w:t>
      </w:r>
      <w:r w:rsidR="0089787D">
        <w:rPr>
          <w:rFonts w:asciiTheme="minorHAnsi" w:hAnsiTheme="minorHAnsi" w:cs="Arial"/>
          <w:bCs/>
          <w:sz w:val="24"/>
          <w:szCs w:val="24"/>
          <w:lang w:val="en-GB"/>
        </w:rPr>
        <w:t>combined</w:t>
      </w:r>
      <w:r w:rsidR="0017730C">
        <w:rPr>
          <w:rFonts w:asciiTheme="minorHAnsi" w:hAnsiTheme="minorHAnsi" w:cs="Arial"/>
          <w:bCs/>
          <w:sz w:val="24"/>
          <w:szCs w:val="24"/>
          <w:lang w:val="en-GB"/>
        </w:rPr>
        <w:t xml:space="preserve"> </w:t>
      </w:r>
      <w:r w:rsidR="00F10377" w:rsidRPr="0052431D">
        <w:rPr>
          <w:rFonts w:asciiTheme="minorHAnsi" w:hAnsiTheme="minorHAnsi" w:cs="Arial"/>
          <w:bCs/>
          <w:sz w:val="24"/>
          <w:szCs w:val="24"/>
          <w:lang w:val="en-GB"/>
        </w:rPr>
        <w:t>dataset, and when we examined this separately for men and women alone.</w:t>
      </w:r>
      <w:r w:rsidR="006B025F">
        <w:rPr>
          <w:rFonts w:asciiTheme="minorHAnsi" w:hAnsiTheme="minorHAnsi" w:cs="Arial"/>
          <w:bCs/>
          <w:sz w:val="24"/>
          <w:szCs w:val="24"/>
          <w:lang w:val="en-GB"/>
        </w:rPr>
        <w:t xml:space="preserve"> </w:t>
      </w:r>
    </w:p>
    <w:p w14:paraId="6DDB07D9" w14:textId="77777777" w:rsidR="006B025F" w:rsidRPr="0052431D" w:rsidRDefault="006B025F" w:rsidP="00C74418">
      <w:pPr>
        <w:spacing w:after="0" w:line="360" w:lineRule="auto"/>
        <w:jc w:val="both"/>
        <w:rPr>
          <w:rFonts w:asciiTheme="minorHAnsi" w:hAnsiTheme="minorHAnsi" w:cs="Arial"/>
          <w:bCs/>
          <w:sz w:val="24"/>
          <w:szCs w:val="24"/>
          <w:lang w:val="en-GB"/>
        </w:rPr>
      </w:pPr>
    </w:p>
    <w:p w14:paraId="0A57A9DC" w14:textId="77777777" w:rsidR="009D46C6" w:rsidRPr="00C5572F" w:rsidRDefault="006B025F" w:rsidP="00C74418">
      <w:pPr>
        <w:spacing w:after="0" w:line="360" w:lineRule="auto"/>
        <w:jc w:val="both"/>
        <w:rPr>
          <w:rFonts w:asciiTheme="minorHAnsi" w:hAnsiTheme="minorHAnsi" w:cs="Arial"/>
          <w:b/>
          <w:sz w:val="24"/>
          <w:szCs w:val="24"/>
          <w:lang w:val="en-GB"/>
        </w:rPr>
      </w:pPr>
      <w:r w:rsidRPr="00C5572F">
        <w:rPr>
          <w:rFonts w:asciiTheme="minorHAnsi" w:hAnsiTheme="minorHAnsi" w:cs="Arial"/>
          <w:b/>
          <w:sz w:val="24"/>
          <w:szCs w:val="24"/>
          <w:lang w:val="en-GB"/>
        </w:rPr>
        <w:t>Conclusion</w:t>
      </w:r>
      <w:r w:rsidR="009D46C6" w:rsidRPr="00C5572F">
        <w:rPr>
          <w:rFonts w:asciiTheme="minorHAnsi" w:hAnsiTheme="minorHAnsi" w:cs="Arial"/>
          <w:b/>
          <w:sz w:val="24"/>
          <w:szCs w:val="24"/>
          <w:lang w:val="en-GB"/>
        </w:rPr>
        <w:t>s</w:t>
      </w:r>
    </w:p>
    <w:p w14:paraId="4A222AE3" w14:textId="5D87C55C" w:rsidR="006B025F" w:rsidRDefault="006B025F" w:rsidP="00C74418">
      <w:pPr>
        <w:spacing w:after="0" w:line="360" w:lineRule="auto"/>
        <w:jc w:val="both"/>
        <w:rPr>
          <w:rFonts w:asciiTheme="minorHAnsi" w:hAnsiTheme="minorHAnsi" w:cs="Arial"/>
          <w:bCs/>
          <w:sz w:val="24"/>
          <w:szCs w:val="24"/>
          <w:lang w:val="en-GB"/>
        </w:rPr>
      </w:pPr>
      <w:r>
        <w:rPr>
          <w:rFonts w:asciiTheme="minorHAnsi" w:hAnsiTheme="minorHAnsi" w:cs="Arial"/>
          <w:bCs/>
          <w:sz w:val="24"/>
          <w:szCs w:val="24"/>
          <w:lang w:val="en-GB"/>
        </w:rPr>
        <w:t>W</w:t>
      </w:r>
      <w:r w:rsidRPr="0052431D">
        <w:rPr>
          <w:rFonts w:asciiTheme="minorHAnsi" w:hAnsiTheme="minorHAnsi" w:cs="Arial"/>
          <w:bCs/>
          <w:sz w:val="24"/>
          <w:szCs w:val="24"/>
          <w:lang w:val="en-GB"/>
        </w:rPr>
        <w:t xml:space="preserve">e </w:t>
      </w:r>
      <w:r w:rsidR="003C1D80">
        <w:rPr>
          <w:rFonts w:asciiTheme="minorHAnsi" w:hAnsiTheme="minorHAnsi" w:cs="Arial"/>
          <w:bCs/>
          <w:sz w:val="24"/>
          <w:szCs w:val="24"/>
          <w:lang w:val="en-GB"/>
        </w:rPr>
        <w:t xml:space="preserve">observed a </w:t>
      </w:r>
      <w:r w:rsidRPr="0052431D">
        <w:rPr>
          <w:rFonts w:asciiTheme="minorHAnsi" w:hAnsiTheme="minorHAnsi" w:cs="Arial"/>
          <w:bCs/>
          <w:sz w:val="24"/>
          <w:szCs w:val="24"/>
          <w:lang w:val="en-GB"/>
        </w:rPr>
        <w:t xml:space="preserve">high burden of HIV, syphilis, and schistosome infections in </w:t>
      </w:r>
      <w:r w:rsidR="003C1D80">
        <w:rPr>
          <w:rFonts w:asciiTheme="minorHAnsi" w:hAnsiTheme="minorHAnsi" w:cs="Arial"/>
          <w:bCs/>
          <w:sz w:val="24"/>
          <w:szCs w:val="24"/>
          <w:lang w:val="en-GB"/>
        </w:rPr>
        <w:t xml:space="preserve">the </w:t>
      </w:r>
      <w:r w:rsidRPr="0052431D">
        <w:rPr>
          <w:rFonts w:asciiTheme="minorHAnsi" w:hAnsiTheme="minorHAnsi" w:cs="Arial"/>
          <w:bCs/>
          <w:sz w:val="24"/>
          <w:szCs w:val="24"/>
          <w:lang w:val="en-GB"/>
        </w:rPr>
        <w:t xml:space="preserve">fishing communities. Targeted efforts to treat and control infections have the potential to improve health </w:t>
      </w:r>
      <w:r w:rsidR="00011234">
        <w:rPr>
          <w:rFonts w:asciiTheme="minorHAnsi" w:hAnsiTheme="minorHAnsi" w:cs="Arial"/>
          <w:bCs/>
          <w:sz w:val="24"/>
          <w:szCs w:val="24"/>
          <w:lang w:val="en-GB"/>
        </w:rPr>
        <w:t xml:space="preserve">among residents of </w:t>
      </w:r>
      <w:r w:rsidR="0017730C">
        <w:rPr>
          <w:rFonts w:asciiTheme="minorHAnsi" w:hAnsiTheme="minorHAnsi" w:cs="Arial"/>
          <w:bCs/>
          <w:sz w:val="24"/>
          <w:szCs w:val="24"/>
          <w:lang w:val="en-GB"/>
        </w:rPr>
        <w:t>these communities</w:t>
      </w:r>
      <w:r w:rsidRPr="0052431D">
        <w:rPr>
          <w:rFonts w:asciiTheme="minorHAnsi" w:hAnsiTheme="minorHAnsi" w:cs="Arial"/>
          <w:bCs/>
          <w:sz w:val="24"/>
          <w:szCs w:val="24"/>
          <w:lang w:val="en-GB"/>
        </w:rPr>
        <w:t>.</w:t>
      </w:r>
    </w:p>
    <w:p w14:paraId="7BBE2E2D" w14:textId="69A70650" w:rsidR="00931B00" w:rsidRPr="0052431D" w:rsidRDefault="00931B00" w:rsidP="00C74418">
      <w:pPr>
        <w:spacing w:after="160" w:line="360" w:lineRule="auto"/>
        <w:rPr>
          <w:rFonts w:asciiTheme="minorHAnsi" w:hAnsiTheme="minorHAnsi" w:cs="Arial"/>
          <w:b/>
          <w:color w:val="000000" w:themeColor="text1"/>
          <w:sz w:val="24"/>
          <w:szCs w:val="24"/>
          <w:lang w:val="en-GB"/>
        </w:rPr>
      </w:pPr>
      <w:r w:rsidRPr="0052431D">
        <w:rPr>
          <w:rFonts w:asciiTheme="minorHAnsi" w:hAnsiTheme="minorHAnsi" w:cs="Arial"/>
          <w:b/>
          <w:color w:val="000000" w:themeColor="text1"/>
          <w:sz w:val="24"/>
          <w:szCs w:val="24"/>
          <w:lang w:val="en-GB"/>
        </w:rPr>
        <w:t>INTRODUCTION</w:t>
      </w:r>
    </w:p>
    <w:p w14:paraId="3FD02DBB" w14:textId="77777777" w:rsidR="00931B00" w:rsidRPr="0052431D" w:rsidRDefault="00931B00" w:rsidP="00C74418">
      <w:pPr>
        <w:spacing w:after="0" w:line="360" w:lineRule="auto"/>
        <w:jc w:val="both"/>
        <w:rPr>
          <w:rFonts w:asciiTheme="minorHAnsi" w:hAnsiTheme="minorHAnsi" w:cs="Arial"/>
          <w:color w:val="000000" w:themeColor="text1"/>
          <w:sz w:val="24"/>
          <w:szCs w:val="24"/>
          <w:lang w:val="en-GB"/>
        </w:rPr>
      </w:pPr>
    </w:p>
    <w:p w14:paraId="4962E0F0" w14:textId="7B82C4EF" w:rsidR="0078327B" w:rsidRPr="0052431D" w:rsidRDefault="00137E31" w:rsidP="00C74418">
      <w:pPr>
        <w:spacing w:after="0" w:line="360" w:lineRule="auto"/>
        <w:jc w:val="both"/>
        <w:rPr>
          <w:rFonts w:asciiTheme="minorHAnsi" w:hAnsiTheme="minorHAnsi" w:cs="Arial"/>
          <w:color w:val="000000" w:themeColor="text1"/>
          <w:sz w:val="24"/>
          <w:szCs w:val="24"/>
          <w:lang w:val="en-GB"/>
        </w:rPr>
      </w:pPr>
      <w:r w:rsidRPr="0052431D">
        <w:rPr>
          <w:rFonts w:asciiTheme="minorHAnsi" w:hAnsiTheme="minorHAnsi" w:cs="Arial"/>
          <w:color w:val="000000" w:themeColor="text1"/>
          <w:sz w:val="24"/>
          <w:szCs w:val="24"/>
          <w:lang w:val="en-GB"/>
        </w:rPr>
        <w:t>Fishing</w:t>
      </w:r>
      <w:r w:rsidR="00273D56" w:rsidRPr="0052431D">
        <w:rPr>
          <w:rFonts w:asciiTheme="minorHAnsi" w:hAnsiTheme="minorHAnsi" w:cs="Arial"/>
          <w:color w:val="000000" w:themeColor="text1"/>
          <w:sz w:val="24"/>
          <w:szCs w:val="24"/>
          <w:lang w:val="en-GB"/>
        </w:rPr>
        <w:t xml:space="preserve"> communities in</w:t>
      </w:r>
      <w:r w:rsidRPr="0052431D">
        <w:rPr>
          <w:rFonts w:asciiTheme="minorHAnsi" w:hAnsiTheme="minorHAnsi" w:cs="Arial"/>
          <w:color w:val="000000" w:themeColor="text1"/>
          <w:sz w:val="24"/>
          <w:szCs w:val="24"/>
          <w:lang w:val="en-GB"/>
        </w:rPr>
        <w:t xml:space="preserve"> </w:t>
      </w:r>
      <w:r w:rsidR="00273D56" w:rsidRPr="0052431D">
        <w:rPr>
          <w:rFonts w:asciiTheme="minorHAnsi" w:hAnsiTheme="minorHAnsi" w:cs="Arial"/>
          <w:color w:val="000000" w:themeColor="text1"/>
          <w:sz w:val="24"/>
          <w:szCs w:val="24"/>
          <w:lang w:val="en-GB"/>
        </w:rPr>
        <w:t xml:space="preserve">both </w:t>
      </w:r>
      <w:r w:rsidR="0078327B" w:rsidRPr="0052431D">
        <w:rPr>
          <w:rFonts w:asciiTheme="minorHAnsi" w:hAnsiTheme="minorHAnsi" w:cs="Arial"/>
          <w:color w:val="000000" w:themeColor="text1"/>
          <w:sz w:val="24"/>
          <w:szCs w:val="24"/>
          <w:lang w:val="en-GB"/>
        </w:rPr>
        <w:t>Africa and Asia</w:t>
      </w:r>
      <w:r w:rsidR="00315AFC" w:rsidRPr="0052431D">
        <w:rPr>
          <w:rFonts w:asciiTheme="minorHAnsi" w:hAnsiTheme="minorHAnsi" w:cs="Arial"/>
          <w:color w:val="000000" w:themeColor="text1"/>
          <w:sz w:val="24"/>
          <w:szCs w:val="24"/>
          <w:lang w:val="en-GB"/>
        </w:rPr>
        <w:t xml:space="preserve"> have HIV </w:t>
      </w:r>
      <w:r w:rsidR="00A14136" w:rsidRPr="0052431D">
        <w:rPr>
          <w:rFonts w:asciiTheme="minorHAnsi" w:hAnsiTheme="minorHAnsi" w:cs="Arial"/>
          <w:color w:val="000000" w:themeColor="text1"/>
          <w:sz w:val="24"/>
          <w:szCs w:val="24"/>
          <w:lang w:val="en-GB"/>
        </w:rPr>
        <w:t xml:space="preserve">infection </w:t>
      </w:r>
      <w:r w:rsidR="00220A11">
        <w:rPr>
          <w:rFonts w:asciiTheme="minorHAnsi" w:hAnsiTheme="minorHAnsi" w:cs="Arial"/>
          <w:color w:val="000000" w:themeColor="text1"/>
          <w:sz w:val="24"/>
          <w:szCs w:val="24"/>
          <w:lang w:val="en-GB"/>
        </w:rPr>
        <w:t xml:space="preserve">prevalence </w:t>
      </w:r>
      <w:r w:rsidR="00A14136" w:rsidRPr="0052431D">
        <w:rPr>
          <w:rFonts w:asciiTheme="minorHAnsi" w:hAnsiTheme="minorHAnsi" w:cs="Arial"/>
          <w:color w:val="000000" w:themeColor="text1"/>
          <w:sz w:val="24"/>
          <w:szCs w:val="24"/>
          <w:lang w:val="en-GB"/>
        </w:rPr>
        <w:t xml:space="preserve">rates </w:t>
      </w:r>
      <w:r w:rsidR="00315AFC" w:rsidRPr="0052431D">
        <w:rPr>
          <w:rFonts w:asciiTheme="minorHAnsi" w:hAnsiTheme="minorHAnsi" w:cs="Arial"/>
          <w:color w:val="000000" w:themeColor="text1"/>
          <w:sz w:val="24"/>
          <w:szCs w:val="24"/>
          <w:lang w:val="en-GB"/>
        </w:rPr>
        <w:t>4</w:t>
      </w:r>
      <w:r w:rsidR="0052431D">
        <w:rPr>
          <w:rFonts w:asciiTheme="minorHAnsi" w:hAnsiTheme="minorHAnsi" w:cs="Arial"/>
          <w:color w:val="000000" w:themeColor="text1"/>
          <w:sz w:val="24"/>
          <w:szCs w:val="24"/>
          <w:lang w:val="en-GB"/>
        </w:rPr>
        <w:t xml:space="preserve"> to</w:t>
      </w:r>
      <w:r w:rsidR="0089787D">
        <w:rPr>
          <w:rFonts w:asciiTheme="minorHAnsi" w:hAnsiTheme="minorHAnsi" w:cs="Arial"/>
          <w:color w:val="000000" w:themeColor="text1"/>
          <w:sz w:val="24"/>
          <w:szCs w:val="24"/>
          <w:lang w:val="en-GB"/>
        </w:rPr>
        <w:t xml:space="preserve"> </w:t>
      </w:r>
      <w:r w:rsidR="00315AFC" w:rsidRPr="0052431D">
        <w:rPr>
          <w:rFonts w:asciiTheme="minorHAnsi" w:hAnsiTheme="minorHAnsi" w:cs="Arial"/>
          <w:color w:val="000000" w:themeColor="text1"/>
          <w:sz w:val="24"/>
          <w:szCs w:val="24"/>
          <w:lang w:val="en-GB"/>
        </w:rPr>
        <w:t xml:space="preserve">14 times </w:t>
      </w:r>
      <w:r w:rsidR="00A14136" w:rsidRPr="0052431D">
        <w:rPr>
          <w:rFonts w:asciiTheme="minorHAnsi" w:hAnsiTheme="minorHAnsi" w:cs="Arial"/>
          <w:color w:val="000000" w:themeColor="text1"/>
          <w:sz w:val="24"/>
          <w:szCs w:val="24"/>
          <w:lang w:val="en-GB"/>
        </w:rPr>
        <w:t xml:space="preserve">higher than </w:t>
      </w:r>
      <w:r w:rsidR="00315AFC" w:rsidRPr="0052431D">
        <w:rPr>
          <w:rFonts w:asciiTheme="minorHAnsi" w:hAnsiTheme="minorHAnsi" w:cs="Arial"/>
          <w:color w:val="000000" w:themeColor="text1"/>
          <w:sz w:val="24"/>
          <w:szCs w:val="24"/>
          <w:lang w:val="en-GB"/>
        </w:rPr>
        <w:t>the national average</w:t>
      </w:r>
      <w:r w:rsidR="00D0405E" w:rsidRPr="0052431D">
        <w:rPr>
          <w:rFonts w:asciiTheme="minorHAnsi" w:hAnsiTheme="minorHAnsi" w:cs="Arial"/>
          <w:color w:val="000000" w:themeColor="text1"/>
          <w:sz w:val="24"/>
          <w:szCs w:val="24"/>
          <w:lang w:val="en-GB"/>
        </w:rPr>
        <w:t>, indicating that th</w:t>
      </w:r>
      <w:r w:rsidR="00A14136" w:rsidRPr="0052431D">
        <w:rPr>
          <w:rFonts w:asciiTheme="minorHAnsi" w:hAnsiTheme="minorHAnsi" w:cs="Arial"/>
          <w:color w:val="000000" w:themeColor="text1"/>
          <w:sz w:val="24"/>
          <w:szCs w:val="24"/>
          <w:lang w:val="en-GB"/>
        </w:rPr>
        <w:t>is</w:t>
      </w:r>
      <w:r w:rsidR="00D0405E" w:rsidRPr="0052431D">
        <w:rPr>
          <w:rFonts w:asciiTheme="minorHAnsi" w:hAnsiTheme="minorHAnsi" w:cs="Arial"/>
          <w:color w:val="000000" w:themeColor="text1"/>
          <w:sz w:val="24"/>
          <w:szCs w:val="24"/>
          <w:lang w:val="en-GB"/>
        </w:rPr>
        <w:t xml:space="preserve"> epidemic disproportionately affects fishermen, fish traders and others involved in fishing activities</w:t>
      </w:r>
      <w:r w:rsidR="00315AFC" w:rsidRPr="0052431D">
        <w:rPr>
          <w:rFonts w:asciiTheme="minorHAnsi" w:hAnsiTheme="minorHAnsi" w:cs="Arial"/>
          <w:color w:val="000000" w:themeColor="text1"/>
          <w:sz w:val="24"/>
          <w:szCs w:val="24"/>
          <w:lang w:val="en-GB"/>
        </w:rPr>
        <w:t xml:space="preserve"> </w:t>
      </w:r>
      <w:r w:rsidR="00315AFC" w:rsidRPr="0052431D">
        <w:rPr>
          <w:rFonts w:asciiTheme="minorHAnsi" w:hAnsiTheme="minorHAnsi" w:cs="Arial"/>
          <w:color w:val="000000" w:themeColor="text1"/>
          <w:sz w:val="24"/>
          <w:szCs w:val="24"/>
          <w:lang w:val="en-GB"/>
        </w:rPr>
        <w:fldChar w:fldCharType="begin" w:fldLock="1"/>
      </w:r>
      <w:r w:rsidR="007A22FA" w:rsidRPr="0052431D">
        <w:rPr>
          <w:rFonts w:asciiTheme="minorHAnsi" w:hAnsiTheme="minorHAnsi" w:cs="Arial"/>
          <w:color w:val="000000" w:themeColor="text1"/>
          <w:sz w:val="24"/>
          <w:szCs w:val="24"/>
          <w:lang w:val="en-GB"/>
        </w:rPr>
        <w:instrText>ADDIN CSL_CITATION {"citationItems":[{"id":"ITEM-1","itemData":{"DOI":"10.1097/01.aids.0000191925.54679.94","ISSN":"0269-9370","PMID":"16260899","author":[{"dropping-particle":"","family":"Kissling","given":"Esther","non-dropping-particle":"","parse-names":false,"suffix":""},{"dropping-particle":"","family":"Allison","given":"Edward H","non-dropping-particle":"","parse-names":false,"suffix":""},{"dropping-particle":"","family":"Seeley","given":"Janet A","non-dropping-particle":"","parse-names":false,"suffix":""},{"dropping-particle":"","family":"Russell","given":"Steven","non-dropping-particle":"","parse-names":false,"suffix":""},{"dropping-particle":"","family":"Bachmann","given":"Max","non-dropping-particle":"","parse-names":false,"suffix":""},{"dropping-particle":"","family":"Musgrave","given":"Stanley D","non-dropping-particle":"","parse-names":false,"suffix":""},{"dropping-particle":"","family":"Heck","given":"Simon","non-dropping-particle":"","parse-names":false,"suffix":""}],"container-title":"AIDS","id":"ITEM-1","issue":"17","issued":{"date-parts":[["2005","11","18"]]},"page":"1939-46","title":"Fisherfolk are among groups most at risk of HIV: cross-country analysis of prevalence and numbers infected.","type":"article-journal","volume":"19"},"uris":["http://www.mendeley.com/documents/?uuid=be3ec9f0-eaac-3ab7-9352-b32686f1d595"]}],"mendeley":{"formattedCitation":"[1]","plainTextFormattedCitation":"[1]","previouslyFormattedCitation":"[1]"},"properties":{"noteIndex":0},"schema":"https://github.com/citation-style-language/schema/raw/master/csl-citation.json"}</w:instrText>
      </w:r>
      <w:r w:rsidR="00315AFC"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[1]</w:t>
      </w:r>
      <w:r w:rsidR="00315AFC"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D0405E" w:rsidRPr="0052431D">
        <w:rPr>
          <w:rFonts w:asciiTheme="minorHAnsi" w:hAnsiTheme="minorHAnsi" w:cs="Arial"/>
          <w:color w:val="000000" w:themeColor="text1"/>
          <w:sz w:val="24"/>
          <w:szCs w:val="24"/>
          <w:lang w:val="en-GB"/>
        </w:rPr>
        <w:t xml:space="preserve"> R</w:t>
      </w:r>
      <w:r w:rsidR="0078327B" w:rsidRPr="0052431D">
        <w:rPr>
          <w:rFonts w:asciiTheme="minorHAnsi" w:hAnsiTheme="minorHAnsi" w:cs="Arial"/>
          <w:color w:val="000000" w:themeColor="text1"/>
          <w:sz w:val="24"/>
          <w:szCs w:val="24"/>
          <w:lang w:val="en-GB"/>
        </w:rPr>
        <w:t>isk-taking behavio</w:t>
      </w:r>
      <w:r w:rsidR="00FC61FE">
        <w:rPr>
          <w:rFonts w:asciiTheme="minorHAnsi" w:hAnsiTheme="minorHAnsi" w:cs="Arial"/>
          <w:color w:val="000000" w:themeColor="text1"/>
          <w:sz w:val="24"/>
          <w:szCs w:val="24"/>
          <w:lang w:val="en-GB"/>
        </w:rPr>
        <w:t>u</w:t>
      </w:r>
      <w:r w:rsidR="0078327B" w:rsidRPr="0052431D">
        <w:rPr>
          <w:rFonts w:asciiTheme="minorHAnsi" w:hAnsiTheme="minorHAnsi" w:cs="Arial"/>
          <w:color w:val="000000" w:themeColor="text1"/>
          <w:sz w:val="24"/>
          <w:szCs w:val="24"/>
          <w:lang w:val="en-GB"/>
        </w:rPr>
        <w:t>r</w:t>
      </w:r>
      <w:r w:rsidR="00D0405E" w:rsidRPr="0052431D">
        <w:rPr>
          <w:rFonts w:asciiTheme="minorHAnsi" w:hAnsiTheme="minorHAnsi" w:cs="Arial"/>
          <w:color w:val="000000" w:themeColor="text1"/>
          <w:sz w:val="24"/>
          <w:szCs w:val="24"/>
          <w:lang w:val="en-GB"/>
        </w:rPr>
        <w:t xml:space="preserve"> i</w:t>
      </w:r>
      <w:r w:rsidR="002D09DE" w:rsidRPr="0052431D">
        <w:rPr>
          <w:rFonts w:asciiTheme="minorHAnsi" w:hAnsiTheme="minorHAnsi" w:cs="Arial"/>
          <w:color w:val="000000" w:themeColor="text1"/>
          <w:sz w:val="24"/>
          <w:szCs w:val="24"/>
          <w:lang w:val="en-GB"/>
        </w:rPr>
        <w:t>s</w:t>
      </w:r>
      <w:r w:rsidR="00D0405E" w:rsidRPr="0052431D">
        <w:rPr>
          <w:rFonts w:asciiTheme="minorHAnsi" w:hAnsiTheme="minorHAnsi" w:cs="Arial"/>
          <w:color w:val="000000" w:themeColor="text1"/>
          <w:sz w:val="24"/>
          <w:szCs w:val="24"/>
          <w:lang w:val="en-GB"/>
        </w:rPr>
        <w:t xml:space="preserve"> common in these population groups</w:t>
      </w:r>
      <w:r w:rsidR="00A14136" w:rsidRPr="0052431D">
        <w:rPr>
          <w:rFonts w:asciiTheme="minorHAnsi" w:hAnsiTheme="minorHAnsi" w:cs="Arial"/>
          <w:color w:val="000000" w:themeColor="text1"/>
          <w:sz w:val="24"/>
          <w:szCs w:val="24"/>
          <w:lang w:val="en-GB"/>
        </w:rPr>
        <w:t xml:space="preserve">. </w:t>
      </w:r>
      <w:r w:rsidR="00EE5138" w:rsidRPr="00EE5138">
        <w:rPr>
          <w:sz w:val="24"/>
          <w:szCs w:val="24"/>
        </w:rPr>
        <w:t>Previous research has shown that transactional sex is common, and residents frequently report multiple sex partners</w:t>
      </w:r>
      <w:r w:rsidR="0089787D">
        <w:rPr>
          <w:sz w:val="24"/>
          <w:szCs w:val="24"/>
        </w:rPr>
        <w:t xml:space="preserve"> </w:t>
      </w:r>
      <w:r w:rsidR="007405D2" w:rsidRPr="0052431D">
        <w:rPr>
          <w:rFonts w:asciiTheme="minorHAnsi" w:hAnsiTheme="minorHAnsi" w:cs="Arial"/>
          <w:color w:val="000000" w:themeColor="text1"/>
          <w:sz w:val="24"/>
          <w:szCs w:val="24"/>
          <w:lang w:val="en-GB"/>
        </w:rPr>
        <w:fldChar w:fldCharType="begin" w:fldLock="1"/>
      </w:r>
      <w:r w:rsidR="007A22FA" w:rsidRPr="0052431D">
        <w:rPr>
          <w:rFonts w:asciiTheme="minorHAnsi" w:hAnsiTheme="minorHAnsi" w:cs="Arial"/>
          <w:color w:val="000000" w:themeColor="text1"/>
          <w:sz w:val="24"/>
          <w:szCs w:val="24"/>
          <w:lang w:val="en-GB"/>
        </w:rPr>
        <w:instrText>ADDIN CSL_CITATION {"citationItems":[{"id":"ITEM-1","itemData":{"DOI":"10.1080/09540121.2013.824541","ISSN":"0954-0121","PMID":"23941609","abstract":"With HIV prevalence levels up to 30%, fishermen as a group have a comparable prevalence to at-risk populations such as female sex workers (FSWs), truck drivers, military personnel, and prisoners. This study examines sexual risk behavior among fishermen, primarily in Africa and Asia. A meta-analysis embedded within a systematic review is utilized for this study. This study included 44 peer-reviewed articles and gray literature from 1992 to 2012. The study found that 42% of fishermen engaged in transactional sex, 48% of whom reported not using a condom with FSWs. Ninety percent of the fishermen reported having partners outside of their regular partner, but only 7% reported using a condom with their regular partner. Mobility, peer norms, and alcohol were found to be contextual risks for HIV infection. The findings have important implications for HIV prevention, targeting fishermen, and their sexual networks. Prevention strategies are needed to address HIV risk among this population.","author":[{"dropping-particle":"","family":"Smolak","given":"Alex","non-dropping-particle":"","parse-names":false,"suffix":""}],"container-title":"AIDS Care","id":"ITEM-1","issue":"3","issued":{"date-parts":[["2014","3","4"]]},"page":"282-291","title":"A meta-analysis and systematic review of HIV risk behavior among fishermen","type":"article-journal","volume":"26"},"uris":["http://www.mendeley.com/documents/?uuid=3fb35e93-3444-3a59-b1d4-17bebb27f4d0"]}],"mendeley":{"formattedCitation":"[2]","plainTextFormattedCitation":"[2]","previouslyFormattedCitation":"[2]"},"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[2]</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EE5138">
        <w:rPr>
          <w:rFonts w:asciiTheme="minorHAnsi" w:hAnsiTheme="minorHAnsi" w:cs="Arial"/>
          <w:color w:val="000000" w:themeColor="text1"/>
          <w:sz w:val="24"/>
          <w:szCs w:val="24"/>
          <w:lang w:val="en-GB"/>
        </w:rPr>
        <w:t xml:space="preserve"> </w:t>
      </w:r>
      <w:r w:rsidR="0046019D" w:rsidRPr="0052431D">
        <w:rPr>
          <w:rFonts w:asciiTheme="minorHAnsi" w:hAnsiTheme="minorHAnsi" w:cs="Arial"/>
          <w:color w:val="000000" w:themeColor="text1"/>
          <w:sz w:val="24"/>
          <w:szCs w:val="24"/>
          <w:lang w:val="en-GB"/>
        </w:rPr>
        <w:t xml:space="preserve">HIV </w:t>
      </w:r>
      <w:r w:rsidR="00FC61FE">
        <w:rPr>
          <w:rFonts w:asciiTheme="minorHAnsi" w:hAnsiTheme="minorHAnsi" w:cs="Arial"/>
          <w:color w:val="000000" w:themeColor="text1"/>
          <w:sz w:val="24"/>
          <w:szCs w:val="24"/>
          <w:lang w:val="en-GB"/>
        </w:rPr>
        <w:t xml:space="preserve">infection </w:t>
      </w:r>
      <w:r w:rsidR="0046019D" w:rsidRPr="0052431D">
        <w:rPr>
          <w:rFonts w:asciiTheme="minorHAnsi" w:hAnsiTheme="minorHAnsi" w:cs="Arial"/>
          <w:color w:val="000000" w:themeColor="text1"/>
          <w:sz w:val="24"/>
          <w:szCs w:val="24"/>
          <w:lang w:val="en-GB"/>
        </w:rPr>
        <w:t>risk</w:t>
      </w:r>
      <w:r w:rsidR="005246D2" w:rsidRPr="0052431D">
        <w:rPr>
          <w:rFonts w:asciiTheme="minorHAnsi" w:hAnsiTheme="minorHAnsi" w:cs="Arial"/>
          <w:color w:val="000000" w:themeColor="text1"/>
          <w:sz w:val="24"/>
          <w:szCs w:val="24"/>
          <w:lang w:val="en-GB"/>
        </w:rPr>
        <w:t xml:space="preserve"> is exa</w:t>
      </w:r>
      <w:r w:rsidR="00B20B03" w:rsidRPr="0052431D">
        <w:rPr>
          <w:rFonts w:asciiTheme="minorHAnsi" w:hAnsiTheme="minorHAnsi" w:cs="Arial"/>
          <w:color w:val="000000" w:themeColor="text1"/>
          <w:sz w:val="24"/>
          <w:szCs w:val="24"/>
          <w:lang w:val="en-GB"/>
        </w:rPr>
        <w:t xml:space="preserve">cerbated by </w:t>
      </w:r>
      <w:r w:rsidR="007633A1" w:rsidRPr="0052431D">
        <w:rPr>
          <w:rFonts w:asciiTheme="minorHAnsi" w:hAnsiTheme="minorHAnsi" w:cs="Arial"/>
          <w:color w:val="000000" w:themeColor="text1"/>
          <w:sz w:val="24"/>
          <w:szCs w:val="24"/>
          <w:lang w:val="en-GB"/>
        </w:rPr>
        <w:t xml:space="preserve">a range of individual and structural factors, including </w:t>
      </w:r>
      <w:r w:rsidR="005E4B11">
        <w:rPr>
          <w:rFonts w:asciiTheme="minorHAnsi" w:hAnsiTheme="minorHAnsi" w:cs="Arial"/>
          <w:color w:val="000000" w:themeColor="text1"/>
          <w:sz w:val="24"/>
          <w:szCs w:val="24"/>
          <w:lang w:val="en-GB"/>
        </w:rPr>
        <w:t xml:space="preserve">a high </w:t>
      </w:r>
      <w:r w:rsidR="00B20B03" w:rsidRPr="0052431D">
        <w:rPr>
          <w:rFonts w:asciiTheme="minorHAnsi" w:hAnsiTheme="minorHAnsi" w:cs="Arial"/>
          <w:color w:val="000000" w:themeColor="text1"/>
          <w:sz w:val="24"/>
          <w:szCs w:val="24"/>
          <w:lang w:val="en-GB"/>
        </w:rPr>
        <w:t>mobility</w:t>
      </w:r>
      <w:r w:rsidR="005E4B11">
        <w:rPr>
          <w:rFonts w:asciiTheme="minorHAnsi" w:hAnsiTheme="minorHAnsi" w:cs="Arial"/>
          <w:color w:val="000000" w:themeColor="text1"/>
          <w:sz w:val="24"/>
          <w:szCs w:val="24"/>
          <w:lang w:val="en-GB"/>
        </w:rPr>
        <w:t xml:space="preserve"> among fishermen</w:t>
      </w:r>
      <w:r w:rsidR="00B20B03" w:rsidRPr="0052431D">
        <w:rPr>
          <w:rFonts w:asciiTheme="minorHAnsi" w:hAnsiTheme="minorHAnsi" w:cs="Arial"/>
          <w:color w:val="000000" w:themeColor="text1"/>
          <w:sz w:val="24"/>
          <w:szCs w:val="24"/>
          <w:lang w:val="en-GB"/>
        </w:rPr>
        <w:t>, whose occupation</w:t>
      </w:r>
      <w:r w:rsidR="00FA3F81" w:rsidRPr="0052431D">
        <w:rPr>
          <w:rFonts w:asciiTheme="minorHAnsi" w:hAnsiTheme="minorHAnsi" w:cs="Arial"/>
          <w:color w:val="000000" w:themeColor="text1"/>
          <w:sz w:val="24"/>
          <w:szCs w:val="24"/>
          <w:lang w:val="en-GB"/>
        </w:rPr>
        <w:t xml:space="preserve"> </w:t>
      </w:r>
      <w:r w:rsidR="00A14136" w:rsidRPr="0052431D">
        <w:rPr>
          <w:rFonts w:asciiTheme="minorHAnsi" w:hAnsiTheme="minorHAnsi" w:cs="Arial"/>
          <w:color w:val="000000" w:themeColor="text1"/>
          <w:sz w:val="24"/>
          <w:szCs w:val="24"/>
          <w:lang w:val="en-GB"/>
        </w:rPr>
        <w:t xml:space="preserve">often </w:t>
      </w:r>
      <w:r w:rsidR="00FA3F81" w:rsidRPr="0052431D">
        <w:rPr>
          <w:rFonts w:asciiTheme="minorHAnsi" w:hAnsiTheme="minorHAnsi" w:cs="Arial"/>
          <w:color w:val="000000" w:themeColor="text1"/>
          <w:sz w:val="24"/>
          <w:szCs w:val="24"/>
          <w:lang w:val="en-GB"/>
        </w:rPr>
        <w:t>requires living away from</w:t>
      </w:r>
      <w:r w:rsidR="007633A1" w:rsidRPr="0052431D">
        <w:rPr>
          <w:rFonts w:asciiTheme="minorHAnsi" w:hAnsiTheme="minorHAnsi" w:cs="Arial"/>
          <w:color w:val="000000" w:themeColor="text1"/>
          <w:sz w:val="24"/>
          <w:szCs w:val="24"/>
          <w:lang w:val="en-GB"/>
        </w:rPr>
        <w:t xml:space="preserve"> their</w:t>
      </w:r>
      <w:r w:rsidR="0046019D" w:rsidRPr="0052431D">
        <w:rPr>
          <w:rFonts w:asciiTheme="minorHAnsi" w:hAnsiTheme="minorHAnsi" w:cs="Arial"/>
          <w:color w:val="000000" w:themeColor="text1"/>
          <w:sz w:val="24"/>
          <w:szCs w:val="24"/>
          <w:lang w:val="en-GB"/>
        </w:rPr>
        <w:t xml:space="preserve"> families</w:t>
      </w:r>
      <w:r w:rsidR="00FA3F81" w:rsidRPr="0052431D">
        <w:rPr>
          <w:rFonts w:asciiTheme="minorHAnsi" w:hAnsiTheme="minorHAnsi" w:cs="Arial"/>
          <w:color w:val="000000" w:themeColor="text1"/>
          <w:sz w:val="24"/>
          <w:szCs w:val="24"/>
          <w:lang w:val="en-GB"/>
        </w:rPr>
        <w:t>,</w:t>
      </w:r>
      <w:r w:rsidR="0046019D" w:rsidRPr="0052431D">
        <w:rPr>
          <w:rFonts w:asciiTheme="minorHAnsi" w:hAnsiTheme="minorHAnsi" w:cs="Arial"/>
          <w:color w:val="000000" w:themeColor="text1"/>
          <w:sz w:val="24"/>
          <w:szCs w:val="24"/>
          <w:lang w:val="en-GB"/>
        </w:rPr>
        <w:t xml:space="preserve"> and </w:t>
      </w:r>
      <w:r w:rsidR="007E3EEF" w:rsidRPr="0052431D">
        <w:rPr>
          <w:rFonts w:asciiTheme="minorHAnsi" w:hAnsiTheme="minorHAnsi" w:cs="Arial"/>
          <w:color w:val="000000" w:themeColor="text1"/>
          <w:sz w:val="24"/>
          <w:szCs w:val="24"/>
          <w:lang w:val="en-GB"/>
        </w:rPr>
        <w:t xml:space="preserve">by peer norms </w:t>
      </w:r>
      <w:r w:rsidR="00A14136" w:rsidRPr="0052431D">
        <w:rPr>
          <w:rFonts w:asciiTheme="minorHAnsi" w:hAnsiTheme="minorHAnsi" w:cs="Arial"/>
          <w:color w:val="000000" w:themeColor="text1"/>
          <w:sz w:val="24"/>
          <w:szCs w:val="24"/>
          <w:lang w:val="en-GB"/>
        </w:rPr>
        <w:t xml:space="preserve">which frequently </w:t>
      </w:r>
      <w:r w:rsidR="007E3EEF" w:rsidRPr="0052431D">
        <w:rPr>
          <w:rFonts w:asciiTheme="minorHAnsi" w:hAnsiTheme="minorHAnsi" w:cs="Arial"/>
          <w:color w:val="000000" w:themeColor="text1"/>
          <w:sz w:val="24"/>
          <w:szCs w:val="24"/>
          <w:lang w:val="en-GB"/>
        </w:rPr>
        <w:t>include</w:t>
      </w:r>
      <w:r w:rsidR="005246D2" w:rsidRPr="0052431D">
        <w:rPr>
          <w:rFonts w:asciiTheme="minorHAnsi" w:hAnsiTheme="minorHAnsi" w:cs="Arial"/>
          <w:color w:val="000000" w:themeColor="text1"/>
          <w:sz w:val="24"/>
          <w:szCs w:val="24"/>
          <w:lang w:val="en-GB"/>
        </w:rPr>
        <w:t xml:space="preserve"> alcohol use</w:t>
      </w:r>
      <w:r w:rsidR="007E3EEF" w:rsidRPr="0052431D">
        <w:rPr>
          <w:rFonts w:asciiTheme="minorHAnsi" w:hAnsiTheme="minorHAnsi" w:cs="Arial"/>
          <w:color w:val="000000" w:themeColor="text1"/>
          <w:sz w:val="24"/>
          <w:szCs w:val="24"/>
          <w:lang w:val="en-GB"/>
        </w:rPr>
        <w:t xml:space="preserve"> and </w:t>
      </w:r>
      <w:r w:rsidR="00A14136" w:rsidRPr="0052431D">
        <w:rPr>
          <w:rFonts w:asciiTheme="minorHAnsi" w:hAnsiTheme="minorHAnsi" w:cs="Arial"/>
          <w:color w:val="000000" w:themeColor="text1"/>
          <w:sz w:val="24"/>
          <w:szCs w:val="24"/>
          <w:lang w:val="en-GB"/>
        </w:rPr>
        <w:t xml:space="preserve">other </w:t>
      </w:r>
      <w:r w:rsidR="007E3EEF" w:rsidRPr="0052431D">
        <w:rPr>
          <w:rFonts w:asciiTheme="minorHAnsi" w:hAnsiTheme="minorHAnsi" w:cs="Arial"/>
          <w:color w:val="000000" w:themeColor="text1"/>
          <w:sz w:val="24"/>
          <w:szCs w:val="24"/>
          <w:lang w:val="en-GB"/>
        </w:rPr>
        <w:t>risk-taking</w:t>
      </w:r>
      <w:r w:rsidR="00A14136" w:rsidRPr="0052431D">
        <w:rPr>
          <w:rFonts w:asciiTheme="minorHAnsi" w:hAnsiTheme="minorHAnsi" w:cs="Arial"/>
          <w:color w:val="000000" w:themeColor="text1"/>
          <w:sz w:val="24"/>
          <w:szCs w:val="24"/>
          <w:lang w:val="en-GB"/>
        </w:rPr>
        <w:t xml:space="preserve"> behavio</w:t>
      </w:r>
      <w:r w:rsidR="005E4B11">
        <w:rPr>
          <w:rFonts w:asciiTheme="minorHAnsi" w:hAnsiTheme="minorHAnsi" w:cs="Arial"/>
          <w:color w:val="000000" w:themeColor="text1"/>
          <w:sz w:val="24"/>
          <w:szCs w:val="24"/>
          <w:lang w:val="en-GB"/>
        </w:rPr>
        <w:t>u</w:t>
      </w:r>
      <w:r w:rsidR="00A14136" w:rsidRPr="0052431D">
        <w:rPr>
          <w:rFonts w:asciiTheme="minorHAnsi" w:hAnsiTheme="minorHAnsi" w:cs="Arial"/>
          <w:color w:val="000000" w:themeColor="text1"/>
          <w:sz w:val="24"/>
          <w:szCs w:val="24"/>
          <w:lang w:val="en-GB"/>
        </w:rPr>
        <w:t>rs</w:t>
      </w:r>
      <w:r w:rsidR="007405D2" w:rsidRPr="0052431D">
        <w:rPr>
          <w:rFonts w:asciiTheme="minorHAnsi" w:hAnsiTheme="minorHAnsi" w:cs="Arial"/>
          <w:color w:val="000000" w:themeColor="text1"/>
          <w:sz w:val="24"/>
          <w:szCs w:val="24"/>
          <w:lang w:val="en-GB"/>
        </w:rPr>
        <w:t xml:space="preserve"> </w:t>
      </w:r>
      <w:r w:rsidR="007405D2"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10.1097/01.aids.0000191925.54679.94","ISSN":"0269-9370","PMID":"16260899","author":[{"dropping-particle":"","family":"Kissling","given":"Esther","non-dropping-particle":"","parse-names":false,"suffix":""},{"dropping-particle":"","family":"Allison","given":"Edward H","non-dropping-particle":"","parse-names":false,"suffix":""},{"dropping-particle":"","family":"Seeley","given":"Janet A","non-dropping-particle":"","parse-names":false,"suffix":""},{"dropping-particle":"","family":"Russell","given":"Steven","non-dropping-particle":"","parse-names":false,"suffix":""},{"dropping-particle":"","family":"Bachmann","given":"Max","non-dropping-particle":"","parse-names":false,"suffix":""},{"dropping-particle":"","family":"Musgrave","given":"Stanley D","non-dropping-particle":"","parse-names":false,"suffix":""},{"dropping-particle":"","family":"Heck","given":"Simon","non-dropping-particle":"","parse-names":false,"suffix":""}],"container-title":"AIDS","id":"ITEM-1","issue":"17","issued":{"date-parts":[["2005","11","18"]]},"page":"1939-46","title":"Fisherfolk are among groups most at risk of HIV: cross-country analysis of prevalence and numbers infected.","type":"article-journal","volume":"19"},"uris":["http://www.mendeley.com/documents/?uuid=be3ec9f0-eaac-3ab7-9352-b32686f1d595"]},{"id":"ITEM-2","itemData":{"DOI":"10.1080/09540121.2013.824541","ISSN":"0954-0121","PMID":"23941609","abstract":"With HIV prevalence levels up to 30%, fishermen as a group have a comparable prevalence to at-risk populations such as female sex workers (FSWs), truck drivers, military personnel, and prisoners. This study examines sexual risk behavior among fishermen, primarily in Africa and Asia. A meta-analysis embedded within a systematic review is utilized for this study. This study included 44 peer-reviewed articles and gray literature from 1992 to 2012. The study found that 42% of fishermen engaged in transactional sex, 48% of whom reported not using a condom with FSWs. Ninety percent of the fishermen reported having partners outside of their regular partner, but only 7% reported using a condom with their regular partner. Mobility, peer norms, and alcohol were found to be contextual risks for HIV infection. The findings have important implications for HIV prevention, targeting fishermen, and their sexual networks. Prevention strategies are needed to address HIV risk among this population.","author":[{"dropping-particle":"","family":"Smolak","given":"Alex","non-dropping-particle":"","parse-names":false,"suffix":""}],"container-title":"AIDS Care","id":"ITEM-2","issue":"3","issued":{"date-parts":[["2014","3","4"]]},"page":"282-291","title":"A meta-analysis and systematic review of HIV risk behavior among fishermen","type":"article-journal","volume":"26"},"uris":["http://www.mendeley.com/documents/?uuid=3fb35e93-3444-3a59-b1d4-17bebb27f4d0"]},{"id":"ITEM-3","itemData":{"DOI":"10.1007/s10461-015-1077-z","ISSN":"1573-3254","PMID":"25921303","abstract":"In Uganda, elevated HIV prevalence in fishing communities along Lake Victoria have been attributed in part to heavy alcohol use, but qualitative research is needed to understand the contextual factors influencing alcohol and sexual risk. Eight focus group discussions were conducted (n = 50; 23 male, 27 female) in Gerenge, Uganda with five occupational groups: fishermen, fishmongers, alcohol-sellers, commercial sex workers, and restaurant owners. Data was analyzed using content analysis. Alcohol use was prevalent and said to influence risky sex. Sex-related alcohol expectancies and occupational factors influenced individuals to drink during sex and structural factors related to the built environment, economy, and policy were identified as key contributors to both alcohol use and sexual risk in general. The findings highlight alcohol reduction as an important component of HIV/AIDS prevention and suggest structural interventions should be prioritized in this context.","author":[{"dropping-particle":"","family":"Sileo","given":"Katelyn M","non-dropping-particle":"","parse-names":false,"suffix":""},{"dropping-particle":"","family":"Kintu","given":"Michael","non-dropping-particle":"","parse-names":false,"suffix":""},{"dropping-particle":"","family":"Chanes-Mora","given":"Paola","non-dropping-particle":"","parse-names":false,"suffix":""},{"dropping-particle":"","family":"Kiene","given":"Susan M","non-dropping-particle":"","parse-names":false,"suffix":""}],"container-title":"AIDS Behav","id":"ITEM-3","issue":"3","issued":{"date-parts":[["2016","3","29"]]},"page":"537-47","title":"&amp;quot;Such Behaviors Are Not in My Home Village, I Got Them Here&amp;quot;: A Qualitative Study of the Influence of Contextual Factors on Alcohol and HIV Risk Behaviors in a Fishing Community on Lake Victoria, Uganda.","type":"article-journal","volume":"20"},"uris":["http://www.mendeley.com/documents/?uuid=d5c407ac-3e9f-337c-a40a-061920bb0364"]}],"mendeley":{"formattedCitation":"[1–3]","plainTextFormattedCitation":"[1–3]","previouslyFormattedCitation":"[1–3]"},"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[1–3]</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5246D2" w:rsidRPr="0052431D">
        <w:rPr>
          <w:rFonts w:asciiTheme="minorHAnsi" w:hAnsiTheme="minorHAnsi" w:cs="Arial"/>
          <w:color w:val="000000" w:themeColor="text1"/>
          <w:sz w:val="24"/>
          <w:szCs w:val="24"/>
          <w:lang w:val="en-GB"/>
        </w:rPr>
        <w:t xml:space="preserve"> </w:t>
      </w:r>
      <w:r w:rsidR="0046019D" w:rsidRPr="0052431D">
        <w:rPr>
          <w:rFonts w:asciiTheme="minorHAnsi" w:hAnsiTheme="minorHAnsi" w:cs="Arial"/>
          <w:color w:val="000000" w:themeColor="text1"/>
          <w:sz w:val="24"/>
          <w:szCs w:val="24"/>
          <w:lang w:val="en-GB"/>
        </w:rPr>
        <w:t xml:space="preserve">Limited access to health care facilities </w:t>
      </w:r>
      <w:r w:rsidR="00FA3F81" w:rsidRPr="0052431D">
        <w:rPr>
          <w:rFonts w:asciiTheme="minorHAnsi" w:hAnsiTheme="minorHAnsi" w:cs="Arial"/>
          <w:color w:val="000000" w:themeColor="text1"/>
          <w:sz w:val="24"/>
          <w:szCs w:val="24"/>
          <w:lang w:val="en-GB"/>
        </w:rPr>
        <w:t xml:space="preserve">and fatalistic attitudes </w:t>
      </w:r>
      <w:r w:rsidR="00315AFC" w:rsidRPr="0052431D">
        <w:rPr>
          <w:rFonts w:asciiTheme="minorHAnsi" w:hAnsiTheme="minorHAnsi" w:cs="Arial"/>
          <w:color w:val="000000" w:themeColor="text1"/>
          <w:sz w:val="24"/>
          <w:szCs w:val="24"/>
          <w:lang w:val="en-GB"/>
        </w:rPr>
        <w:t>towards their risk of death</w:t>
      </w:r>
      <w:r w:rsidR="00E36BD8" w:rsidRPr="0052431D">
        <w:rPr>
          <w:rFonts w:asciiTheme="minorHAnsi" w:hAnsiTheme="minorHAnsi" w:cs="Arial"/>
          <w:color w:val="000000" w:themeColor="text1"/>
          <w:sz w:val="24"/>
          <w:szCs w:val="24"/>
          <w:lang w:val="en-GB"/>
        </w:rPr>
        <w:t>,</w:t>
      </w:r>
      <w:r w:rsidR="00315AFC" w:rsidRPr="0052431D">
        <w:rPr>
          <w:rFonts w:asciiTheme="minorHAnsi" w:hAnsiTheme="minorHAnsi" w:cs="Arial"/>
          <w:color w:val="000000" w:themeColor="text1"/>
          <w:sz w:val="24"/>
          <w:szCs w:val="24"/>
          <w:lang w:val="en-GB"/>
        </w:rPr>
        <w:t xml:space="preserve"> both while fishing and due to acquiring </w:t>
      </w:r>
      <w:r w:rsidR="00FA3F81" w:rsidRPr="0052431D">
        <w:rPr>
          <w:rFonts w:asciiTheme="minorHAnsi" w:hAnsiTheme="minorHAnsi" w:cs="Arial"/>
          <w:color w:val="000000" w:themeColor="text1"/>
          <w:sz w:val="24"/>
          <w:szCs w:val="24"/>
          <w:lang w:val="en-GB"/>
        </w:rPr>
        <w:t>HIV</w:t>
      </w:r>
      <w:r w:rsidR="00E36BD8" w:rsidRPr="0052431D">
        <w:rPr>
          <w:rFonts w:asciiTheme="minorHAnsi" w:hAnsiTheme="minorHAnsi" w:cs="Arial"/>
          <w:color w:val="000000" w:themeColor="text1"/>
          <w:sz w:val="24"/>
          <w:szCs w:val="24"/>
          <w:lang w:val="en-GB"/>
        </w:rPr>
        <w:t>,</w:t>
      </w:r>
      <w:r w:rsidR="00FA3F81" w:rsidRPr="0052431D">
        <w:rPr>
          <w:rFonts w:asciiTheme="minorHAnsi" w:hAnsiTheme="minorHAnsi" w:cs="Arial"/>
          <w:color w:val="000000" w:themeColor="text1"/>
          <w:sz w:val="24"/>
          <w:szCs w:val="24"/>
          <w:lang w:val="en-GB"/>
        </w:rPr>
        <w:t xml:space="preserve"> may also play</w:t>
      </w:r>
      <w:r w:rsidR="00FC5D8D" w:rsidRPr="0052431D">
        <w:rPr>
          <w:rFonts w:asciiTheme="minorHAnsi" w:hAnsiTheme="minorHAnsi" w:cs="Arial"/>
          <w:color w:val="000000" w:themeColor="text1"/>
          <w:sz w:val="24"/>
          <w:szCs w:val="24"/>
          <w:lang w:val="en-GB"/>
        </w:rPr>
        <w:t xml:space="preserve"> a role</w:t>
      </w:r>
      <w:r w:rsidR="00AC3B54" w:rsidRPr="0052431D">
        <w:rPr>
          <w:rFonts w:asciiTheme="minorHAnsi" w:hAnsiTheme="minorHAnsi" w:cs="Arial"/>
          <w:color w:val="000000" w:themeColor="text1"/>
          <w:sz w:val="24"/>
          <w:szCs w:val="24"/>
          <w:lang w:val="en-GB"/>
        </w:rPr>
        <w:t xml:space="preserve"> </w:t>
      </w:r>
      <w:r w:rsidR="00AC3B54"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{"citationItems":[{"id":"ITEM-1","itemData":{"DOI":"10.1080/17290376.2019.1572533","ISSN":"1813-4424","PMID":"30727838","abstract":"HIV fatalism, or the belief that HIV acquisition and mortality is out of one's control, is thought to contribute to HIV risk in fishing populations in East Africa. The objective of this cross-sectional study was to investigate the association between fatalism and sexual risk behaviours (unprotected sex, engagement in transactional sex), beyond the influence of other known HIV risk factors (e.g. food insecurity, mobility), and identify demographic, psychosocial, and structural correlates of HIV fatalism. Ninety-one men and women living in fishing villages on two islands in Lake Victoria, Uganda completed an interviewer-administered questionnaire after testing HIV-positive during home or community-based HIV testing between May and July 2015. Multivariate logistic regression was used to test the association between HIV fatalism and transactional sex and multivariate linear regression was used to identify demographic, psychosocial, and structural correlates of HIV fatalism. HIV fatalism was significantly associated with a greater likelihood of transactional sex (AOR = 3.07, 95% CI = 1.02-9.23, p = 0.04), and structural barriers to HIV care (e.g. distance to clinic) were significantly associated with HIV fatalism (β = 0.26, SE = 0.12, p = 0.04). Our findings highlight HIV fatalism as a contributor to transactional sex in Ugandan fishing communities, and as a product of broader social and contextual factors, suggesting the potential need for structural HIV interventions in this setting.","author":[{"dropping-particle":"","family":"Sileo","given":"Katelyn M","non-dropping-particle":"","parse-names":false,"suffix":""},{"dropping-particle":"","family":"Bogart","given":"Laura M","non-dropping-particle":"","parse-names":false,"suffix":""},{"dropping-particle":"","family":"Wagner","given":"Glenn J","non-dropping-particle":"","parse-names":false,"suffix":""},{"dropping-particle":"","family":"Musoke","given":"William","non-dropping-particle":"","parse-names":false,"suffix":""},{"dropping-particle":"","family":"Naigino","given":"Rose","non-dropping-particle":"","parse-names":false,"suffix":""},{"dropping-particle":"","family":"Mukasa","given":"Barbara","non-dropping-particle":"","parse-names":false,"suffix":""},{"dropping-particle":"","family":"Wanyenze","given":"Rhoda K","non-dropping-particle":"","parse-names":false,"suffix":""}],"container-title":"SAHARA J","id":"ITEM-1","issue":"1","issued":{"date-parts":[["2019","1","1"]]},"page":"1-9","title":"HIV fatalism and engagement in transactional sex among Ugandan fisherfolk living with HIV.","type":"article-journal","volume":"16"},"uris":["http://www.mendeley.com/documents/?uuid=bfba2e9f-4b3d-3f94-b372-b9929f4d1771"]}],"mendeley":{"formattedCitation":"[4]","plainTextFormattedCitation":"[4]","previouslyFormattedCitation":"[4]"},"properties":{"noteIndex":0},"schema":"https://github.com/citation-style-language/schema/raw/master/csl-citation.json"}</w:instrText>
      </w:r>
      <w:r w:rsidR="00AC3B54"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[4]</w:t>
      </w:r>
      <w:r w:rsidR="00AC3B54"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FA3F81" w:rsidRPr="0052431D">
        <w:rPr>
          <w:rFonts w:asciiTheme="minorHAnsi" w:hAnsiTheme="minorHAnsi" w:cs="Arial"/>
          <w:color w:val="000000" w:themeColor="text1"/>
          <w:sz w:val="24"/>
          <w:szCs w:val="24"/>
          <w:lang w:val="en-GB"/>
        </w:rPr>
        <w:t xml:space="preserve"> </w:t>
      </w:r>
      <w:r w:rsidR="00A14136" w:rsidRPr="0052431D">
        <w:rPr>
          <w:rFonts w:asciiTheme="minorHAnsi" w:hAnsiTheme="minorHAnsi" w:cs="Arial"/>
          <w:color w:val="000000" w:themeColor="text1"/>
          <w:sz w:val="24"/>
          <w:szCs w:val="24"/>
          <w:lang w:val="en-GB"/>
        </w:rPr>
        <w:t xml:space="preserve">While studies regarding </w:t>
      </w:r>
      <w:r w:rsidR="005E4B11">
        <w:rPr>
          <w:rFonts w:asciiTheme="minorHAnsi" w:hAnsiTheme="minorHAnsi" w:cs="Arial"/>
          <w:color w:val="000000" w:themeColor="text1"/>
          <w:sz w:val="24"/>
          <w:szCs w:val="24"/>
          <w:lang w:val="en-GB"/>
        </w:rPr>
        <w:t xml:space="preserve">the prevalence of  HIV infection and associated risk behaviours have been reported </w:t>
      </w:r>
      <w:r w:rsidR="00A14136" w:rsidRPr="0052431D">
        <w:rPr>
          <w:rFonts w:asciiTheme="minorHAnsi" w:hAnsiTheme="minorHAnsi" w:cs="Arial"/>
          <w:color w:val="000000" w:themeColor="text1"/>
          <w:sz w:val="24"/>
          <w:szCs w:val="24"/>
          <w:lang w:val="en-GB"/>
        </w:rPr>
        <w:t xml:space="preserve">from </w:t>
      </w:r>
      <w:r w:rsidR="005E4B11">
        <w:rPr>
          <w:rFonts w:asciiTheme="minorHAnsi" w:hAnsiTheme="minorHAnsi" w:cs="Arial"/>
          <w:color w:val="000000" w:themeColor="text1"/>
          <w:sz w:val="24"/>
          <w:szCs w:val="24"/>
          <w:lang w:val="en-GB"/>
        </w:rPr>
        <w:t xml:space="preserve">communities situated on the shores of </w:t>
      </w:r>
      <w:r w:rsidR="00A14136" w:rsidRPr="0052431D">
        <w:rPr>
          <w:rFonts w:asciiTheme="minorHAnsi" w:hAnsiTheme="minorHAnsi" w:cs="Arial"/>
          <w:color w:val="000000" w:themeColor="text1"/>
          <w:sz w:val="24"/>
          <w:szCs w:val="24"/>
          <w:lang w:val="en-GB"/>
        </w:rPr>
        <w:t xml:space="preserve">Uganda and Kenya, data from Tanzania, which comprises </w:t>
      </w:r>
      <w:r w:rsidR="00EE5138">
        <w:rPr>
          <w:rFonts w:asciiTheme="minorHAnsi" w:hAnsiTheme="minorHAnsi" w:cs="Arial"/>
          <w:color w:val="000000" w:themeColor="text1"/>
          <w:sz w:val="24"/>
          <w:szCs w:val="24"/>
          <w:lang w:val="en-GB"/>
        </w:rPr>
        <w:t xml:space="preserve">one of </w:t>
      </w:r>
      <w:r w:rsidR="00A14136" w:rsidRPr="0052431D">
        <w:rPr>
          <w:rFonts w:asciiTheme="minorHAnsi" w:hAnsiTheme="minorHAnsi" w:cs="Arial"/>
          <w:color w:val="000000" w:themeColor="text1"/>
          <w:sz w:val="24"/>
          <w:szCs w:val="24"/>
          <w:lang w:val="en-GB"/>
        </w:rPr>
        <w:t>the largest fishing population in East Africa</w:t>
      </w:r>
      <w:r w:rsidR="0052431D">
        <w:rPr>
          <w:rFonts w:asciiTheme="minorHAnsi" w:hAnsiTheme="minorHAnsi" w:cs="Arial"/>
          <w:color w:val="000000" w:themeColor="text1"/>
          <w:sz w:val="24"/>
          <w:szCs w:val="24"/>
          <w:lang w:val="en-GB"/>
        </w:rPr>
        <w:t>,</w:t>
      </w:r>
      <w:r w:rsidR="00A14136" w:rsidRPr="0052431D">
        <w:rPr>
          <w:rFonts w:asciiTheme="minorHAnsi" w:hAnsiTheme="minorHAnsi" w:cs="Arial"/>
          <w:color w:val="000000" w:themeColor="text1"/>
          <w:sz w:val="24"/>
          <w:szCs w:val="24"/>
          <w:lang w:val="en-GB"/>
        </w:rPr>
        <w:t xml:space="preserve"> are lacking</w:t>
      </w:r>
      <w:r w:rsidR="007405D2" w:rsidRPr="0052431D">
        <w:rPr>
          <w:rFonts w:asciiTheme="minorHAnsi" w:hAnsiTheme="minorHAnsi" w:cs="Arial"/>
          <w:color w:val="000000" w:themeColor="text1"/>
          <w:sz w:val="24"/>
          <w:szCs w:val="24"/>
          <w:lang w:val="en-GB"/>
        </w:rPr>
        <w:t xml:space="preserve"> </w:t>
      </w:r>
      <w:r w:rsidR="007405D2"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10.1136/sti.2010.046805","ISSN":"1368-4973","author":[{"dropping-particle":"","family":"Asiki","given":"G.","non-dropping-particle":"","parse-names":false,"suffix":""},{"dropping-particle":"","family":"Mpendo","given":"J.","non-dropping-particle":"","parse-names":false,"suffix":""},{"dropping-particle":"","family":"Abaasa","given":"A.","non-dropping-particle":"","parse-names":false,"suffix":""},{"dropping-particle":"","family":"Agaba","given":"C.","non-dropping-particle":"","parse-names":false,"suffix":""},{"dropping-particle":"","family":"Nanvubya","given":"A.","non-dropping-particle":"","parse-names":false,"suffix":""},{"dropping-particle":"","family":"Nielsen","given":"L.","non-dropping-particle":"","parse-names":false,"suffix":""},{"dropping-particle":"","family":"Seeley","given":"J.","non-dropping-particle":"","parse-names":false,"suffix":""},{"dropping-particle":"","family":"Kaleebu","given":"P.","non-dropping-particle":"","parse-names":false,"suffix":""},{"dropping-particle":"","family":"Grosskurth","given":"H.","non-dropping-particle":"","parse-names":false,"suffix":""},{"dropping-particle":"","family":"Kamali","given":"A.","non-dropping-particle":"","parse-names":false,"suffix":""}],"container-title":"Sex Transm Infect","id":"ITEM-1","issue":"6","issued":{"date-parts":[["2011","10","1"]]},"page":"511-515","title":"HIV and syphilis prevalence and associated risk factors among fishing communities of Lake Victoria, Uganda","type":"article-journal","volume":"87"},"uris":["http://www.mendeley.com/documents/?uuid=a89bd3ec-d890-3c1f-975e-342240b26d0c"]},{"id":"ITEM-2","itemData":{"DOI":"10.1097/OLQ.0b013e318251555d","ISSN":"0148-5717","author":[{"dropping-particle":"","family":"Seeley","given":"Janet","non-dropping-particle":"","parse-names":false,"suffix":""},{"dropping-particle":"","family":"Nakiyingi-Miiro","given":"Jessica","non-dropping-particle":"","parse-names":false,"suffix":""},{"dropping-particle":"","family":"Kamali","given":"Anatoli","non-dropping-particle":"","parse-names":false,"suffix":""},{"dropping-particle":"","family":"Mpendo","given":"Juliet","non-dropping-particle":"","parse-names":false,"suffix":""},{"dropping-particle":"","family":"Asiki","given":"Gershim","non-dropping-particle":"","parse-names":false,"suffix":""},{"dropping-particle":"","family":"Abaasa","given":"Andrew","non-dropping-particle":"","parse-names":false,"suffix":""},{"dropping-particle":"","family":"Bont","given":"Jan","non-dropping-particle":"De","parse-names":false,"suffix":""},{"dropping-particle":"","family":"Nielsen","given":"Leslie","non-dropping-particle":"","parse-names":false,"suffix":""},{"dropping-particle":"","family":"Kaleebu","given":"Pontiano","non-dropping-particle":"","parse-names":false,"suffix":""}],"container-title":"Sex Transm Dis","id":"ITEM-2","issue":"6","issued":{"date-parts":[["2012","6"]]},"page":"433-439","title":"High HIV Incidence and Socio-Behavioral Risk Patterns in Fishing Communities on the Shores of Lake Victoria, Uganda","type":"article-journal","volume":"39"},"uris":["http://www.mendeley.com/documents/?uuid=c64f92d5-3d4f-34a4-a431-7df318122d45"]},{"id":"ITEM-3","itemData":{"DOI":"10.1186/s12889-017-4166-2","ISSN":"1471-2458","PMID":"28288604","abstract":"BACKGROUND Although fishing communities have a significantly higher HIV prevalence than the general population, there is paucity of data on the burden of HIV and service utilization, particularly among the youth. We assessed the HIV prevalence and utilization of HIV prevention and treatment services among youth in Kasensero fishing community and the neighboring communities. METHOD Data were derived from the Rakai Community Cohort Study (RCCS) surveys conducted between 2013 and 2014. The RCCS is a population-based household survey that collects data annually from individuals aged 15-49 years, resident in 48 communities in Rakai and neighboring districts in Uganda. For this analysis, socio-demographic, behavioral and HIV-related data were obtained for 792 individuals aged 15-24 years. We used logistic regression to conduct bivariate and multivariable analysis to determine the factors that are independently associated with HIV-positive status and their corresponding 95% confidence intervals. Data were analyzed using STATA version 13. RESULTS Overall HIV prevalence was 19.7% (n = 155); higher in Kasensero (n = 141; 25.1%) and Gwanda (n = 8; 11%) than in Kyebe (n = 6; 3.9%), p &lt; 0.001 and among females (n = 112; 26.0%) than males (n = 43; 12.0%), p &lt; 0.001. Uptake of HIV testing was high in both HIV-positive (n = 136; 89.5%) and HIV-negative youth (n = 435; 92%). Consistent condom use was virtually non-existent in HIV-positive youth (n = 1; 0.6%) compared to HIV-negative youth (n = 20; 4.2%). Only 22.4% (n = 34) of the HIV-positive youth were receiving antiretroviral therapy (ART) in 2013-2014; higher in the HIV-positive females (n = 31; 28.4%) than HIV-positive males (n = 03; 6.7%). Slightly more than half of males (n = 134; 53.8%) reported that they were circumcised; the proportion of circumcised youth was higher among HIV-negative males (n = 122; 58%) than HIV-positive males (n = 12; 27.9%). Factors significantly associated with HIV-positive status included living in Kasensero landing site (adjusted Odds Ratio [aOR] = 5.0; 95%CI: 2.22-13.01) and reporting one (aOR = 5.0; 95%CI: 1.33-15.80) or 2+ sexual partners in the past 12 months (aOR = 11.0; 95% CI; 3.04-36.72). CONCLUSION The prevalence of HIV is high especially among young females and in landing site communities than in the peripheral communities. Uptake of HIV prevention and treatment services is very low. There is an urgent need for youth-friendly services in these communities.","author":[{"dropping-particle":"","family":"Mafigiri","given":"Richardson","non-dropping-particle":"","parse-names":false,"suffix":""},{"dropping-particle":"","family":"Matovu","given":"Joseph K. B.","non-dropping-particle":"","parse-names":false,"suffix":""},{"dropping-particle":"","family":"Makumbi","given":"Fredrick Edward","non-dropping-particle":"","parse-names":false,"suffix":""},{"dropping-particle":"","family":"Ndyanabo","given":"Anthony","non-dropping-particle":"","parse-names":false,"suffix":""},{"dropping-particle":"","family":"Nabukalu","given":"Doreen","non-dropping-particle":"","parse-names":false,"suffix":""},{"dropping-particle":"","family":"Sakor","given":"Moses","non-dropping-particle":"","parse-names":false,"suffix":""},{"dropping-particle":"","family":"Kigozi","given":"Godfrey","non-dropping-particle":"","parse-names":false,"suffix":""},{"dropping-particle":"","family":"Nalugoda","given":"Fred","non-dropping-particle":"","parse-names":false,"suffix":""},{"dropping-particle":"","family":"Wanyenze","given":"Rhoda K.","non-dropping-particle":"","parse-names":false,"suffix":""}],"container-title":"BMC Public Health","id":"ITEM-3","issue":"1","issued":{"date-parts":[["2017","12","14"]]},"page":"251","title":"HIV prevalence and uptake of HIV/AIDS services among youths (15–24 Years) in fishing and neighboring communities of Kasensero, Rakai District, South Western Uganda","type":"article-journal","volume":"17"},"uris":["http://www.mendeley.com/documents/?uuid=1ba78f08-77a9-3672-b914-5f1856eb14a4"]},{"id":"ITEM-4","itemData":{"DOI":"10.1371/journal.pone.0214360","ISSN":"1932-6203","PMID":"30908555","abstract":"INTRODUCTION Global efforts to end HIV by 2030 focus on reducing and eventually eliminating new infections in priority populations. Identifying these populations and characterizing their vulnerability factors helps in guiding investment of scarce HIV prevention resources to achieve maximum impact. We sought to establish HIV prevalence, spatial distribution and risk factors for HIV infection in the Kenyan fishing communities of Lake Victoria. METHODS We conducted a cross-sectional survey of 2637 people from all the 308 fish-landing beaches on the Kenyan shore of Lake Victoria. The number of participants enrolled at each beach were weighted based on the size of the beach, determined by the number of functional registered boats. We used simple random sampling to select those to be approached for study participation. Consenting participants were privately interviewed about their socio-economic and demographic characteristics and sexual behavior, and were invited for HIV test using the Kenya rapid HIV testing protocol. We used descriptive statistics and multivariate logistic and linear regression for analysis. RESULTS We found high HIV prevalence of 32% with significant differences between men (29%) and women (38%). Among men, having an HIV negative sexual partner, being circumcised, increasing number of condom protected sex acts in the preceding month, being younger and being a resident of Homa Bay, Kisumu, Siaya and Busia counties compared to Migori County reduced the risk of HIV infection. For women, being married, having more children with the current spouse, having an HIV negative sexual partner and being a resident of Busia compared to Migori County reduced the risk of HIV infection. We also found that longer distance from the beaches to the nearest public health facilities was associated with increasing cumulative HIV prevalence at the beaches. CONCLUSION Fishing communities have high HIV prevalence and may greatly benefit from interventions such as wider ART coverage, couple HIV risk reduction counseling, PrEP use for HIV negative partner at substantial continuous risk, alongside other HIV prevention services that the Kenyan government is currently rolling out. This will additionally require adequate plans to synchronize the provision of these services with the population's routine schedules for all these options to be reasonably accessible to them.","author":[{"dropping-particle":"","family":"Kwena","given":"Zachary A.","non-dropping-particle":"","parse-names":false,"suffix":""},{"dropping-particle":"","family":"Njuguna","given":"Stella W.","non-dropping-particle":"","parse-names":false,"suffix":""},{"dropping-particle":"","family":"Ssetala","given":"Ali","non-dropping-particle":"","parse-names":false,"suffix":""},{"dropping-particle":"","family":"Seeley","given":"Janet","non-dropping-particle":"","parse-names":false,"suffix":""},{"dropping-particle":"","family":"Nielsen","given":"Leslie","non-dropping-particle":"","parse-names":false,"suffix":""},{"dropping-particle":"","family":"Bont","given":"Jan","non-dropping-particle":"De","parse-names":false,"suffix":""},{"dropping-particle":"","family":"Bukusi","given":"Elizabeth A.","non-dropping-particle":"","parse-names":false,"suffix":""},{"dropping-particle":"","family":"Lake Victoria Consortium for Health Research (LVCHR) Team","given":"","non-dropping-particle":"","parse-names":false,"suffix":""}],"container-title":"PloS One","editor":[{"dropping-particle":"","family":"Ciccozzi","given":"Massimo","non-dropping-particle":"","parse-names":false,"suffix":""}],"id":"ITEM-4","issue":"3","issued":{"date-parts":[["2019","3","25"]]},"page":"e0214360","title":"HIV prevalence, spatial distribution and risk factors for HIV infection in the Kenyan fishing communities of Lake Victoria","type":"article-journal","volume":"14"},"uris":["http://www.mendeley.com/documents/?uuid=b430fe27-9fc3-3005-82ea-57c210cbfca9"]}],"mendeley":{"formattedCitation":"[5–8]","plainTextFormattedCitation":"[5–8]","previouslyFormattedCitation":"[5–8]"},"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[5–8]</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p>
    <w:p w14:paraId="79FF7DA2" w14:textId="77777777" w:rsidR="0078327B" w:rsidRPr="0052431D" w:rsidRDefault="0078327B" w:rsidP="00C74418">
      <w:pPr>
        <w:spacing w:after="0" w:line="360" w:lineRule="auto"/>
        <w:jc w:val="both"/>
        <w:rPr>
          <w:rFonts w:asciiTheme="minorHAnsi" w:hAnsiTheme="minorHAnsi" w:cs="Arial"/>
          <w:color w:val="000000" w:themeColor="text1"/>
          <w:sz w:val="24"/>
          <w:szCs w:val="24"/>
          <w:lang w:val="en-GB"/>
        </w:rPr>
      </w:pPr>
    </w:p>
    <w:p w14:paraId="01FAC89F" w14:textId="220C83CC" w:rsidR="0046019D" w:rsidRPr="0052431D" w:rsidRDefault="000461E9" w:rsidP="00C74418">
      <w:pPr>
        <w:spacing w:after="0" w:line="360" w:lineRule="auto"/>
        <w:jc w:val="both"/>
        <w:rPr>
          <w:rFonts w:asciiTheme="minorHAnsi" w:hAnsiTheme="minorHAnsi" w:cs="Arial"/>
          <w:color w:val="000000" w:themeColor="text1"/>
          <w:sz w:val="24"/>
          <w:szCs w:val="24"/>
          <w:lang w:val="en-GB"/>
        </w:rPr>
      </w:pPr>
      <w:r w:rsidRPr="0052431D">
        <w:rPr>
          <w:rFonts w:asciiTheme="minorHAnsi" w:hAnsiTheme="minorHAnsi" w:cs="Arial"/>
          <w:color w:val="000000" w:themeColor="text1"/>
          <w:sz w:val="24"/>
          <w:szCs w:val="24"/>
          <w:lang w:val="en-GB"/>
        </w:rPr>
        <w:t xml:space="preserve">Given the high </w:t>
      </w:r>
      <w:r w:rsidR="00BD49C2" w:rsidRPr="0052431D">
        <w:rPr>
          <w:rFonts w:asciiTheme="minorHAnsi" w:hAnsiTheme="minorHAnsi" w:cs="Arial"/>
          <w:color w:val="000000" w:themeColor="text1"/>
          <w:sz w:val="24"/>
          <w:szCs w:val="24"/>
          <w:lang w:val="en-GB"/>
        </w:rPr>
        <w:t xml:space="preserve">background </w:t>
      </w:r>
      <w:r w:rsidRPr="0052431D">
        <w:rPr>
          <w:rFonts w:asciiTheme="minorHAnsi" w:hAnsiTheme="minorHAnsi" w:cs="Arial"/>
          <w:color w:val="000000" w:themeColor="text1"/>
          <w:sz w:val="24"/>
          <w:szCs w:val="24"/>
          <w:lang w:val="en-GB"/>
        </w:rPr>
        <w:t>prevalenc</w:t>
      </w:r>
      <w:r w:rsidR="006D5EA6" w:rsidRPr="0052431D">
        <w:rPr>
          <w:rFonts w:asciiTheme="minorHAnsi" w:hAnsiTheme="minorHAnsi" w:cs="Arial"/>
          <w:color w:val="000000" w:themeColor="text1"/>
          <w:sz w:val="24"/>
          <w:szCs w:val="24"/>
          <w:lang w:val="en-GB"/>
        </w:rPr>
        <w:t xml:space="preserve">e of HIV </w:t>
      </w:r>
      <w:r w:rsidR="005E4B11">
        <w:rPr>
          <w:rFonts w:asciiTheme="minorHAnsi" w:hAnsiTheme="minorHAnsi" w:cs="Arial"/>
          <w:color w:val="000000" w:themeColor="text1"/>
          <w:sz w:val="24"/>
          <w:szCs w:val="24"/>
          <w:lang w:val="en-GB"/>
        </w:rPr>
        <w:t xml:space="preserve">infection </w:t>
      </w:r>
      <w:r w:rsidR="006D5EA6" w:rsidRPr="0052431D">
        <w:rPr>
          <w:rFonts w:asciiTheme="minorHAnsi" w:hAnsiTheme="minorHAnsi" w:cs="Arial"/>
          <w:color w:val="000000" w:themeColor="text1"/>
          <w:sz w:val="24"/>
          <w:szCs w:val="24"/>
          <w:lang w:val="en-GB"/>
        </w:rPr>
        <w:t>in fishing communities</w:t>
      </w:r>
      <w:r w:rsidR="00FC5D8D" w:rsidRPr="0052431D">
        <w:rPr>
          <w:rFonts w:asciiTheme="minorHAnsi" w:hAnsiTheme="minorHAnsi" w:cs="Arial"/>
          <w:color w:val="000000" w:themeColor="text1"/>
          <w:sz w:val="24"/>
          <w:szCs w:val="24"/>
          <w:lang w:val="en-GB"/>
        </w:rPr>
        <w:t xml:space="preserve"> </w:t>
      </w:r>
      <w:r w:rsidR="00BD49C2" w:rsidRPr="0052431D">
        <w:rPr>
          <w:rFonts w:asciiTheme="minorHAnsi" w:hAnsiTheme="minorHAnsi" w:cs="Arial"/>
          <w:color w:val="000000" w:themeColor="text1"/>
          <w:sz w:val="24"/>
          <w:szCs w:val="24"/>
          <w:lang w:val="en-GB"/>
        </w:rPr>
        <w:t xml:space="preserve">compounded by </w:t>
      </w:r>
      <w:r w:rsidR="00FC5D8D" w:rsidRPr="0052431D">
        <w:rPr>
          <w:rFonts w:asciiTheme="minorHAnsi" w:hAnsiTheme="minorHAnsi" w:cs="Arial"/>
          <w:color w:val="000000" w:themeColor="text1"/>
          <w:sz w:val="24"/>
          <w:szCs w:val="24"/>
          <w:lang w:val="en-GB"/>
        </w:rPr>
        <w:t xml:space="preserve">further spread of HIV when fishermen return home </w:t>
      </w:r>
      <w:r w:rsidR="007405D2" w:rsidRPr="0052431D">
        <w:rPr>
          <w:rFonts w:asciiTheme="minorHAnsi" w:hAnsiTheme="minorHAnsi" w:cs="Arial"/>
          <w:color w:val="000000" w:themeColor="text1"/>
          <w:sz w:val="24"/>
          <w:szCs w:val="24"/>
          <w:lang w:val="en-GB"/>
        </w:rPr>
        <w:fldChar w:fldCharType="begin" w:fldLock="1"/>
      </w:r>
      <w:r w:rsidR="007A22FA" w:rsidRPr="0052431D">
        <w:rPr>
          <w:rFonts w:asciiTheme="minorHAnsi" w:hAnsiTheme="minorHAnsi" w:cs="Arial"/>
          <w:color w:val="000000" w:themeColor="text1"/>
          <w:sz w:val="24"/>
          <w:szCs w:val="24"/>
          <w:lang w:val="en-GB"/>
        </w:rPr>
        <w:instrText>ADDIN CSL_CITATION {"citationItems":[{"id":"ITEM-1","itemData":{"DOI":"10.1080/09540121.2013.824541","ISSN":"0954-0121","PMID":"23941609","abstract":"With HIV prevalence levels up to 30%, fishermen as a group have a comparable prevalence to at-risk populations such as female sex workers (FSWs), truck drivers, military personnel, and prisoners. This study examines sexual risk behavior among fishermen, primarily in Africa and Asia. A meta-analysis embedded within a systematic review is utilized for this study. This study included 44 peer-reviewed articles and gray literature from 1992 to 2012. The study found that 42% of fishermen engaged in transactional sex, 48% of whom reported not using a condom with FSWs. Ninety percent of the fishermen reported having partners outside of their regular partner, but only 7% reported using a condom with their regular partner. Mobility, peer norms, and alcohol were found to be contextual risks for HIV infection. The findings have important implications for HIV prevention, targeting fishermen, and their sexual networks. Prevention strategies are needed to address HIV risk among this population.","author":[{"dropping-particle":"","family":"Smolak","given":"Alex","non-dropping-particle":"","parse-names":false,"suffix":""}],"container-title":"AIDS Care","id":"ITEM-1","issue":"3","issued":{"date-parts":[["2014","3","4"]]},"page":"282-291","title":"A meta-analysis and systematic review of HIV risk behavior among fishermen","type":"article-journal","volume":"26"},"uris":["http://www.mendeley.com/documents/?uuid=3fb35e93-3444-3a59-b1d4-17bebb27f4d0"]}],"mendeley":{"formattedCitation":"[2]","plainTextFormattedCitation":"[2]","previouslyFormattedCitation":"[2]"},"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[2]</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FC5D8D" w:rsidRPr="0052431D">
        <w:rPr>
          <w:rFonts w:asciiTheme="minorHAnsi" w:hAnsiTheme="minorHAnsi" w:cs="Arial"/>
          <w:color w:val="000000" w:themeColor="text1"/>
          <w:sz w:val="24"/>
          <w:szCs w:val="24"/>
          <w:lang w:val="en-GB"/>
        </w:rPr>
        <w:t xml:space="preserve"> efforts to identify</w:t>
      </w:r>
      <w:r w:rsidRPr="0052431D">
        <w:rPr>
          <w:rFonts w:asciiTheme="minorHAnsi" w:hAnsiTheme="minorHAnsi" w:cs="Arial"/>
          <w:color w:val="000000" w:themeColor="text1"/>
          <w:sz w:val="24"/>
          <w:szCs w:val="24"/>
          <w:lang w:val="en-GB"/>
        </w:rPr>
        <w:t xml:space="preserve"> modifia</w:t>
      </w:r>
      <w:r w:rsidR="007D2547" w:rsidRPr="0052431D">
        <w:rPr>
          <w:rFonts w:asciiTheme="minorHAnsi" w:hAnsiTheme="minorHAnsi" w:cs="Arial"/>
          <w:color w:val="000000" w:themeColor="text1"/>
          <w:sz w:val="24"/>
          <w:szCs w:val="24"/>
          <w:lang w:val="en-GB"/>
        </w:rPr>
        <w:t xml:space="preserve">ble factors </w:t>
      </w:r>
      <w:r w:rsidR="005E4B11">
        <w:rPr>
          <w:rFonts w:asciiTheme="minorHAnsi" w:hAnsiTheme="minorHAnsi" w:cs="Arial"/>
          <w:color w:val="000000" w:themeColor="text1"/>
          <w:sz w:val="24"/>
          <w:szCs w:val="24"/>
          <w:lang w:val="en-GB"/>
        </w:rPr>
        <w:t>associated with</w:t>
      </w:r>
      <w:r w:rsidRPr="0052431D">
        <w:rPr>
          <w:rFonts w:asciiTheme="minorHAnsi" w:hAnsiTheme="minorHAnsi" w:cs="Arial"/>
          <w:color w:val="000000" w:themeColor="text1"/>
          <w:sz w:val="24"/>
          <w:szCs w:val="24"/>
          <w:lang w:val="en-GB"/>
        </w:rPr>
        <w:t xml:space="preserve"> HIV transmission or acquisition</w:t>
      </w:r>
      <w:r w:rsidR="000A5863" w:rsidRPr="0052431D">
        <w:rPr>
          <w:rFonts w:asciiTheme="minorHAnsi" w:hAnsiTheme="minorHAnsi" w:cs="Arial"/>
          <w:color w:val="000000" w:themeColor="text1"/>
          <w:sz w:val="24"/>
          <w:szCs w:val="24"/>
          <w:lang w:val="en-GB"/>
        </w:rPr>
        <w:t xml:space="preserve"> are a major public health priority</w:t>
      </w:r>
      <w:r w:rsidR="00FA3F81" w:rsidRPr="0052431D">
        <w:rPr>
          <w:rFonts w:asciiTheme="minorHAnsi" w:hAnsiTheme="minorHAnsi" w:cs="Arial"/>
          <w:color w:val="000000" w:themeColor="text1"/>
          <w:sz w:val="24"/>
          <w:szCs w:val="24"/>
          <w:lang w:val="en-GB"/>
        </w:rPr>
        <w:t>.</w:t>
      </w:r>
      <w:r w:rsidR="007D2547" w:rsidRPr="0052431D">
        <w:rPr>
          <w:rFonts w:asciiTheme="minorHAnsi" w:hAnsiTheme="minorHAnsi" w:cs="Arial"/>
          <w:color w:val="000000" w:themeColor="text1"/>
          <w:sz w:val="24"/>
          <w:szCs w:val="24"/>
          <w:lang w:val="en-GB"/>
        </w:rPr>
        <w:t xml:space="preserve"> In particular, schistosome infections </w:t>
      </w:r>
      <w:r w:rsidR="00A51BFA" w:rsidRPr="0052431D">
        <w:rPr>
          <w:rFonts w:asciiTheme="minorHAnsi" w:hAnsiTheme="minorHAnsi" w:cs="Arial"/>
          <w:color w:val="000000" w:themeColor="text1"/>
          <w:sz w:val="24"/>
          <w:szCs w:val="24"/>
          <w:lang w:val="en-GB"/>
        </w:rPr>
        <w:t>have been associated with increased risk of HIV acquisition in women in longitudinal studies in Zambia and Tanzania</w:t>
      </w:r>
      <w:r w:rsidR="007405D2" w:rsidRPr="0052431D">
        <w:rPr>
          <w:rFonts w:asciiTheme="minorHAnsi" w:hAnsiTheme="minorHAnsi" w:cs="Arial"/>
          <w:color w:val="000000" w:themeColor="text1"/>
          <w:sz w:val="24"/>
          <w:szCs w:val="24"/>
          <w:lang w:val="en-GB"/>
        </w:rPr>
        <w:t xml:space="preserve"> </w:t>
      </w:r>
      <w:r w:rsidR="007405D2"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{"citationItems":[{"id":"ITEM-1","itemData":{"DOI":"10.1371/journal.pntd.0005968","ISSN":"1935-2735","PMID":"28945756","abstract":"BACKGROUND Schistosomiasis affects 218 million people worldwide, with most infections in Africa. Prevalence studies suggest that people with chronic schistosomiasis may have higher risk of HIV-1 acquisition and impaired ability to control HIV-1 replication once infected. We hypothesized that: (1) pre-existing schistosome infection may increase the odds of HIV-1 acquisition and that the effects may differ between men and women, and (2) individuals with active schistosome infection at the time of HIV-1 acquisition may have impaired immune control of HIV-1, resulting in higher HIV-1 viral loads at HIV-1 seroconversion. METHODOLOGY/PRINCIPAL FINDINGS We conducted a nested case-control study within a large population-based survey of HIV-1 transmission in Tanzania. A population of adults from seven villages was tested for HIV in 2007, 2010, and 2013 and dried blood spots were archived for future studies with participants' consent. Approximately 40% of this population has Schistosoma mansoni infection, and 2% has S. haematobium. We tested for schistosome antigens in the pre- and post-HIV-1-seroconversion blood spots of people who acquired HIV-1. We also tested blood spots of matched controls who did not acquire HIV-1 and calculated the odds that a person with schistosomiasis would become HIV-1-infected compared to these matched controls. Analysis was stratified by gender. We compared 73 HIV-1 seroconverters with 265 controls. Women with schistosome infections had a higher odds of HIV-1 acquisition than those without (adjusted OR = 2.8 [1.2-6.6], p = 0.019). Schistosome-infected men did not have an increased odds of HIV-1 acquisition (adjusted OR = 0.7 [0.3-1.8], p = 0.42). We additionally compared HIV-1 RNA levels in the post-seroconversion blood spots in HIV-1 seroconverters with schistosomiasis versus those without who became HIV-infected in 2010, before antiretroviral therapy was widely available in the region. The median whole blood HIV-1 RNA level in the 15 HIV-1 seroconverters with schistosome infection was significantly higher than in the 22 without schistosomiasis: 4.4 [3.9-4.6] log10 copies/mL versus 3.7 [3.2-4.3], p = 0.017. CONCLUSIONS/SIGNIFICANCE We confirm, in an area with endemic S. mansoni, that pre-existing schistosome infection increases odds of HIV-1 acquisition in women and raises HIV-1 viral load at the time of HIV-1 seroconversion. This is the first study to demonstrate the effect of schistosome infection on HIV-1 susceptibility and viral…","author":[{"dropping-particle":"","family":"Downs","given":"Jennifer A","non-dropping-particle":"","parse-names":false,"suffix":""},{"dropping-particle":"","family":"Dupnik","given":"Kathryn M","non-dropping-particle":"","parse-names":false,"suffix":""},{"dropping-particle":"","family":"Dam","given":"Govert J","non-dropping-particle":"van","parse-names":false,"suffix":""},{"dropping-particle":"","family":"Urassa","given":"Mark","non-dropping-particle":"","parse-names":false,"suffix":""},{"dropping-particle":"","family":"Lutonja","given":"Peter","non-dropping-particle":"","parse-names":false,"suffix":""},{"dropping-particle":"","family":"Kornelis","given":"Dieuwke","non-dropping-particle":"","parse-names":false,"suffix":""},{"dropping-particle":"","family":"Dood","given":"Claudia J","non-dropping-particle":"de","parse-names":false,"suffix":""},{"dropping-particle":"","family":"Hoekstra","given":"Pytsje","non-dropping-particle":"","parse-names":false,"suffix":""},{"dropping-particle":"","family":"Kanjala","given":"Chifundo","non-dropping-particle":"","parse-names":false,"suffix":""},{"dropping-particle":"","family":"Isingo","given":"Raphael","non-dropping-particle":"","parse-names":false,"suffix":""},{"dropping-particle":"","family":"Peck","given":"Robert N","non-dropping-particle":"","parse-names":false,"suffix":""},{"dropping-particle":"","family":"Lee","given":"Myung Hee","non-dropping-particle":"","parse-names":false,"suffix":""},{"dropping-particle":"","family":"Corstjens","given":"Paul L A M","non-dropping-particle":"","parse-names":false,"suffix":""},{"dropping-particle":"","family":"Todd","given":"Jim","non-dropping-particle":"","parse-names":false,"suffix":""},{"dropping-particle":"","family":"Changalucha","given":"John M","non-dropping-particle":"","parse-names":false,"suffix":""},{"dropping-particle":"","family":"Johnson","given":"Warren D","non-dropping-particle":"","parse-names":false,"suffix":""},{"dropping-particle":"","family":"Fitzgerald","given":"Daniel W","non-dropping-particle":"","parse-names":false,"suffix":""}],"container-title":"PLoS Negl Trop Dis","editor":[{"dropping-particle":"","family":"Hsieh","given":"Michael H.","non-dropping-particle":"","parse-names":false,"suffix":""}],"id":"ITEM-1","issue":"9","issued":{"date-parts":[["2017","9","25"]]},"page":"e0005968","title":"Effects of schistosomiasis on susceptibility to HIV-1 infection and HIV-1 viral load at HIV-1 seroconversion: A nested case-control study.","type":"article-journal","volume":"11"},"uris":["http://www.mendeley.com/documents/?uuid=dfb5ab5f-addf-3db0-8dd4-1074c63b3405"]},{"id":"ITEM-2","itemData":{"DOI":"10.1371/journal.pntd.0006902","ISSN":"1935-2735","PMID":"30543654","abstract":"BACKGROUND We examined relationships between schistosome infection, HIV transmission or acquisition, and all-cause death. METHODS We retrospectively tested baseline sera from a heterosexual HIV-discordant couple cohort in Lusaka, Zambia with follow-up from 1994-2012 in a nested case-control design. Schistosome-specific antibody levels were measured by ELISA. Associations between baseline antibody response to schistosome antigens and incident HIV transmission, acquisition, and all-cause death stratified by gender and HIV status were assessed. In a subset of HIV- women and HIV+ men, we performed immunoblots to evaluate associations between Schistosoma haematobium or Schistosoma mansoni infection history and HIV incidence. RESULTS Of 2,145 individuals, 59% had positive baseline schistosome-specific antibody responses. In HIV+ women and men, baseline schistosome-specific antibodies were associated with HIV transmission to partners (adjusted hazard ratio [aHR] = 1.8, p&lt;0.005 and aHR = 1.4, p&lt;0.05, respectively) and death in HIV+ women (aHR = 2.2, p&lt;0.001). In 250 HIV- women, presence of S. haematobium-specific antibodies was associated with increased risk of HIV acquisition (aHR = 1.4, p&lt;0.05). CONCLUSION Schistosome infections were associated with increased transmission of HIV from both sexes, acquisition of HIV in women, and increased progression to death in HIV+ women. Establishing effective prevention and treatment strategies for schistosomiasis, including in urban adults, may reduce HIV incidence and death in HIV+ persons living in endemic areas.","author":[{"dropping-particle":"","family":"Wall","given":"Kristin M.","non-dropping-particle":"","parse-names":false,"suffix":""},{"dropping-particle":"","family":"Kilembe","given":"William","non-dropping-particle":"","parse-names":false,"suffix":""},{"dropping-particle":"","family":"Vwalika","given":"Bellington","non-dropping-particle":"","parse-names":false,"suffix":""},{"dropping-particle":"","family":"Dinh","given":"Cecile","non-dropping-particle":"","parse-names":false,"suffix":""},{"dropping-particle":"","family":"Livingston","given":"Paul","non-dropping-particle":"","parse-names":false,"suffix":""},{"dropping-particle":"","family":"Lee","given":"Yeuk-Mui","non-dropping-particle":"","parse-names":false,"suffix":""},{"dropping-particle":"","family":"Lakhi","given":"Shabir","non-dropping-particle":"","parse-names":false,"suffix":""},{"dropping-particle":"","family":"Boeras","given":"Debi","non-dropping-particle":"","parse-names":false,"suffix":""},{"dropping-particle":"","family":"Naw","given":"Htee Khu","non-dropping-particle":"","parse-names":false,"suffix":""},{"dropping-particle":"","family":"Brill","given":"Ilene","non-dropping-particle":"","parse-names":false,"suffix":""},{"dropping-particle":"","family":"Chomba","given":"Elwyn","non-dropping-particle":"","parse-names":false,"suffix":""},{"dropping-particle":"","family":"Sharkey","given":"Tyronza","non-dropping-particle":"","parse-names":false,"suffix":""},{"dropping-particle":"","family":"Parker","given":"Rachel","non-dropping-particle":"","parse-names":false,"suffix":""},{"dropping-particle":"","family":"Shutes","given":"Erin","non-dropping-particle":"","parse-names":false,"suffix":""},{"dropping-particle":"","family":"Tichacek","given":"Amanda","non-dropping-particle":"","parse-names":false,"suffix":""},{"dropping-particle":"","family":"Secor","given":"W. Evan","non-dropping-particle":"","parse-names":false,"suffix":""},{"dropping-particle":"","family":"Allen","given":"Susan","non-dropping-particle":"","parse-names":false,"suffix":""}],"container-title":"PLoS Negl Trop Dis","editor":[{"dropping-particle":"","family":"Bustinduy","given":"Amaya Lopez","non-dropping-particle":"","parse-names":false,"suffix":""}],"id":"ITEM-2","issue":"12","issued":{"date-parts":[["2018","12","13"]]},"page":"e0006902","title":"Schistosomiasis is associated with incident HIV transmission and death in Zambia","type":"article-journal","volume":"12"},"uris":["http://www.mendeley.com/documents/?uuid=25229fb0-a201-33bb-9059-8a8529b601c4"]}],"mendeley":{"formattedCitation":"[9,10]","plainTextFormattedCitation":"[9,10]","previouslyFormattedCitation":"[9,10]"},"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[9,10]</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315AFC" w:rsidRPr="0052431D">
        <w:rPr>
          <w:rFonts w:asciiTheme="minorHAnsi" w:hAnsiTheme="minorHAnsi" w:cs="Arial"/>
          <w:color w:val="000000" w:themeColor="text1"/>
          <w:sz w:val="24"/>
          <w:szCs w:val="24"/>
          <w:lang w:val="en-GB"/>
        </w:rPr>
        <w:t xml:space="preserve"> In contrast, in Lake Victoria fishing communities where</w:t>
      </w:r>
      <w:r w:rsidR="00A3181B" w:rsidRPr="0052431D">
        <w:rPr>
          <w:rFonts w:asciiTheme="minorHAnsi" w:hAnsiTheme="minorHAnsi" w:cs="Arial"/>
          <w:color w:val="000000" w:themeColor="text1"/>
          <w:sz w:val="24"/>
          <w:szCs w:val="24"/>
          <w:lang w:val="en-GB"/>
        </w:rPr>
        <w:t xml:space="preserve"> only</w:t>
      </w:r>
      <w:r w:rsidR="00315AFC" w:rsidRPr="0052431D">
        <w:rPr>
          <w:rFonts w:asciiTheme="minorHAnsi" w:hAnsiTheme="minorHAnsi" w:cs="Arial"/>
          <w:color w:val="000000" w:themeColor="text1"/>
          <w:sz w:val="24"/>
          <w:szCs w:val="24"/>
          <w:lang w:val="en-GB"/>
        </w:rPr>
        <w:t xml:space="preserve"> </w:t>
      </w:r>
      <w:r w:rsidR="00315AFC" w:rsidRPr="0052431D">
        <w:rPr>
          <w:rFonts w:asciiTheme="minorHAnsi" w:hAnsiTheme="minorHAnsi" w:cs="Arial"/>
          <w:i/>
          <w:color w:val="000000" w:themeColor="text1"/>
          <w:sz w:val="24"/>
          <w:szCs w:val="24"/>
          <w:lang w:val="en-GB"/>
        </w:rPr>
        <w:t xml:space="preserve">S. mansoni </w:t>
      </w:r>
      <w:r w:rsidR="00315AFC" w:rsidRPr="0052431D">
        <w:rPr>
          <w:rFonts w:asciiTheme="minorHAnsi" w:hAnsiTheme="minorHAnsi" w:cs="Arial"/>
          <w:color w:val="000000" w:themeColor="text1"/>
          <w:sz w:val="24"/>
          <w:szCs w:val="24"/>
          <w:lang w:val="en-GB"/>
        </w:rPr>
        <w:t>is hyper-endemic</w:t>
      </w:r>
      <w:r w:rsidR="000A5863" w:rsidRPr="0052431D">
        <w:rPr>
          <w:rFonts w:asciiTheme="minorHAnsi" w:hAnsiTheme="minorHAnsi" w:cs="Arial"/>
          <w:color w:val="000000" w:themeColor="text1"/>
          <w:sz w:val="24"/>
          <w:szCs w:val="24"/>
          <w:lang w:val="en-GB"/>
        </w:rPr>
        <w:t xml:space="preserve">, </w:t>
      </w:r>
      <w:r w:rsidR="00315AFC" w:rsidRPr="0052431D">
        <w:rPr>
          <w:rFonts w:asciiTheme="minorHAnsi" w:hAnsiTheme="minorHAnsi" w:cs="Arial"/>
          <w:color w:val="000000" w:themeColor="text1"/>
          <w:sz w:val="24"/>
          <w:szCs w:val="24"/>
          <w:lang w:val="en-GB"/>
        </w:rPr>
        <w:t xml:space="preserve"> an </w:t>
      </w:r>
      <w:r w:rsidR="000A5863" w:rsidRPr="0052431D">
        <w:rPr>
          <w:rFonts w:asciiTheme="minorHAnsi" w:hAnsiTheme="minorHAnsi" w:cs="Arial"/>
          <w:color w:val="000000" w:themeColor="text1"/>
          <w:sz w:val="24"/>
          <w:szCs w:val="24"/>
          <w:lang w:val="en-GB"/>
        </w:rPr>
        <w:t>association</w:t>
      </w:r>
      <w:r w:rsidR="00A3181B" w:rsidRPr="0052431D">
        <w:rPr>
          <w:rFonts w:asciiTheme="minorHAnsi" w:hAnsiTheme="minorHAnsi" w:cs="Arial"/>
          <w:color w:val="000000" w:themeColor="text1"/>
          <w:sz w:val="24"/>
          <w:szCs w:val="24"/>
          <w:lang w:val="en-GB"/>
        </w:rPr>
        <w:t xml:space="preserve"> between </w:t>
      </w:r>
      <w:r w:rsidR="00A3181B" w:rsidRPr="0052431D">
        <w:rPr>
          <w:rFonts w:asciiTheme="minorHAnsi" w:hAnsiTheme="minorHAnsi" w:cs="Arial"/>
          <w:i/>
          <w:color w:val="000000" w:themeColor="text1"/>
          <w:sz w:val="24"/>
          <w:szCs w:val="24"/>
          <w:lang w:val="en-GB"/>
        </w:rPr>
        <w:t xml:space="preserve">S. mansoni </w:t>
      </w:r>
      <w:r w:rsidR="00A3181B" w:rsidRPr="0052431D">
        <w:rPr>
          <w:rFonts w:asciiTheme="minorHAnsi" w:hAnsiTheme="minorHAnsi" w:cs="Arial"/>
          <w:color w:val="000000" w:themeColor="text1"/>
          <w:sz w:val="24"/>
          <w:szCs w:val="24"/>
          <w:lang w:val="en-GB"/>
        </w:rPr>
        <w:t>and HIV</w:t>
      </w:r>
      <w:r w:rsidR="000A5863" w:rsidRPr="0052431D">
        <w:rPr>
          <w:rFonts w:asciiTheme="minorHAnsi" w:hAnsiTheme="minorHAnsi" w:cs="Arial"/>
          <w:color w:val="000000" w:themeColor="text1"/>
          <w:sz w:val="24"/>
          <w:szCs w:val="24"/>
          <w:lang w:val="en-GB"/>
        </w:rPr>
        <w:t xml:space="preserve"> was found neither in a cross-sectional nor </w:t>
      </w:r>
      <w:r w:rsidR="009C57C7">
        <w:rPr>
          <w:rFonts w:asciiTheme="minorHAnsi" w:hAnsiTheme="minorHAnsi" w:cs="Arial"/>
          <w:color w:val="000000" w:themeColor="text1"/>
          <w:sz w:val="24"/>
          <w:szCs w:val="24"/>
          <w:lang w:val="en-GB"/>
        </w:rPr>
        <w:t xml:space="preserve">in </w:t>
      </w:r>
      <w:r w:rsidR="000A5863" w:rsidRPr="0052431D">
        <w:rPr>
          <w:rFonts w:asciiTheme="minorHAnsi" w:hAnsiTheme="minorHAnsi" w:cs="Arial"/>
          <w:color w:val="000000" w:themeColor="text1"/>
          <w:sz w:val="24"/>
          <w:szCs w:val="24"/>
          <w:lang w:val="en-GB"/>
        </w:rPr>
        <w:t xml:space="preserve">a longitudinal study </w:t>
      </w:r>
      <w:r w:rsidR="007405D2"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{"citationItems":[{"id":"ITEM-1","itemData":{"DOI":"10.1186/s13071-014-0587-2","ISSN":"1756-3305","PMID":"25511298","abstract":"BACKGROUND: Co-infection with S. mansoni and Human Immunodeficiency Virus-1 (HIV-1) has been described in sub-Saharan Africa. However, few community-based studies have been conducted to assess the association between the two diseases. The present study examined whether the infection with HIV-1 is associated with an altered susceptibility to S. mansoni infection by comparing the prevalence and intensity of S. mansoni infection among those infected and not infected with HIV-1. Any influence of HIV-1 associated immunodeficiency on the intensity of S. mansoni infection was also investigated. METHODS: A cross-sectional study was conducted among 1,785 randomly selected adults (aged 21-55 years) in fishing villages of north-western Tanzania. Single stool samples were obtained and examined for S. mansoni eggs using the Kato Katz technique. Finger prick and venous blood samples were collected for HIV-1 screening and CD4(+) cell quantification. Demographic information was collected by questionnaire. RESULTS: Of the 1,785 individuals from whom complete data were obtained, 854 (47.85%, 95% CI; 40.46 - 56.57) were infected with S. mansoni and had a mean intensity of 183.21(95% CI; 165.61-202.70) eggs per gram of faeces (epg). A total of 125 individuals (6.29%, 95% CI 3.59-11.04) were infected with HIV-1 and only 40% (n=50) of them were co-infected with S. mansoni. No differences in prevalence of S. mansoni infection or intensities of infection, as estimated by egg count (epg), were observed between HIV-1 sero-positive individuals and HIV-1 negative individuals. In generalized regression models (adjusted for sex, age, occupation, residence and level of education), being infected with HIV-1 did not increase the risk (APR=1.01, 95%; 0.83-1.21, P=0.93) or intensity (AOR = 0.84, 95% CI; 0.56-1.25, P = 0.33) of S. mansoni infection. Among individuals co-infected with HIV-1 and S. mansoni infection, the intensity of infection (epg) was not associated (P = 0.21) or correlated (P = 0.13) with CD4(+) cell counts. CONCLUSION: Our findings suggest that HIV-1 infection may not have a major effect on S. mansoni infection or on the excretion of eggs from the co-infected individuals. However, further studies are needed to understand the biological interaction between HIV-1 and S. mansoni in a large cohort of co-infected individuals.","author":[{"dropping-particle":"","family":"Mazigo","given":"Humphrey D","non-dropping-particle":"","parse-names":false,"suffix":""},{"dropping-particle":"","family":"Dunne","given":"David W","non-dropping-particle":"","parse-names":false,"suffix":""},{"dropping-particle":"","family":"Wilson","given":"Shona","non-dropping-particle":"","parse-names":false,"suffix":""},{"dropping-particle":"","family":"Kinung'hi","given":"Safari M","non-dropping-particle":"","parse-names":false,"suffix":""},{"dropping-particle":"","family":"Pinot de Moira","given":"Angela","non-dropping-particle":"","parse-names":false,"suffix":""},{"dropping-particle":"","family":"Jones","given":"Frances M","non-dropping-particle":"","parse-names":false,"suffix":""},{"dropping-particle":"","family":"Morona","given":"Domenica","non-dropping-particle":"","parse-names":false,"suffix":""},{"dropping-particle":"","family":"Nuwaha","given":"Fred","non-dropping-particle":"","parse-names":false,"suffix":""}],"container-title":"Parasit Vectors","id":"ITEM-1","issued":{"date-parts":[["2014","1"]]},"page":"587","title":"Co-infection with Schistosoma mansoni and Human Immunodeficiency Virus-1 (HIV-1) among residents of fishing villages of north-western Tanzania.","type":"article-journal","volume":"7"},"uris":["http://www.mendeley.com/documents/?uuid=11a6cd4b-8651-416e-9f32-61883b1c7e4e"]},{"id":"ITEM-2","itemData":{"DOI":"10.1111/tmi.12531","ISSN":"1365-3156","PMID":"25940951","abstract":"OBJECTIVE: It has been suggested that Schistosoma mansoni, which is endemic in African fishing communities, might increase susceptibility to human immunodeficiency virus (HIV) acquisition. If confirmed, this would be of great public health importance in these high HIV-risk communities. This study was undertaken to determine whether S. mansoni infection is a risk factor for HIV infection among the fishing communities of Lake Victoria, Uganda. We conducted a matched case-control study, nested within a prospective HIV incidence cohort, including 50 HIV seroconverters (cases) and 150 controls during 2009-2011. METHODS: S. mansoni infection prior to HIV seroconversion was determined by measuring serum circulating anodic antigen (CAA) in stored serum. HIV testing was carried out using the Determine rapid test and infection confirmed by enzyme-linked immunosorbent assays. RESULTS: About 49% of cases and 52% of controls had S. mansoni infection prior to HIV seroconversion (or at the time of a similar study visit, for controls): odds ratio, adjusting for ethnicity, religion, marital status, education, occupation, frequency of alcohol consumption in previous 3 months, number of sexual partners while drunk, duration of stay in the community, and history of schistosomiasis treatment in the past 2 years was 1.23 (95% CI 0.3-5.7) P = 0.79. S. mansoni infections were chronic (with little change in status between enrolment and HIV seroconversion), and there was no difference in median CAA concentration between cases and controls. CONCLUSIONS: These results do not support the hypothesis that S. mansoni infection promotes HIV acquisition.","author":[{"dropping-particle":"","family":"Ssetaala","given":"Ali","non-dropping-particle":"","parse-names":false,"suffix":""},{"dropping-particle":"","family":"Nakiyingi-Miiro","given":"Jessica","non-dropping-particle":"","parse-names":false,"suffix":""},{"dropping-particle":"","family":"Asiki","given":"Gershim","non-dropping-particle":"","parse-names":false,"suffix":""},{"dropping-particle":"","family":"Kyakuwa","given":"Nassim","non-dropping-particle":"","parse-names":false,"suffix":""},{"dropping-particle":"","family":"Mpendo","given":"Juliet","non-dropping-particle":"","parse-names":false,"suffix":""},{"dropping-particle":"","family":"Dam","given":"Govert J","non-dropping-particle":"Van","parse-names":false,"suffix":""},{"dropping-particle":"","family":"Corstjens","given":"Paul L","non-dropping-particle":"","parse-names":false,"suffix":""},{"dropping-particle":"","family":"Pala","given":"Pietro","non-dropping-particle":"","parse-names":false,"suffix":""},{"dropping-particle":"","family":"Nielsen","given":"Leslie","non-dropping-particle":"","parse-names":false,"suffix":""},{"dropping-particle":"De","family":"Bont","given":"Jan","non-dropping-particle":"","parse-names":false,"suffix":""},{"dropping-particle":"","family":"Pantaleo","given":"Giuseppe","non-dropping-particle":"","parse-names":false,"suffix":""},{"dropping-particle":"","family":"Kiwanuka","given":"Noah","non-dropping-particle":"","parse-names":false,"suffix":""},{"dropping-particle":"","family":"Kaleebu","given":"Pontiano","non-dropping-particle":"","parse-names":false,"suffix":""},{"dropping-particle":"","family":"Kamali","given":"Anatoli","non-dropping-particle":"","parse-names":false,"suffix":""},{"dropping-particle":"","family":"Elliott","given":"Alison M","non-dropping-particle":"","parse-names":false,"suffix":""}],"container-title":"Trop Med Int Health","id":"ITEM-2","issue":"9","issued":{"date-parts":[["2015","9"]]},"page":"1190-1195","title":"Schistosoma mansoni and HIV acquisition in fishing communities of Lake Victoria, Uganda: a nested case-control study.","type":"article-journal","volume":"20"},"uris":["http://www.mendeley.com/documents/?uuid=f1195016-6a9b-46c6-ac76-482732e2fe2d"]}],"mendeley":{"formattedCitation":"[11,12]","plainTextFormattedCitation":"[11,12]","previouslyFormattedCitation":"[11,12]"},"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[11,12]</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3F5D5C" w:rsidRPr="0052431D">
        <w:rPr>
          <w:rFonts w:asciiTheme="minorHAnsi" w:hAnsiTheme="minorHAnsi" w:cs="Arial"/>
          <w:color w:val="000000" w:themeColor="text1"/>
          <w:sz w:val="24"/>
          <w:szCs w:val="24"/>
          <w:lang w:val="en-GB"/>
        </w:rPr>
        <w:t xml:space="preserve"> Interestingly, the longitudinal study in Uganda did find an increased risk of HIV acquisition in individuals who reported </w:t>
      </w:r>
      <w:r w:rsidR="00123748">
        <w:rPr>
          <w:rFonts w:asciiTheme="minorHAnsi" w:hAnsiTheme="minorHAnsi" w:cs="Arial"/>
          <w:color w:val="000000" w:themeColor="text1"/>
          <w:sz w:val="24"/>
          <w:szCs w:val="24"/>
          <w:lang w:val="en-GB"/>
        </w:rPr>
        <w:t>not having been treated</w:t>
      </w:r>
      <w:r w:rsidR="003F5D5C" w:rsidRPr="0052431D">
        <w:rPr>
          <w:rFonts w:asciiTheme="minorHAnsi" w:hAnsiTheme="minorHAnsi" w:cs="Arial"/>
          <w:color w:val="000000" w:themeColor="text1"/>
          <w:sz w:val="24"/>
          <w:szCs w:val="24"/>
          <w:lang w:val="en-GB"/>
        </w:rPr>
        <w:t xml:space="preserve"> for schistosome infections in the past two years</w:t>
      </w:r>
      <w:r w:rsidR="0089787D">
        <w:rPr>
          <w:rFonts w:asciiTheme="minorHAnsi" w:hAnsiTheme="minorHAnsi" w:cs="Arial"/>
          <w:color w:val="000000" w:themeColor="text1"/>
          <w:sz w:val="24"/>
          <w:szCs w:val="24"/>
          <w:lang w:val="en-GB"/>
        </w:rPr>
        <w:t xml:space="preserve"> </w:t>
      </w:r>
      <w:r w:rsidR="007405D2" w:rsidRPr="0052431D">
        <w:rPr>
          <w:rFonts w:asciiTheme="minorHAnsi" w:hAnsiTheme="minorHAnsi" w:cs="Arial"/>
          <w:color w:val="000000" w:themeColor="text1"/>
          <w:sz w:val="24"/>
          <w:szCs w:val="24"/>
          <w:lang w:val="en-GB"/>
        </w:rPr>
        <w:fldChar w:fldCharType="begin" w:fldLock="1"/>
      </w:r>
      <w:r w:rsidR="00315AFC" w:rsidRPr="0052431D">
        <w:rPr>
          <w:rFonts w:asciiTheme="minorHAnsi" w:hAnsiTheme="minorHAnsi" w:cs="Arial"/>
          <w:color w:val="000000" w:themeColor="text1"/>
          <w:sz w:val="24"/>
          <w:szCs w:val="24"/>
          <w:lang w:val="en-GB"/>
        </w:rPr>
        <w:instrText>ADDIN CSL_CITATION {"citationItems":[{"id":"ITEM-1","itemData":{"DOI":"10.1111/tmi.12531","ISSN":"1365-3156","PMID":"25940951","abstract":"OBJECTIVE: It has been suggested that Schistosoma mansoni, which is endemic in African fishing communities, might increase susceptibility to human immunodeficiency virus (HIV) acquisition. If confirmed, this would be of great public health importance in these high HIV-risk communities. This study was undertaken to determine whether S. mansoni infection is a risk factor for HIV infection among the fishing communities of Lake Victoria, Uganda. We conducted a matched case-control study, nested within a prospective HIV incidence cohort, including 50 HIV seroconverters (cases) and 150 controls during 2009-2011. METHODS: S. mansoni infection prior to HIV seroconversion was determined by measuring serum circulating anodic antigen (CAA) in stored serum. HIV testing was carried out using the Determine rapid test and infection confirmed by enzyme-linked immunosorbent assays. RESULTS: About 49% of cases and 52% of controls had S. mansoni infection prior to HIV seroconversion (or at the time of a similar study visit, for controls): odds ratio, adjusting for ethnicity, religion, marital status, education, occupation, frequency of alcohol consumption in previous 3 months, number of sexual partners while drunk, duration of stay in the community, and history of schistosomiasis treatment in the past 2 years was 1.23 (95% CI 0.3-5.7) P = 0.79. S. mansoni infections were chronic (with little change in status between enrolment and HIV seroconversion), and there was no difference in median CAA concentration between cases and controls. CONCLUSIONS: These results do not support the hypothesis that S. mansoni infection promotes HIV acquisition.","author":[{"dropping-particle":"","family":"Ssetaala","given":"Ali","non-dropping-particle":"","parse-names":false,"suffix":""},{"dropping-particle":"","family":"Nakiyingi-Miiro","given":"Jessica","non-dropping-particle":"","parse-names":false,"suffix":""},{"dropping-particle":"","family":"Asiki","given":"Gershim","non-dropping-particle":"","parse-names":false,"suffix":""},{"dropping-particle":"","family":"Kyakuwa","given":"Nassim","non-dropping-particle":"","parse-names":false,"suffix":""},{"dropping-particle":"","family":"Mpendo","given":"Juliet","non-dropping-particle":"","parse-names":false,"suffix":""},{"dropping-particle":"","family":"Dam","given":"Govert J","non-dropping-particle":"Van","parse-names":false,"suffix":""},{"dropping-particle":"","family":"Corstjens","given":"Paul L","non-dropping-particle":"","parse-names":false,"suffix":""},{"dropping-particle":"","family":"Pala","given":"Pietro","non-dropping-particle":"","parse-names":false,"suffix":""},{"dropping-particle":"","family":"Nielsen","given":"Leslie","non-dropping-particle":"","parse-names":false,"suffix":""},{"dropping-particle":"De","family":"Bont","given":"Jan","non-dropping-particle":"","parse-names":false,"suffix":""},{"dropping-particle":"","family":"Pantaleo","given":"Giuseppe","non-dropping-particle":"","parse-names":false,"suffix":""},{"dropping-particle":"","family":"Kiwanuka","given":"Noah","non-dropping-particle":"","parse-names":false,"suffix":""},{"dropping-particle":"","family":"Kaleebu","given":"Pontiano","non-dropping-particle":"","parse-names":false,"suffix":""},{"dropping-particle":"","family":"Kamali","given":"Anatoli","non-dropping-particle":"","parse-names":false,"suffix":""},{"dropping-particle":"","family":"Elliott","given":"Alison M","non-dropping-particle":"","parse-names":false,"suffix":""}],"container-title":"Trop Med Int Health","id":"ITEM-1","issue":"9","issued":{"date-parts":[["2015","9"]]},"page":"1190-1195","title":"Schistosoma mansoni and HIV acquisition in fishing communities of Lake Victoria, Uganda: a nested case-control study.","type":"article-journal","volume":"20"},"uris":["http://www.mendeley.com/documents/?uuid=f1195016-6a9b-46c6-ac76-482732e2fe2d"]}],"mendeley":{"formattedCitation":"[12]","plainTextFormattedCitation":"[12]","previouslyFormattedCitation":"[12]"},"properties":{"noteIndex":0},"schema":"https://github.com/citation-style-language/schema/raw/master/csl-citation.json"}</w:instrText>
      </w:r>
      <w:r w:rsidR="007405D2" w:rsidRPr="0052431D">
        <w:rPr>
          <w:rFonts w:asciiTheme="minorHAnsi" w:hAnsiTheme="minorHAnsi" w:cs="Arial"/>
          <w:color w:val="000000" w:themeColor="text1"/>
          <w:sz w:val="24"/>
          <w:szCs w:val="24"/>
          <w:lang w:val="en-GB"/>
        </w:rPr>
        <w:fldChar w:fldCharType="separate"/>
      </w:r>
      <w:r w:rsidR="00315AFC" w:rsidRPr="0052431D">
        <w:rPr>
          <w:rFonts w:asciiTheme="minorHAnsi" w:hAnsiTheme="minorHAnsi" w:cs="Arial"/>
          <w:noProof/>
          <w:color w:val="000000" w:themeColor="text1"/>
          <w:sz w:val="24"/>
          <w:szCs w:val="24"/>
          <w:lang w:val="en-GB"/>
        </w:rPr>
        <w:t>[12]</w:t>
      </w:r>
      <w:r w:rsidR="007405D2" w:rsidRPr="0052431D">
        <w:rPr>
          <w:rFonts w:asciiTheme="minorHAnsi" w:hAnsiTheme="minorHAnsi" w:cs="Arial"/>
          <w:color w:val="000000" w:themeColor="text1"/>
          <w:sz w:val="24"/>
          <w:szCs w:val="24"/>
          <w:lang w:val="en-GB"/>
        </w:rPr>
        <w:fldChar w:fldCharType="end"/>
      </w:r>
      <w:r w:rsidR="0089787D">
        <w:rPr>
          <w:rFonts w:asciiTheme="minorHAnsi" w:hAnsiTheme="minorHAnsi" w:cs="Arial"/>
          <w:color w:val="000000" w:themeColor="text1"/>
          <w:sz w:val="24"/>
          <w:szCs w:val="24"/>
          <w:lang w:val="en-GB"/>
        </w:rPr>
        <w:t>.</w:t>
      </w:r>
      <w:r w:rsidR="003F5D5C" w:rsidRPr="0052431D">
        <w:rPr>
          <w:rFonts w:asciiTheme="minorHAnsi" w:hAnsiTheme="minorHAnsi" w:cs="Arial"/>
          <w:color w:val="000000" w:themeColor="text1"/>
          <w:sz w:val="24"/>
          <w:szCs w:val="24"/>
          <w:lang w:val="en-GB"/>
        </w:rPr>
        <w:t xml:space="preserve"> Other</w:t>
      </w:r>
      <w:r w:rsidR="009C57C7">
        <w:rPr>
          <w:rFonts w:asciiTheme="minorHAnsi" w:hAnsiTheme="minorHAnsi" w:cs="Arial"/>
          <w:color w:val="000000" w:themeColor="text1"/>
          <w:sz w:val="24"/>
          <w:szCs w:val="24"/>
          <w:lang w:val="en-GB"/>
        </w:rPr>
        <w:t xml:space="preserve"> </w:t>
      </w:r>
      <w:r w:rsidR="003F5D5C" w:rsidRPr="0052431D">
        <w:rPr>
          <w:rFonts w:asciiTheme="minorHAnsi" w:hAnsiTheme="minorHAnsi" w:cs="Arial"/>
          <w:color w:val="000000" w:themeColor="text1"/>
          <w:sz w:val="24"/>
          <w:szCs w:val="24"/>
          <w:lang w:val="en-GB"/>
        </w:rPr>
        <w:t>causes of genital tract disease, such as bacterial sexually transmitted infections</w:t>
      </w:r>
      <w:r w:rsidR="004E7BA2" w:rsidRPr="0052431D">
        <w:rPr>
          <w:rFonts w:asciiTheme="minorHAnsi" w:hAnsiTheme="minorHAnsi" w:cs="Arial"/>
          <w:color w:val="000000" w:themeColor="text1"/>
          <w:sz w:val="24"/>
          <w:szCs w:val="24"/>
          <w:lang w:val="en-GB"/>
        </w:rPr>
        <w:t xml:space="preserve"> (STIs)</w:t>
      </w:r>
      <w:r w:rsidR="003F5D5C" w:rsidRPr="0052431D">
        <w:rPr>
          <w:rFonts w:asciiTheme="minorHAnsi" w:hAnsiTheme="minorHAnsi" w:cs="Arial"/>
          <w:color w:val="000000" w:themeColor="text1"/>
          <w:sz w:val="24"/>
          <w:szCs w:val="24"/>
          <w:lang w:val="en-GB"/>
        </w:rPr>
        <w:t>, a</w:t>
      </w:r>
      <w:r w:rsidR="00422FD9" w:rsidRPr="0052431D">
        <w:rPr>
          <w:rFonts w:asciiTheme="minorHAnsi" w:hAnsiTheme="minorHAnsi" w:cs="Arial"/>
          <w:color w:val="000000" w:themeColor="text1"/>
          <w:sz w:val="24"/>
          <w:szCs w:val="24"/>
          <w:lang w:val="en-GB"/>
        </w:rPr>
        <w:t xml:space="preserve">re also known to be associated with increased risk of HIV and their </w:t>
      </w:r>
      <w:r w:rsidR="00BD49C2" w:rsidRPr="0052431D">
        <w:rPr>
          <w:rFonts w:asciiTheme="minorHAnsi" w:hAnsiTheme="minorHAnsi" w:cs="Arial"/>
          <w:color w:val="000000" w:themeColor="text1"/>
          <w:sz w:val="24"/>
          <w:szCs w:val="24"/>
          <w:lang w:val="en-GB"/>
        </w:rPr>
        <w:t xml:space="preserve">treatment and </w:t>
      </w:r>
      <w:r w:rsidR="00422FD9" w:rsidRPr="0052431D">
        <w:rPr>
          <w:rFonts w:asciiTheme="minorHAnsi" w:hAnsiTheme="minorHAnsi" w:cs="Arial"/>
          <w:color w:val="000000" w:themeColor="text1"/>
          <w:sz w:val="24"/>
          <w:szCs w:val="24"/>
          <w:lang w:val="en-GB"/>
        </w:rPr>
        <w:t xml:space="preserve">prevention </w:t>
      </w:r>
      <w:r w:rsidR="003F5D5C" w:rsidRPr="0052431D">
        <w:rPr>
          <w:rFonts w:asciiTheme="minorHAnsi" w:hAnsiTheme="minorHAnsi" w:cs="Arial"/>
          <w:color w:val="000000" w:themeColor="text1"/>
          <w:sz w:val="24"/>
          <w:szCs w:val="24"/>
          <w:lang w:val="en-GB"/>
        </w:rPr>
        <w:t>hold</w:t>
      </w:r>
      <w:r w:rsidR="007405D2" w:rsidRPr="0052431D">
        <w:rPr>
          <w:rFonts w:asciiTheme="minorHAnsi" w:hAnsiTheme="minorHAnsi" w:cs="Arial"/>
          <w:color w:val="000000" w:themeColor="text1"/>
          <w:sz w:val="24"/>
          <w:szCs w:val="24"/>
          <w:lang w:val="en-GB"/>
        </w:rPr>
        <w:t>s</w:t>
      </w:r>
      <w:r w:rsidR="003F5D5C" w:rsidRPr="0052431D">
        <w:rPr>
          <w:rFonts w:asciiTheme="minorHAnsi" w:hAnsiTheme="minorHAnsi" w:cs="Arial"/>
          <w:color w:val="000000" w:themeColor="text1"/>
          <w:sz w:val="24"/>
          <w:szCs w:val="24"/>
          <w:lang w:val="en-GB"/>
        </w:rPr>
        <w:t xml:space="preserve"> potential to control HIV transmission</w:t>
      </w:r>
      <w:r w:rsidR="00422FD9" w:rsidRPr="0052431D">
        <w:rPr>
          <w:rFonts w:asciiTheme="minorHAnsi" w:hAnsiTheme="minorHAnsi" w:cs="Arial"/>
          <w:color w:val="000000" w:themeColor="text1"/>
          <w:sz w:val="24"/>
          <w:szCs w:val="24"/>
          <w:lang w:val="en-GB"/>
        </w:rPr>
        <w:t xml:space="preserve"> in these communities</w:t>
      </w:r>
      <w:r w:rsidR="003F5D5C" w:rsidRPr="0052431D">
        <w:rPr>
          <w:rFonts w:asciiTheme="minorHAnsi" w:hAnsiTheme="minorHAnsi" w:cs="Arial"/>
          <w:color w:val="000000" w:themeColor="text1"/>
          <w:sz w:val="24"/>
          <w:szCs w:val="24"/>
          <w:lang w:val="en-GB"/>
        </w:rPr>
        <w:t>.</w:t>
      </w:r>
    </w:p>
    <w:p w14:paraId="4AD7CFA0" w14:textId="77777777" w:rsidR="00534157" w:rsidRPr="0052431D" w:rsidRDefault="00534157" w:rsidP="00C74418">
      <w:pPr>
        <w:spacing w:after="0" w:line="360" w:lineRule="auto"/>
        <w:jc w:val="both"/>
        <w:rPr>
          <w:rFonts w:asciiTheme="minorHAnsi" w:hAnsiTheme="minorHAnsi" w:cs="Arial"/>
          <w:color w:val="000000" w:themeColor="text1"/>
          <w:sz w:val="24"/>
          <w:szCs w:val="24"/>
          <w:lang w:val="en-GB"/>
        </w:rPr>
      </w:pPr>
    </w:p>
    <w:p w14:paraId="0C707EF3" w14:textId="1EB9BDAE" w:rsidR="006F7E73" w:rsidRPr="0052431D" w:rsidRDefault="00123748" w:rsidP="00C74418">
      <w:pPr>
        <w:spacing w:after="0" w:line="360" w:lineRule="auto"/>
        <w:jc w:val="both"/>
        <w:rPr>
          <w:rFonts w:asciiTheme="minorHAnsi" w:hAnsiTheme="minorHAnsi" w:cs="Arial"/>
          <w:color w:val="000000" w:themeColor="text1"/>
          <w:sz w:val="24"/>
          <w:szCs w:val="24"/>
          <w:lang w:val="en-GB"/>
        </w:rPr>
      </w:pPr>
      <w:r>
        <w:rPr>
          <w:rFonts w:asciiTheme="minorHAnsi" w:hAnsiTheme="minorHAnsi" w:cs="Arial"/>
          <w:color w:val="000000" w:themeColor="text1"/>
          <w:sz w:val="24"/>
          <w:szCs w:val="24"/>
          <w:lang w:val="en-GB"/>
        </w:rPr>
        <w:t>W</w:t>
      </w:r>
      <w:r w:rsidR="00BD49C2" w:rsidRPr="0052431D">
        <w:rPr>
          <w:rFonts w:asciiTheme="minorHAnsi" w:hAnsiTheme="minorHAnsi" w:cs="Arial"/>
          <w:color w:val="000000" w:themeColor="text1"/>
          <w:sz w:val="24"/>
          <w:szCs w:val="24"/>
          <w:lang w:val="en-GB"/>
        </w:rPr>
        <w:t xml:space="preserve">e conducted </w:t>
      </w:r>
      <w:r>
        <w:rPr>
          <w:rFonts w:asciiTheme="minorHAnsi" w:hAnsiTheme="minorHAnsi" w:cs="Arial"/>
          <w:color w:val="000000" w:themeColor="text1"/>
          <w:sz w:val="24"/>
          <w:szCs w:val="24"/>
          <w:lang w:val="en-GB"/>
        </w:rPr>
        <w:t>a</w:t>
      </w:r>
      <w:r w:rsidRPr="0052431D">
        <w:rPr>
          <w:rFonts w:asciiTheme="minorHAnsi" w:hAnsiTheme="minorHAnsi" w:cs="Arial"/>
          <w:color w:val="000000" w:themeColor="text1"/>
          <w:sz w:val="24"/>
          <w:szCs w:val="24"/>
          <w:lang w:val="en-GB"/>
        </w:rPr>
        <w:t xml:space="preserve"> </w:t>
      </w:r>
      <w:r w:rsidR="00BD49C2" w:rsidRPr="0052431D">
        <w:rPr>
          <w:rFonts w:asciiTheme="minorHAnsi" w:hAnsiTheme="minorHAnsi" w:cs="Arial"/>
          <w:color w:val="000000" w:themeColor="text1"/>
          <w:sz w:val="24"/>
          <w:szCs w:val="24"/>
          <w:lang w:val="en-GB"/>
        </w:rPr>
        <w:t xml:space="preserve">cross-sectional study </w:t>
      </w:r>
      <w:r w:rsidR="00534157" w:rsidRPr="0052431D">
        <w:rPr>
          <w:rFonts w:asciiTheme="minorHAnsi" w:hAnsiTheme="minorHAnsi" w:cs="Arial"/>
          <w:color w:val="000000" w:themeColor="text1"/>
          <w:sz w:val="24"/>
          <w:szCs w:val="24"/>
          <w:lang w:val="en-GB"/>
        </w:rPr>
        <w:t>to quantify the burden of</w:t>
      </w:r>
      <w:r w:rsidR="00093D94" w:rsidRPr="0052431D">
        <w:rPr>
          <w:rFonts w:asciiTheme="minorHAnsi" w:hAnsiTheme="minorHAnsi" w:cs="Arial"/>
          <w:color w:val="000000" w:themeColor="text1"/>
          <w:sz w:val="24"/>
          <w:szCs w:val="24"/>
          <w:lang w:val="en-GB"/>
        </w:rPr>
        <w:t xml:space="preserve"> HIV and associated</w:t>
      </w:r>
      <w:r w:rsidR="00534157" w:rsidRPr="0052431D">
        <w:rPr>
          <w:rFonts w:asciiTheme="minorHAnsi" w:hAnsiTheme="minorHAnsi" w:cs="Arial"/>
          <w:color w:val="000000" w:themeColor="text1"/>
          <w:sz w:val="24"/>
          <w:szCs w:val="24"/>
          <w:lang w:val="en-GB"/>
        </w:rPr>
        <w:t xml:space="preserve"> infections</w:t>
      </w:r>
      <w:r w:rsidR="00093D94" w:rsidRPr="0052431D">
        <w:rPr>
          <w:rFonts w:asciiTheme="minorHAnsi" w:hAnsiTheme="minorHAnsi" w:cs="Arial"/>
          <w:color w:val="000000" w:themeColor="text1"/>
          <w:sz w:val="24"/>
          <w:szCs w:val="24"/>
          <w:lang w:val="en-GB"/>
        </w:rPr>
        <w:t>,</w:t>
      </w:r>
      <w:r w:rsidR="001D4782" w:rsidRPr="0052431D">
        <w:rPr>
          <w:rFonts w:asciiTheme="minorHAnsi" w:hAnsiTheme="minorHAnsi" w:cs="Arial"/>
          <w:color w:val="000000" w:themeColor="text1"/>
          <w:sz w:val="24"/>
          <w:szCs w:val="24"/>
          <w:lang w:val="en-GB"/>
        </w:rPr>
        <w:t xml:space="preserve"> and </w:t>
      </w:r>
      <w:r w:rsidR="00BD49C2" w:rsidRPr="0052431D">
        <w:rPr>
          <w:rFonts w:asciiTheme="minorHAnsi" w:hAnsiTheme="minorHAnsi" w:cs="Arial"/>
          <w:color w:val="000000" w:themeColor="text1"/>
          <w:sz w:val="24"/>
          <w:szCs w:val="24"/>
          <w:lang w:val="en-GB"/>
        </w:rPr>
        <w:t xml:space="preserve">to </w:t>
      </w:r>
      <w:r w:rsidR="00093D94" w:rsidRPr="0052431D">
        <w:rPr>
          <w:rFonts w:asciiTheme="minorHAnsi" w:hAnsiTheme="minorHAnsi" w:cs="Arial"/>
          <w:color w:val="000000" w:themeColor="text1"/>
          <w:sz w:val="24"/>
          <w:szCs w:val="24"/>
          <w:lang w:val="en-GB"/>
        </w:rPr>
        <w:t xml:space="preserve">assess </w:t>
      </w:r>
      <w:r w:rsidR="001D4782" w:rsidRPr="0052431D">
        <w:rPr>
          <w:rFonts w:asciiTheme="minorHAnsi" w:hAnsiTheme="minorHAnsi" w:cs="Arial"/>
          <w:color w:val="000000" w:themeColor="text1"/>
          <w:sz w:val="24"/>
          <w:szCs w:val="24"/>
          <w:lang w:val="en-GB"/>
        </w:rPr>
        <w:t>risk</w:t>
      </w:r>
      <w:r w:rsidR="00C64B88">
        <w:rPr>
          <w:rFonts w:asciiTheme="minorHAnsi" w:hAnsiTheme="minorHAnsi" w:cs="Arial"/>
          <w:color w:val="000000" w:themeColor="text1"/>
          <w:sz w:val="24"/>
          <w:szCs w:val="24"/>
          <w:lang w:val="en-GB"/>
        </w:rPr>
        <w:t>-</w:t>
      </w:r>
      <w:r w:rsidR="006F7E73" w:rsidRPr="0052431D">
        <w:rPr>
          <w:rFonts w:asciiTheme="minorHAnsi" w:hAnsiTheme="minorHAnsi" w:cs="Arial"/>
          <w:color w:val="000000" w:themeColor="text1"/>
          <w:sz w:val="24"/>
          <w:szCs w:val="24"/>
          <w:lang w:val="en-GB"/>
        </w:rPr>
        <w:t>taking</w:t>
      </w:r>
      <w:r w:rsidR="001D4782" w:rsidRPr="0052431D">
        <w:rPr>
          <w:rFonts w:asciiTheme="minorHAnsi" w:hAnsiTheme="minorHAnsi" w:cs="Arial"/>
          <w:color w:val="000000" w:themeColor="text1"/>
          <w:sz w:val="24"/>
          <w:szCs w:val="24"/>
          <w:lang w:val="en-GB"/>
        </w:rPr>
        <w:t xml:space="preserve"> </w:t>
      </w:r>
      <w:r w:rsidR="006F7E73" w:rsidRPr="0052431D">
        <w:rPr>
          <w:rFonts w:asciiTheme="minorHAnsi" w:hAnsiTheme="minorHAnsi" w:cs="Arial"/>
          <w:color w:val="000000" w:themeColor="text1"/>
          <w:sz w:val="24"/>
          <w:szCs w:val="24"/>
          <w:lang w:val="en-GB"/>
        </w:rPr>
        <w:t>behaviour</w:t>
      </w:r>
      <w:r w:rsidR="00C64B88">
        <w:rPr>
          <w:rFonts w:asciiTheme="minorHAnsi" w:hAnsiTheme="minorHAnsi" w:cs="Arial"/>
          <w:color w:val="000000" w:themeColor="text1"/>
          <w:sz w:val="24"/>
          <w:szCs w:val="24"/>
          <w:lang w:val="en-GB"/>
        </w:rPr>
        <w:t>s</w:t>
      </w:r>
      <w:r w:rsidR="006F7E73" w:rsidRPr="0052431D">
        <w:rPr>
          <w:rFonts w:asciiTheme="minorHAnsi" w:hAnsiTheme="minorHAnsi" w:cs="Arial"/>
          <w:color w:val="000000" w:themeColor="text1"/>
          <w:sz w:val="24"/>
          <w:szCs w:val="24"/>
          <w:lang w:val="en-GB"/>
        </w:rPr>
        <w:t xml:space="preserve"> </w:t>
      </w:r>
      <w:r w:rsidR="006D5EA6" w:rsidRPr="0052431D">
        <w:rPr>
          <w:rFonts w:asciiTheme="minorHAnsi" w:hAnsiTheme="minorHAnsi" w:cs="Arial"/>
          <w:color w:val="000000" w:themeColor="text1"/>
          <w:sz w:val="24"/>
          <w:szCs w:val="24"/>
          <w:lang w:val="en-GB"/>
        </w:rPr>
        <w:t xml:space="preserve">among </w:t>
      </w:r>
      <w:r w:rsidR="006F7E73" w:rsidRPr="0052431D">
        <w:rPr>
          <w:rFonts w:asciiTheme="minorHAnsi" w:hAnsiTheme="minorHAnsi" w:cs="Arial"/>
          <w:color w:val="000000" w:themeColor="text1"/>
          <w:sz w:val="24"/>
          <w:szCs w:val="24"/>
          <w:lang w:val="en-GB"/>
        </w:rPr>
        <w:t xml:space="preserve">adults living in </w:t>
      </w:r>
      <w:r w:rsidR="00093D94" w:rsidRPr="0052431D">
        <w:rPr>
          <w:rFonts w:asciiTheme="minorHAnsi" w:hAnsiTheme="minorHAnsi" w:cs="Arial"/>
          <w:color w:val="000000" w:themeColor="text1"/>
          <w:sz w:val="24"/>
          <w:szCs w:val="24"/>
          <w:lang w:val="en-GB"/>
        </w:rPr>
        <w:t xml:space="preserve">selected fishing communities of Lake Victoria in </w:t>
      </w:r>
      <w:r w:rsidR="00534157" w:rsidRPr="0052431D">
        <w:rPr>
          <w:rFonts w:asciiTheme="minorHAnsi" w:hAnsiTheme="minorHAnsi" w:cs="Arial"/>
          <w:color w:val="000000" w:themeColor="text1"/>
          <w:sz w:val="24"/>
          <w:szCs w:val="24"/>
          <w:lang w:val="en-GB"/>
        </w:rPr>
        <w:t>northwest Tanzania</w:t>
      </w:r>
      <w:r w:rsidR="006F7E73" w:rsidRPr="0052431D">
        <w:rPr>
          <w:rFonts w:asciiTheme="minorHAnsi" w:hAnsiTheme="minorHAnsi" w:cs="Arial"/>
          <w:color w:val="000000" w:themeColor="text1"/>
          <w:sz w:val="24"/>
          <w:szCs w:val="24"/>
          <w:lang w:val="en-GB"/>
        </w:rPr>
        <w:t xml:space="preserve">. This was </w:t>
      </w:r>
      <w:r>
        <w:rPr>
          <w:rFonts w:asciiTheme="minorHAnsi" w:hAnsiTheme="minorHAnsi" w:cs="Arial"/>
          <w:color w:val="000000" w:themeColor="text1"/>
          <w:sz w:val="24"/>
          <w:szCs w:val="24"/>
          <w:lang w:val="en-GB"/>
        </w:rPr>
        <w:t xml:space="preserve">done </w:t>
      </w:r>
      <w:r w:rsidR="006F7E73" w:rsidRPr="0052431D">
        <w:rPr>
          <w:rFonts w:asciiTheme="minorHAnsi" w:hAnsiTheme="minorHAnsi" w:cs="Arial"/>
          <w:color w:val="000000" w:themeColor="text1"/>
          <w:sz w:val="24"/>
          <w:szCs w:val="24"/>
          <w:lang w:val="en-GB"/>
        </w:rPr>
        <w:t xml:space="preserve">in </w:t>
      </w:r>
      <w:r w:rsidR="00534157" w:rsidRPr="0052431D">
        <w:rPr>
          <w:rFonts w:asciiTheme="minorHAnsi" w:hAnsiTheme="minorHAnsi" w:cs="Arial"/>
          <w:color w:val="000000" w:themeColor="text1"/>
          <w:sz w:val="24"/>
          <w:szCs w:val="24"/>
          <w:lang w:val="en-GB"/>
        </w:rPr>
        <w:t>preparat</w:t>
      </w:r>
      <w:r w:rsidR="006F7E73" w:rsidRPr="0052431D">
        <w:rPr>
          <w:rFonts w:asciiTheme="minorHAnsi" w:hAnsiTheme="minorHAnsi" w:cs="Arial"/>
          <w:color w:val="000000" w:themeColor="text1"/>
          <w:sz w:val="24"/>
          <w:szCs w:val="24"/>
          <w:lang w:val="en-GB"/>
        </w:rPr>
        <w:t>ion</w:t>
      </w:r>
      <w:r w:rsidR="00534157" w:rsidRPr="0052431D">
        <w:rPr>
          <w:rFonts w:asciiTheme="minorHAnsi" w:hAnsiTheme="minorHAnsi" w:cs="Arial"/>
          <w:color w:val="000000" w:themeColor="text1"/>
          <w:sz w:val="24"/>
          <w:szCs w:val="24"/>
          <w:lang w:val="en-GB"/>
        </w:rPr>
        <w:t xml:space="preserve"> for future intervention studies to </w:t>
      </w:r>
      <w:r w:rsidR="008A20D9">
        <w:rPr>
          <w:rFonts w:asciiTheme="minorHAnsi" w:hAnsiTheme="minorHAnsi" w:cs="Arial"/>
          <w:color w:val="000000" w:themeColor="text1"/>
          <w:sz w:val="24"/>
          <w:szCs w:val="24"/>
          <w:lang w:val="en-GB"/>
        </w:rPr>
        <w:t xml:space="preserve">address HIV and </w:t>
      </w:r>
      <w:r w:rsidR="00534157" w:rsidRPr="0052431D">
        <w:rPr>
          <w:rFonts w:asciiTheme="minorHAnsi" w:hAnsiTheme="minorHAnsi" w:cs="Arial"/>
          <w:color w:val="000000" w:themeColor="text1"/>
          <w:sz w:val="24"/>
          <w:szCs w:val="24"/>
          <w:lang w:val="en-GB"/>
        </w:rPr>
        <w:t xml:space="preserve">improve health in lakeshore communities. We hypothesized </w:t>
      </w:r>
      <w:r w:rsidR="00C22F56">
        <w:rPr>
          <w:rFonts w:asciiTheme="minorHAnsi" w:hAnsiTheme="minorHAnsi" w:cs="Arial"/>
          <w:color w:val="000000" w:themeColor="text1"/>
          <w:sz w:val="24"/>
          <w:szCs w:val="24"/>
          <w:lang w:val="en-GB"/>
        </w:rPr>
        <w:t xml:space="preserve">that we would observe </w:t>
      </w:r>
      <w:r w:rsidR="00534157" w:rsidRPr="0052431D">
        <w:rPr>
          <w:rFonts w:asciiTheme="minorHAnsi" w:hAnsiTheme="minorHAnsi" w:cs="Arial"/>
          <w:color w:val="000000" w:themeColor="text1"/>
          <w:sz w:val="24"/>
          <w:szCs w:val="24"/>
          <w:lang w:val="en-GB"/>
        </w:rPr>
        <w:t xml:space="preserve">a high community prevalence of HIV associated </w:t>
      </w:r>
      <w:r w:rsidR="00B6261B" w:rsidRPr="0052431D">
        <w:rPr>
          <w:rFonts w:asciiTheme="minorHAnsi" w:hAnsiTheme="minorHAnsi" w:cs="Arial"/>
          <w:color w:val="000000" w:themeColor="text1"/>
          <w:sz w:val="24"/>
          <w:szCs w:val="24"/>
          <w:lang w:val="en-GB"/>
        </w:rPr>
        <w:t xml:space="preserve">with </w:t>
      </w:r>
      <w:r w:rsidR="006D5EA6" w:rsidRPr="0052431D">
        <w:rPr>
          <w:rFonts w:asciiTheme="minorHAnsi" w:hAnsiTheme="minorHAnsi" w:cs="Arial"/>
          <w:color w:val="000000" w:themeColor="text1"/>
          <w:sz w:val="24"/>
          <w:szCs w:val="24"/>
          <w:lang w:val="en-GB"/>
        </w:rPr>
        <w:t>a substantial</w:t>
      </w:r>
      <w:r w:rsidR="00534157" w:rsidRPr="0052431D">
        <w:rPr>
          <w:rFonts w:asciiTheme="minorHAnsi" w:hAnsiTheme="minorHAnsi" w:cs="Arial"/>
          <w:color w:val="000000" w:themeColor="text1"/>
          <w:sz w:val="24"/>
          <w:szCs w:val="24"/>
          <w:lang w:val="en-GB"/>
        </w:rPr>
        <w:t xml:space="preserve"> burden of potentially treatable infections (</w:t>
      </w:r>
      <w:r w:rsidR="00093D94" w:rsidRPr="0052431D">
        <w:rPr>
          <w:rFonts w:asciiTheme="minorHAnsi" w:hAnsiTheme="minorHAnsi" w:cs="Arial"/>
          <w:color w:val="000000" w:themeColor="text1"/>
          <w:sz w:val="24"/>
          <w:szCs w:val="24"/>
          <w:lang w:val="en-GB"/>
        </w:rPr>
        <w:t xml:space="preserve">such as </w:t>
      </w:r>
      <w:r w:rsidR="00534157" w:rsidRPr="0052431D">
        <w:rPr>
          <w:rFonts w:asciiTheme="minorHAnsi" w:hAnsiTheme="minorHAnsi" w:cs="Arial"/>
          <w:color w:val="000000" w:themeColor="text1"/>
          <w:sz w:val="24"/>
          <w:szCs w:val="24"/>
          <w:lang w:val="en-GB"/>
        </w:rPr>
        <w:t>syphilis</w:t>
      </w:r>
      <w:r w:rsidR="00093D94" w:rsidRPr="0052431D">
        <w:rPr>
          <w:rFonts w:asciiTheme="minorHAnsi" w:hAnsiTheme="minorHAnsi" w:cs="Arial"/>
          <w:color w:val="000000" w:themeColor="text1"/>
          <w:sz w:val="24"/>
          <w:szCs w:val="24"/>
          <w:lang w:val="en-GB"/>
        </w:rPr>
        <w:t xml:space="preserve"> and</w:t>
      </w:r>
      <w:r w:rsidR="00534157" w:rsidRPr="0052431D">
        <w:rPr>
          <w:rFonts w:asciiTheme="minorHAnsi" w:hAnsiTheme="minorHAnsi" w:cs="Arial"/>
          <w:color w:val="000000" w:themeColor="text1"/>
          <w:sz w:val="24"/>
          <w:szCs w:val="24"/>
          <w:lang w:val="en-GB"/>
        </w:rPr>
        <w:t xml:space="preserve"> schistosomiasis).</w:t>
      </w:r>
      <w:r w:rsidR="006F7E73" w:rsidRPr="0052431D">
        <w:rPr>
          <w:rFonts w:asciiTheme="minorHAnsi" w:hAnsiTheme="minorHAnsi" w:cs="Arial"/>
          <w:color w:val="000000" w:themeColor="text1"/>
          <w:sz w:val="24"/>
          <w:szCs w:val="24"/>
          <w:lang w:val="en-GB"/>
        </w:rPr>
        <w:t xml:space="preserve"> </w:t>
      </w:r>
      <w:r w:rsidR="006F7E73" w:rsidRPr="0052431D">
        <w:rPr>
          <w:rFonts w:asciiTheme="minorHAnsi" w:hAnsiTheme="minorHAnsi" w:cs="Arial"/>
          <w:color w:val="000000" w:themeColor="text1"/>
          <w:sz w:val="24"/>
          <w:szCs w:val="24"/>
        </w:rPr>
        <w:t xml:space="preserve">We further sought to </w:t>
      </w:r>
      <w:r w:rsidR="00C64B88">
        <w:rPr>
          <w:rFonts w:asciiTheme="minorHAnsi" w:hAnsiTheme="minorHAnsi" w:cs="Arial"/>
          <w:color w:val="000000" w:themeColor="text1"/>
          <w:sz w:val="24"/>
          <w:szCs w:val="24"/>
        </w:rPr>
        <w:t xml:space="preserve">investigate </w:t>
      </w:r>
      <w:r w:rsidR="006F7E73" w:rsidRPr="0052431D">
        <w:rPr>
          <w:rFonts w:asciiTheme="minorHAnsi" w:hAnsiTheme="minorHAnsi" w:cs="Arial"/>
          <w:color w:val="000000" w:themeColor="text1"/>
          <w:sz w:val="24"/>
          <w:szCs w:val="24"/>
        </w:rPr>
        <w:t>the relationship between schistosome infection and HIV in the study setting</w:t>
      </w:r>
      <w:r w:rsidR="00C64B88">
        <w:rPr>
          <w:rFonts w:asciiTheme="minorHAnsi" w:hAnsiTheme="minorHAnsi" w:cs="Arial"/>
          <w:color w:val="000000" w:themeColor="text1"/>
          <w:sz w:val="24"/>
          <w:szCs w:val="24"/>
        </w:rPr>
        <w:t xml:space="preserve"> </w:t>
      </w:r>
      <w:r w:rsidR="006F7E73" w:rsidRPr="0052431D">
        <w:rPr>
          <w:rFonts w:asciiTheme="minorHAnsi" w:hAnsiTheme="minorHAnsi" w:cs="Arial"/>
          <w:color w:val="000000" w:themeColor="text1"/>
          <w:sz w:val="24"/>
          <w:szCs w:val="24"/>
        </w:rPr>
        <w:t>in which the prevalence of both infections</w:t>
      </w:r>
      <w:r w:rsidR="00DF189B">
        <w:rPr>
          <w:rFonts w:asciiTheme="minorHAnsi" w:hAnsiTheme="minorHAnsi" w:cs="Arial"/>
          <w:color w:val="000000" w:themeColor="text1"/>
          <w:sz w:val="24"/>
          <w:szCs w:val="24"/>
        </w:rPr>
        <w:t xml:space="preserve"> </w:t>
      </w:r>
      <w:r w:rsidR="006F7E73" w:rsidRPr="0052431D">
        <w:rPr>
          <w:rFonts w:asciiTheme="minorHAnsi" w:hAnsiTheme="minorHAnsi" w:cs="Arial"/>
          <w:color w:val="000000" w:themeColor="text1"/>
          <w:sz w:val="24"/>
          <w:szCs w:val="24"/>
        </w:rPr>
        <w:t>was expected to be high.</w:t>
      </w:r>
    </w:p>
    <w:p w14:paraId="49FE675D" w14:textId="77777777" w:rsidR="00931B00" w:rsidRPr="0052431D" w:rsidRDefault="00931B00" w:rsidP="00C74418">
      <w:pPr>
        <w:spacing w:after="0" w:line="360" w:lineRule="auto"/>
        <w:jc w:val="both"/>
        <w:rPr>
          <w:rFonts w:asciiTheme="minorHAnsi" w:hAnsiTheme="minorHAnsi" w:cs="Arial"/>
          <w:b/>
          <w:color w:val="000000" w:themeColor="text1"/>
          <w:sz w:val="24"/>
          <w:szCs w:val="24"/>
          <w:lang w:val="en-GB"/>
        </w:rPr>
      </w:pPr>
    </w:p>
    <w:p w14:paraId="5590A241" w14:textId="7F5CDA20" w:rsidR="00255870" w:rsidRPr="0052431D" w:rsidRDefault="00C5572F" w:rsidP="00C74418">
      <w:pPr>
        <w:spacing w:after="0" w:line="360" w:lineRule="auto"/>
        <w:jc w:val="both"/>
        <w:rPr>
          <w:rFonts w:asciiTheme="minorHAnsi" w:hAnsiTheme="minorHAnsi" w:cs="Arial"/>
          <w:b/>
          <w:color w:val="000000" w:themeColor="text1"/>
          <w:sz w:val="24"/>
          <w:szCs w:val="24"/>
          <w:lang w:val="en-GB"/>
        </w:rPr>
      </w:pPr>
      <w:r>
        <w:rPr>
          <w:rFonts w:asciiTheme="minorHAnsi" w:hAnsiTheme="minorHAnsi" w:cs="Arial"/>
          <w:b/>
          <w:color w:val="000000" w:themeColor="text1"/>
          <w:sz w:val="24"/>
          <w:szCs w:val="24"/>
          <w:lang w:val="en-GB"/>
        </w:rPr>
        <w:t>M</w:t>
      </w:r>
      <w:r w:rsidR="00135977" w:rsidRPr="0052431D">
        <w:rPr>
          <w:rFonts w:asciiTheme="minorHAnsi" w:hAnsiTheme="minorHAnsi" w:cs="Arial"/>
          <w:b/>
          <w:color w:val="000000" w:themeColor="text1"/>
          <w:sz w:val="24"/>
          <w:szCs w:val="24"/>
          <w:lang w:val="en-GB"/>
        </w:rPr>
        <w:t>ETHODS</w:t>
      </w:r>
    </w:p>
    <w:p w14:paraId="20CC61FB" w14:textId="77777777" w:rsidR="00255870" w:rsidRPr="0052431D" w:rsidRDefault="00255870" w:rsidP="00C74418">
      <w:pPr>
        <w:spacing w:after="0" w:line="360" w:lineRule="auto"/>
        <w:jc w:val="both"/>
        <w:rPr>
          <w:rFonts w:asciiTheme="minorHAnsi" w:hAnsiTheme="minorHAnsi" w:cs="Arial"/>
          <w:b/>
          <w:color w:val="000000" w:themeColor="text1"/>
          <w:sz w:val="24"/>
          <w:szCs w:val="24"/>
          <w:lang w:val="en-GB"/>
        </w:rPr>
      </w:pPr>
    </w:p>
    <w:p w14:paraId="0DC51F32" w14:textId="77629591" w:rsidR="003E7F5D" w:rsidRPr="0052431D" w:rsidRDefault="00C5572F" w:rsidP="00C74418">
      <w:pPr>
        <w:spacing w:after="0" w:line="360" w:lineRule="auto"/>
        <w:jc w:val="both"/>
        <w:rPr>
          <w:rFonts w:asciiTheme="minorHAnsi" w:hAnsiTheme="minorHAnsi" w:cs="Arial"/>
          <w:b/>
          <w:sz w:val="24"/>
          <w:szCs w:val="24"/>
          <w:lang w:val="en-GB"/>
        </w:rPr>
      </w:pPr>
      <w:r>
        <w:rPr>
          <w:rFonts w:asciiTheme="minorHAnsi" w:hAnsiTheme="minorHAnsi" w:cs="Arial"/>
          <w:b/>
          <w:sz w:val="24"/>
          <w:szCs w:val="24"/>
          <w:lang w:val="en-GB"/>
        </w:rPr>
        <w:t xml:space="preserve">Study settings and </w:t>
      </w:r>
      <w:r w:rsidR="003E7F5D" w:rsidRPr="0052431D">
        <w:rPr>
          <w:rFonts w:asciiTheme="minorHAnsi" w:hAnsiTheme="minorHAnsi" w:cs="Arial"/>
          <w:b/>
          <w:sz w:val="24"/>
          <w:szCs w:val="24"/>
          <w:lang w:val="en-GB"/>
        </w:rPr>
        <w:t>data collection</w:t>
      </w:r>
      <w:r>
        <w:rPr>
          <w:rFonts w:asciiTheme="minorHAnsi" w:hAnsiTheme="minorHAnsi" w:cs="Arial"/>
          <w:b/>
          <w:sz w:val="24"/>
          <w:szCs w:val="24"/>
          <w:lang w:val="en-GB"/>
        </w:rPr>
        <w:t xml:space="preserve"> procedures</w:t>
      </w:r>
    </w:p>
    <w:p w14:paraId="092714CE" w14:textId="3F604411" w:rsidR="00D85B4B" w:rsidRPr="0052431D" w:rsidRDefault="003E7F5D"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W</w:t>
      </w:r>
      <w:r w:rsidR="00D85B4B" w:rsidRPr="0052431D">
        <w:rPr>
          <w:rFonts w:asciiTheme="minorHAnsi" w:hAnsiTheme="minorHAnsi" w:cs="Arial"/>
          <w:bCs/>
          <w:sz w:val="24"/>
          <w:szCs w:val="24"/>
          <w:lang w:val="en-GB"/>
        </w:rPr>
        <w:t>e conducted a cross-sectional study in</w:t>
      </w:r>
      <w:r w:rsidR="00E7627B" w:rsidRPr="0052431D">
        <w:rPr>
          <w:rFonts w:asciiTheme="minorHAnsi" w:hAnsiTheme="minorHAnsi" w:cs="Arial"/>
          <w:bCs/>
          <w:sz w:val="24"/>
          <w:szCs w:val="24"/>
          <w:lang w:val="en-GB"/>
        </w:rPr>
        <w:t xml:space="preserve"> </w:t>
      </w:r>
      <w:r w:rsidR="00D85B4B" w:rsidRPr="0052431D">
        <w:rPr>
          <w:rFonts w:asciiTheme="minorHAnsi" w:hAnsiTheme="minorHAnsi" w:cs="Arial"/>
          <w:bCs/>
          <w:sz w:val="24"/>
          <w:szCs w:val="24"/>
          <w:lang w:val="en-GB"/>
        </w:rPr>
        <w:t xml:space="preserve">three </w:t>
      </w:r>
      <w:r w:rsidR="00D2379E" w:rsidRPr="0052431D">
        <w:rPr>
          <w:rFonts w:asciiTheme="minorHAnsi" w:hAnsiTheme="minorHAnsi" w:cs="Arial"/>
          <w:bCs/>
          <w:sz w:val="24"/>
          <w:szCs w:val="24"/>
          <w:lang w:val="en-GB"/>
        </w:rPr>
        <w:t>districts (</w:t>
      </w:r>
      <w:proofErr w:type="spellStart"/>
      <w:r w:rsidR="00D2379E" w:rsidRPr="0052431D">
        <w:rPr>
          <w:rFonts w:asciiTheme="minorHAnsi" w:hAnsiTheme="minorHAnsi" w:cs="Arial"/>
          <w:bCs/>
          <w:sz w:val="24"/>
          <w:szCs w:val="24"/>
          <w:lang w:val="en-GB"/>
        </w:rPr>
        <w:t>Muleba</w:t>
      </w:r>
      <w:proofErr w:type="spellEnd"/>
      <w:r w:rsidR="00D2379E" w:rsidRPr="0052431D">
        <w:rPr>
          <w:rFonts w:asciiTheme="minorHAnsi" w:hAnsiTheme="minorHAnsi" w:cs="Arial"/>
          <w:bCs/>
          <w:sz w:val="24"/>
          <w:szCs w:val="24"/>
          <w:lang w:val="en-GB"/>
        </w:rPr>
        <w:t xml:space="preserve">, </w:t>
      </w:r>
      <w:proofErr w:type="spellStart"/>
      <w:r w:rsidR="00D2379E" w:rsidRPr="0052431D">
        <w:rPr>
          <w:rFonts w:asciiTheme="minorHAnsi" w:hAnsiTheme="minorHAnsi" w:cs="Arial"/>
          <w:bCs/>
          <w:sz w:val="24"/>
          <w:szCs w:val="24"/>
          <w:lang w:val="en-GB"/>
        </w:rPr>
        <w:t>Sengerema</w:t>
      </w:r>
      <w:proofErr w:type="spellEnd"/>
      <w:r w:rsidR="00D2379E" w:rsidRPr="0052431D">
        <w:rPr>
          <w:rFonts w:asciiTheme="minorHAnsi" w:hAnsiTheme="minorHAnsi" w:cs="Arial"/>
          <w:bCs/>
          <w:sz w:val="24"/>
          <w:szCs w:val="24"/>
          <w:lang w:val="en-GB"/>
        </w:rPr>
        <w:t xml:space="preserve"> and </w:t>
      </w:r>
      <w:proofErr w:type="spellStart"/>
      <w:r w:rsidR="00D2379E" w:rsidRPr="0052431D">
        <w:rPr>
          <w:rFonts w:asciiTheme="minorHAnsi" w:hAnsiTheme="minorHAnsi" w:cs="Arial"/>
          <w:bCs/>
          <w:sz w:val="24"/>
          <w:szCs w:val="24"/>
          <w:lang w:val="en-GB"/>
        </w:rPr>
        <w:t>Ukerewe</w:t>
      </w:r>
      <w:proofErr w:type="spellEnd"/>
      <w:r w:rsidR="00D2379E" w:rsidRPr="0052431D">
        <w:rPr>
          <w:rFonts w:asciiTheme="minorHAnsi" w:hAnsiTheme="minorHAnsi" w:cs="Arial"/>
          <w:bCs/>
          <w:sz w:val="24"/>
          <w:szCs w:val="24"/>
          <w:lang w:val="en-GB"/>
        </w:rPr>
        <w:t xml:space="preserve">) </w:t>
      </w:r>
      <w:r w:rsidR="006F7E73" w:rsidRPr="0052431D">
        <w:rPr>
          <w:rFonts w:asciiTheme="minorHAnsi" w:hAnsiTheme="minorHAnsi" w:cs="Arial"/>
          <w:bCs/>
          <w:sz w:val="24"/>
          <w:szCs w:val="24"/>
          <w:lang w:val="en-GB"/>
        </w:rPr>
        <w:t>a</w:t>
      </w:r>
      <w:r w:rsidR="008A20D9">
        <w:rPr>
          <w:rFonts w:asciiTheme="minorHAnsi" w:hAnsiTheme="minorHAnsi" w:cs="Arial"/>
          <w:bCs/>
          <w:sz w:val="24"/>
          <w:szCs w:val="24"/>
          <w:lang w:val="en-GB"/>
        </w:rPr>
        <w:t>long</w:t>
      </w:r>
      <w:r w:rsidR="006F7E73" w:rsidRPr="0052431D">
        <w:rPr>
          <w:rFonts w:asciiTheme="minorHAnsi" w:hAnsiTheme="minorHAnsi" w:cs="Arial"/>
          <w:bCs/>
          <w:sz w:val="24"/>
          <w:szCs w:val="24"/>
          <w:lang w:val="en-GB"/>
        </w:rPr>
        <w:t xml:space="preserve"> Lake Victoria in Tanzania, which were selected </w:t>
      </w:r>
      <w:r w:rsidR="00C64B88">
        <w:rPr>
          <w:rFonts w:asciiTheme="minorHAnsi" w:hAnsiTheme="minorHAnsi" w:cs="Arial"/>
          <w:bCs/>
          <w:sz w:val="24"/>
          <w:szCs w:val="24"/>
          <w:lang w:val="en-GB"/>
        </w:rPr>
        <w:t>due to t</w:t>
      </w:r>
      <w:r w:rsidR="006F7E73" w:rsidRPr="0052431D">
        <w:rPr>
          <w:rFonts w:asciiTheme="minorHAnsi" w:hAnsiTheme="minorHAnsi" w:cs="Arial"/>
          <w:bCs/>
          <w:sz w:val="24"/>
          <w:szCs w:val="24"/>
          <w:lang w:val="en-GB"/>
        </w:rPr>
        <w:t>heir large fishing populations</w:t>
      </w:r>
      <w:r w:rsidR="00D85B4B" w:rsidRPr="0052431D">
        <w:rPr>
          <w:rFonts w:asciiTheme="minorHAnsi" w:hAnsiTheme="minorHAnsi" w:cs="Arial"/>
          <w:bCs/>
          <w:sz w:val="24"/>
          <w:szCs w:val="24"/>
          <w:lang w:val="en-GB"/>
        </w:rPr>
        <w:t xml:space="preserve">. </w:t>
      </w:r>
      <w:r w:rsidR="00817B55" w:rsidRPr="0052431D">
        <w:rPr>
          <w:rFonts w:asciiTheme="minorHAnsi" w:hAnsiTheme="minorHAnsi" w:cs="Arial"/>
          <w:bCs/>
          <w:sz w:val="24"/>
          <w:szCs w:val="24"/>
          <w:lang w:val="en-GB"/>
        </w:rPr>
        <w:t>W</w:t>
      </w:r>
      <w:r w:rsidR="00816ECF" w:rsidRPr="0052431D">
        <w:rPr>
          <w:rFonts w:asciiTheme="minorHAnsi" w:hAnsiTheme="minorHAnsi" w:cs="Arial"/>
          <w:bCs/>
          <w:sz w:val="24"/>
          <w:szCs w:val="24"/>
          <w:lang w:val="en-GB"/>
        </w:rPr>
        <w:t>ithin these districts, w</w:t>
      </w:r>
      <w:r w:rsidR="00817B55" w:rsidRPr="0052431D">
        <w:rPr>
          <w:rFonts w:asciiTheme="minorHAnsi" w:hAnsiTheme="minorHAnsi" w:cs="Arial"/>
          <w:bCs/>
          <w:sz w:val="24"/>
          <w:szCs w:val="24"/>
          <w:lang w:val="en-GB"/>
        </w:rPr>
        <w:t xml:space="preserve">e </w:t>
      </w:r>
      <w:r w:rsidR="00163758">
        <w:rPr>
          <w:rFonts w:asciiTheme="minorHAnsi" w:hAnsiTheme="minorHAnsi" w:cs="Arial"/>
          <w:bCs/>
          <w:sz w:val="24"/>
          <w:szCs w:val="24"/>
          <w:lang w:val="en-GB"/>
        </w:rPr>
        <w:t xml:space="preserve">purposefully </w:t>
      </w:r>
      <w:r w:rsidR="008554E8" w:rsidRPr="0052431D">
        <w:rPr>
          <w:rFonts w:asciiTheme="minorHAnsi" w:hAnsiTheme="minorHAnsi" w:cs="Arial"/>
          <w:bCs/>
          <w:sz w:val="24"/>
          <w:szCs w:val="24"/>
          <w:lang w:val="en-GB"/>
        </w:rPr>
        <w:t xml:space="preserve">selected </w:t>
      </w:r>
      <w:r w:rsidR="006F7E73" w:rsidRPr="0052431D">
        <w:rPr>
          <w:rFonts w:asciiTheme="minorHAnsi" w:hAnsiTheme="minorHAnsi" w:cs="Arial"/>
          <w:bCs/>
          <w:sz w:val="24"/>
          <w:szCs w:val="24"/>
          <w:lang w:val="en-GB"/>
        </w:rPr>
        <w:t>seven</w:t>
      </w:r>
      <w:r w:rsidR="008554E8" w:rsidRPr="0052431D">
        <w:rPr>
          <w:rFonts w:asciiTheme="minorHAnsi" w:hAnsiTheme="minorHAnsi" w:cs="Arial"/>
          <w:bCs/>
          <w:sz w:val="24"/>
          <w:szCs w:val="24"/>
          <w:lang w:val="en-GB"/>
        </w:rPr>
        <w:t xml:space="preserve"> </w:t>
      </w:r>
      <w:r w:rsidR="00F75811" w:rsidRPr="0052431D">
        <w:rPr>
          <w:rFonts w:asciiTheme="minorHAnsi" w:hAnsiTheme="minorHAnsi" w:cs="Arial"/>
          <w:bCs/>
          <w:sz w:val="24"/>
          <w:szCs w:val="24"/>
          <w:lang w:val="en-GB"/>
        </w:rPr>
        <w:t xml:space="preserve">fishing </w:t>
      </w:r>
      <w:r w:rsidR="008554E8" w:rsidRPr="0052431D">
        <w:rPr>
          <w:rFonts w:asciiTheme="minorHAnsi" w:hAnsiTheme="minorHAnsi" w:cs="Arial"/>
          <w:bCs/>
          <w:sz w:val="24"/>
          <w:szCs w:val="24"/>
          <w:lang w:val="en-GB"/>
        </w:rPr>
        <w:t xml:space="preserve">communities </w:t>
      </w:r>
      <w:r w:rsidR="004E7BA2" w:rsidRPr="0052431D">
        <w:rPr>
          <w:rFonts w:asciiTheme="minorHAnsi" w:hAnsiTheme="minorHAnsi" w:cs="Arial"/>
          <w:bCs/>
          <w:sz w:val="24"/>
          <w:szCs w:val="24"/>
          <w:lang w:val="en-GB"/>
        </w:rPr>
        <w:t>(</w:t>
      </w:r>
      <w:r w:rsidR="004E7BA2" w:rsidRPr="0052431D">
        <w:rPr>
          <w:rFonts w:asciiTheme="minorHAnsi" w:hAnsiTheme="minorHAnsi" w:cs="Arial"/>
          <w:b/>
          <w:bCs/>
          <w:sz w:val="24"/>
          <w:szCs w:val="24"/>
          <w:lang w:val="en-GB"/>
        </w:rPr>
        <w:t>Figure 1</w:t>
      </w:r>
      <w:r w:rsidR="004E7BA2" w:rsidRPr="0052431D">
        <w:rPr>
          <w:rFonts w:asciiTheme="minorHAnsi" w:hAnsiTheme="minorHAnsi" w:cs="Arial"/>
          <w:bCs/>
          <w:sz w:val="24"/>
          <w:szCs w:val="24"/>
          <w:lang w:val="en-GB"/>
        </w:rPr>
        <w:t xml:space="preserve">) </w:t>
      </w:r>
      <w:r w:rsidR="00841B16" w:rsidRPr="0052431D">
        <w:rPr>
          <w:rFonts w:asciiTheme="minorHAnsi" w:hAnsiTheme="minorHAnsi" w:cs="Arial"/>
          <w:bCs/>
          <w:sz w:val="24"/>
          <w:szCs w:val="24"/>
          <w:lang w:val="en-GB"/>
        </w:rPr>
        <w:t>w</w:t>
      </w:r>
      <w:r w:rsidR="00465FDC" w:rsidRPr="0052431D">
        <w:rPr>
          <w:rFonts w:asciiTheme="minorHAnsi" w:hAnsiTheme="minorHAnsi" w:cs="Arial"/>
          <w:bCs/>
          <w:sz w:val="24"/>
          <w:szCs w:val="24"/>
          <w:lang w:val="en-GB"/>
        </w:rPr>
        <w:t xml:space="preserve">ith </w:t>
      </w:r>
      <w:r w:rsidR="00841B16" w:rsidRPr="0052431D">
        <w:rPr>
          <w:rFonts w:asciiTheme="minorHAnsi" w:hAnsiTheme="minorHAnsi" w:cs="Arial"/>
          <w:bCs/>
          <w:sz w:val="24"/>
          <w:szCs w:val="24"/>
          <w:lang w:val="en-GB"/>
        </w:rPr>
        <w:t xml:space="preserve">the following characteristics: </w:t>
      </w:r>
      <w:r w:rsidR="00887D2B" w:rsidRPr="0052431D">
        <w:rPr>
          <w:rFonts w:asciiTheme="minorHAnsi" w:hAnsiTheme="minorHAnsi" w:cs="Arial"/>
          <w:bCs/>
          <w:sz w:val="24"/>
          <w:szCs w:val="24"/>
          <w:lang w:val="en-GB"/>
        </w:rPr>
        <w:t xml:space="preserve">a </w:t>
      </w:r>
      <w:r w:rsidR="008554E8" w:rsidRPr="0052431D">
        <w:rPr>
          <w:rFonts w:asciiTheme="minorHAnsi" w:hAnsiTheme="minorHAnsi" w:cs="Arial"/>
          <w:bCs/>
          <w:sz w:val="24"/>
          <w:szCs w:val="24"/>
          <w:lang w:val="en-GB"/>
        </w:rPr>
        <w:t xml:space="preserve">large number of men involved in </w:t>
      </w:r>
      <w:r w:rsidR="00B15852" w:rsidRPr="0052431D">
        <w:rPr>
          <w:rFonts w:asciiTheme="minorHAnsi" w:hAnsiTheme="minorHAnsi" w:cs="Arial"/>
          <w:bCs/>
          <w:sz w:val="24"/>
          <w:szCs w:val="24"/>
          <w:lang w:val="en-GB"/>
        </w:rPr>
        <w:t>fish</w:t>
      </w:r>
      <w:r w:rsidR="002E705F" w:rsidRPr="0052431D">
        <w:rPr>
          <w:rFonts w:asciiTheme="minorHAnsi" w:hAnsiTheme="minorHAnsi" w:cs="Arial"/>
          <w:bCs/>
          <w:sz w:val="24"/>
          <w:szCs w:val="24"/>
          <w:lang w:val="en-GB"/>
        </w:rPr>
        <w:t xml:space="preserve"> catching and trading </w:t>
      </w:r>
      <w:r w:rsidR="00B15852" w:rsidRPr="0052431D">
        <w:rPr>
          <w:rFonts w:asciiTheme="minorHAnsi" w:hAnsiTheme="minorHAnsi" w:cs="Arial"/>
          <w:bCs/>
          <w:sz w:val="24"/>
          <w:szCs w:val="24"/>
          <w:lang w:val="en-GB"/>
        </w:rPr>
        <w:t>activities</w:t>
      </w:r>
      <w:r w:rsidR="002E705F" w:rsidRPr="0052431D">
        <w:rPr>
          <w:rFonts w:asciiTheme="minorHAnsi" w:hAnsiTheme="minorHAnsi" w:cs="Arial"/>
          <w:bCs/>
          <w:sz w:val="24"/>
          <w:szCs w:val="24"/>
          <w:lang w:val="en-GB"/>
        </w:rPr>
        <w:t>; l</w:t>
      </w:r>
      <w:r w:rsidR="008554E8" w:rsidRPr="0052431D">
        <w:rPr>
          <w:rFonts w:asciiTheme="minorHAnsi" w:hAnsiTheme="minorHAnsi" w:cs="Arial"/>
          <w:bCs/>
          <w:sz w:val="24"/>
          <w:szCs w:val="24"/>
          <w:lang w:val="en-GB"/>
        </w:rPr>
        <w:t xml:space="preserve">arge concentration of bars, hotels and other recreational facilities where alcohol is served; and </w:t>
      </w:r>
      <w:r w:rsidR="00F75811" w:rsidRPr="0052431D">
        <w:rPr>
          <w:rFonts w:asciiTheme="minorHAnsi" w:hAnsiTheme="minorHAnsi" w:cs="Arial"/>
          <w:bCs/>
          <w:sz w:val="24"/>
          <w:szCs w:val="24"/>
          <w:lang w:val="en-GB"/>
        </w:rPr>
        <w:t xml:space="preserve">a </w:t>
      </w:r>
      <w:r w:rsidR="008554E8" w:rsidRPr="0052431D">
        <w:rPr>
          <w:rFonts w:asciiTheme="minorHAnsi" w:hAnsiTheme="minorHAnsi" w:cs="Arial"/>
          <w:bCs/>
          <w:sz w:val="24"/>
          <w:szCs w:val="24"/>
          <w:lang w:val="en-GB"/>
        </w:rPr>
        <w:t>large number of women involved in fish processing and</w:t>
      </w:r>
      <w:r w:rsidR="002E705F" w:rsidRPr="0052431D">
        <w:rPr>
          <w:rFonts w:asciiTheme="minorHAnsi" w:hAnsiTheme="minorHAnsi" w:cs="Arial"/>
          <w:bCs/>
          <w:sz w:val="24"/>
          <w:szCs w:val="24"/>
          <w:lang w:val="en-GB"/>
        </w:rPr>
        <w:t xml:space="preserve"> </w:t>
      </w:r>
      <w:r w:rsidR="00163758">
        <w:rPr>
          <w:rFonts w:asciiTheme="minorHAnsi" w:hAnsiTheme="minorHAnsi" w:cs="Arial"/>
          <w:bCs/>
          <w:sz w:val="24"/>
          <w:szCs w:val="24"/>
          <w:lang w:val="en-GB"/>
        </w:rPr>
        <w:t>as workers in recreational facilities</w:t>
      </w:r>
      <w:r w:rsidR="008554E8" w:rsidRPr="0052431D">
        <w:rPr>
          <w:rFonts w:asciiTheme="minorHAnsi" w:hAnsiTheme="minorHAnsi" w:cs="Arial"/>
          <w:bCs/>
          <w:sz w:val="24"/>
          <w:szCs w:val="24"/>
          <w:lang w:val="en-GB"/>
        </w:rPr>
        <w:t xml:space="preserve">. </w:t>
      </w:r>
      <w:r w:rsidR="00D85B4B" w:rsidRPr="0052431D">
        <w:rPr>
          <w:rFonts w:asciiTheme="minorHAnsi" w:hAnsiTheme="minorHAnsi" w:cs="Arial"/>
          <w:bCs/>
          <w:sz w:val="24"/>
          <w:szCs w:val="24"/>
          <w:lang w:val="en-GB"/>
        </w:rPr>
        <w:t>In each community, we random</w:t>
      </w:r>
      <w:r w:rsidR="00E7627B" w:rsidRPr="0052431D">
        <w:rPr>
          <w:rFonts w:asciiTheme="minorHAnsi" w:hAnsiTheme="minorHAnsi" w:cs="Arial"/>
          <w:bCs/>
          <w:sz w:val="24"/>
          <w:szCs w:val="24"/>
          <w:lang w:val="en-GB"/>
        </w:rPr>
        <w:t>ly selected a</w:t>
      </w:r>
      <w:r w:rsidR="00D85B4B" w:rsidRPr="0052431D">
        <w:rPr>
          <w:rFonts w:asciiTheme="minorHAnsi" w:hAnsiTheme="minorHAnsi" w:cs="Arial"/>
          <w:bCs/>
          <w:sz w:val="24"/>
          <w:szCs w:val="24"/>
          <w:lang w:val="en-GB"/>
        </w:rPr>
        <w:t xml:space="preserve"> sample of adults from the </w:t>
      </w:r>
      <w:r w:rsidR="00DF28C8" w:rsidRPr="0052431D">
        <w:rPr>
          <w:rFonts w:asciiTheme="minorHAnsi" w:hAnsiTheme="minorHAnsi" w:cs="Arial"/>
          <w:bCs/>
          <w:sz w:val="24"/>
          <w:szCs w:val="24"/>
          <w:lang w:val="en-GB"/>
        </w:rPr>
        <w:t xml:space="preserve">general </w:t>
      </w:r>
      <w:r w:rsidR="00D85B4B" w:rsidRPr="0052431D">
        <w:rPr>
          <w:rFonts w:asciiTheme="minorHAnsi" w:hAnsiTheme="minorHAnsi" w:cs="Arial"/>
          <w:bCs/>
          <w:sz w:val="24"/>
          <w:szCs w:val="24"/>
          <w:lang w:val="en-GB"/>
        </w:rPr>
        <w:t>population and from three p</w:t>
      </w:r>
      <w:r w:rsidR="008A20D9">
        <w:rPr>
          <w:rFonts w:asciiTheme="minorHAnsi" w:hAnsiTheme="minorHAnsi" w:cs="Arial"/>
          <w:bCs/>
          <w:sz w:val="24"/>
          <w:szCs w:val="24"/>
          <w:lang w:val="en-GB"/>
        </w:rPr>
        <w:t xml:space="preserve">utative </w:t>
      </w:r>
      <w:r w:rsidR="00D85B4B" w:rsidRPr="0052431D">
        <w:rPr>
          <w:rFonts w:asciiTheme="minorHAnsi" w:hAnsiTheme="minorHAnsi" w:cs="Arial"/>
          <w:bCs/>
          <w:sz w:val="24"/>
          <w:szCs w:val="24"/>
          <w:lang w:val="en-GB"/>
        </w:rPr>
        <w:t>risk groups</w:t>
      </w:r>
      <w:r w:rsidR="00D85B4B" w:rsidRPr="0052431D">
        <w:rPr>
          <w:rFonts w:asciiTheme="minorHAnsi" w:hAnsiTheme="minorHAnsi" w:cs="Arial"/>
          <w:b/>
          <w:bCs/>
          <w:sz w:val="24"/>
          <w:szCs w:val="24"/>
          <w:lang w:val="en-GB"/>
        </w:rPr>
        <w:t xml:space="preserve"> </w:t>
      </w:r>
      <w:r w:rsidR="00D85B4B" w:rsidRPr="0052431D">
        <w:rPr>
          <w:rFonts w:asciiTheme="minorHAnsi" w:hAnsiTheme="minorHAnsi" w:cs="Arial"/>
          <w:bCs/>
          <w:sz w:val="24"/>
          <w:szCs w:val="24"/>
          <w:lang w:val="en-GB"/>
        </w:rPr>
        <w:t>including: 1) fishermen</w:t>
      </w:r>
      <w:r w:rsidR="00AA6516" w:rsidRPr="0052431D">
        <w:rPr>
          <w:rFonts w:asciiTheme="minorHAnsi" w:hAnsiTheme="minorHAnsi" w:cs="Arial"/>
          <w:bCs/>
          <w:sz w:val="24"/>
          <w:szCs w:val="24"/>
          <w:lang w:val="en-GB"/>
        </w:rPr>
        <w:t xml:space="preserve"> </w:t>
      </w:r>
      <w:r w:rsidR="00123748">
        <w:rPr>
          <w:rFonts w:asciiTheme="minorHAnsi" w:hAnsiTheme="minorHAnsi" w:cs="Arial"/>
          <w:bCs/>
          <w:sz w:val="24"/>
          <w:szCs w:val="24"/>
          <w:lang w:val="en-GB"/>
        </w:rPr>
        <w:t>and</w:t>
      </w:r>
      <w:r w:rsidR="00123748" w:rsidRPr="0052431D">
        <w:rPr>
          <w:rFonts w:asciiTheme="minorHAnsi" w:hAnsiTheme="minorHAnsi" w:cs="Arial"/>
          <w:bCs/>
          <w:sz w:val="24"/>
          <w:szCs w:val="24"/>
          <w:lang w:val="en-GB"/>
        </w:rPr>
        <w:t xml:space="preserve"> </w:t>
      </w:r>
      <w:r w:rsidR="00D85B4B" w:rsidRPr="0052431D">
        <w:rPr>
          <w:rFonts w:asciiTheme="minorHAnsi" w:hAnsiTheme="minorHAnsi" w:cs="Arial"/>
          <w:bCs/>
          <w:sz w:val="24"/>
          <w:szCs w:val="24"/>
          <w:lang w:val="en-GB"/>
        </w:rPr>
        <w:t>boat crews, 2) fish processors and traders, and 3)</w:t>
      </w:r>
      <w:r w:rsidR="00DD7428" w:rsidRPr="0052431D">
        <w:rPr>
          <w:rFonts w:asciiTheme="minorHAnsi" w:hAnsiTheme="minorHAnsi" w:cs="Arial"/>
          <w:bCs/>
          <w:sz w:val="24"/>
          <w:szCs w:val="24"/>
          <w:lang w:val="en-GB"/>
        </w:rPr>
        <w:t xml:space="preserve"> women </w:t>
      </w:r>
      <w:r w:rsidR="00D85B4B" w:rsidRPr="0052431D">
        <w:rPr>
          <w:rFonts w:asciiTheme="minorHAnsi" w:hAnsiTheme="minorHAnsi" w:cs="Arial"/>
          <w:bCs/>
          <w:sz w:val="24"/>
          <w:szCs w:val="24"/>
          <w:lang w:val="en-GB"/>
        </w:rPr>
        <w:t>working in</w:t>
      </w:r>
      <w:r w:rsidR="00123748">
        <w:rPr>
          <w:rFonts w:asciiTheme="minorHAnsi" w:hAnsiTheme="minorHAnsi" w:cs="Arial"/>
          <w:bCs/>
          <w:sz w:val="24"/>
          <w:szCs w:val="24"/>
          <w:lang w:val="en-GB"/>
        </w:rPr>
        <w:t xml:space="preserve"> the</w:t>
      </w:r>
      <w:r w:rsidR="00D85B4B" w:rsidRPr="0052431D">
        <w:rPr>
          <w:rFonts w:asciiTheme="minorHAnsi" w:hAnsiTheme="minorHAnsi" w:cs="Arial"/>
          <w:bCs/>
          <w:sz w:val="24"/>
          <w:szCs w:val="24"/>
          <w:lang w:val="en-GB"/>
        </w:rPr>
        <w:t xml:space="preserve"> recreational facilities</w:t>
      </w:r>
      <w:r w:rsidR="00123748">
        <w:rPr>
          <w:rFonts w:asciiTheme="minorHAnsi" w:hAnsiTheme="minorHAnsi" w:cs="Arial"/>
          <w:bCs/>
          <w:sz w:val="24"/>
          <w:szCs w:val="24"/>
          <w:lang w:val="en-GB"/>
        </w:rPr>
        <w:t xml:space="preserve"> listed above</w:t>
      </w:r>
      <w:r w:rsidR="00D85B4B" w:rsidRPr="0052431D">
        <w:rPr>
          <w:rFonts w:asciiTheme="minorHAnsi" w:hAnsiTheme="minorHAnsi" w:cs="Arial"/>
          <w:bCs/>
          <w:sz w:val="24"/>
          <w:szCs w:val="24"/>
          <w:lang w:val="en-GB"/>
        </w:rPr>
        <w:t>.</w:t>
      </w:r>
      <w:r w:rsidR="00FA6F59">
        <w:rPr>
          <w:rFonts w:asciiTheme="minorHAnsi" w:hAnsiTheme="minorHAnsi" w:cs="Arial"/>
          <w:bCs/>
          <w:sz w:val="24"/>
          <w:szCs w:val="24"/>
          <w:lang w:val="en-GB"/>
        </w:rPr>
        <w:t xml:space="preserve"> Participants selected in any of the three risk groups were excluded from the general population sample. </w:t>
      </w:r>
      <w:r w:rsidR="004E73B6" w:rsidRPr="0052431D">
        <w:rPr>
          <w:rFonts w:asciiTheme="minorHAnsi" w:hAnsiTheme="minorHAnsi" w:cs="Arial"/>
          <w:bCs/>
          <w:sz w:val="24"/>
          <w:szCs w:val="24"/>
          <w:lang w:val="en-GB"/>
        </w:rPr>
        <w:t xml:space="preserve">In each population group, </w:t>
      </w:r>
      <w:r w:rsidR="00841B16" w:rsidRPr="0052431D">
        <w:rPr>
          <w:rFonts w:asciiTheme="minorHAnsi" w:hAnsiTheme="minorHAnsi" w:cs="Arial"/>
          <w:bCs/>
          <w:sz w:val="24"/>
          <w:szCs w:val="24"/>
          <w:lang w:val="en-GB"/>
        </w:rPr>
        <w:t xml:space="preserve">those </w:t>
      </w:r>
      <w:r w:rsidR="004E73B6" w:rsidRPr="0052431D">
        <w:rPr>
          <w:rFonts w:asciiTheme="minorHAnsi" w:hAnsiTheme="minorHAnsi" w:cs="Arial"/>
          <w:bCs/>
          <w:sz w:val="24"/>
          <w:szCs w:val="24"/>
          <w:lang w:val="en-GB"/>
        </w:rPr>
        <w:t>a</w:t>
      </w:r>
      <w:r w:rsidR="00D85B4B" w:rsidRPr="0052431D">
        <w:rPr>
          <w:rFonts w:asciiTheme="minorHAnsi" w:hAnsiTheme="minorHAnsi" w:cs="Arial"/>
          <w:bCs/>
          <w:sz w:val="24"/>
          <w:szCs w:val="24"/>
          <w:lang w:val="en-GB"/>
        </w:rPr>
        <w:t>ge</w:t>
      </w:r>
      <w:r w:rsidR="00C25E87" w:rsidRPr="0052431D">
        <w:rPr>
          <w:rFonts w:asciiTheme="minorHAnsi" w:hAnsiTheme="minorHAnsi" w:cs="Arial"/>
          <w:bCs/>
          <w:sz w:val="24"/>
          <w:szCs w:val="24"/>
          <w:lang w:val="en-GB"/>
        </w:rPr>
        <w:t>d</w:t>
      </w:r>
      <w:r w:rsidR="00D85B4B" w:rsidRPr="0052431D">
        <w:rPr>
          <w:rFonts w:asciiTheme="minorHAnsi" w:hAnsiTheme="minorHAnsi" w:cs="Arial"/>
          <w:bCs/>
          <w:sz w:val="24"/>
          <w:szCs w:val="24"/>
          <w:lang w:val="en-GB"/>
        </w:rPr>
        <w:t xml:space="preserve"> </w:t>
      </w:r>
      <w:r w:rsidR="001B674A" w:rsidRPr="0052431D">
        <w:rPr>
          <w:rFonts w:asciiTheme="minorHAnsi" w:hAnsiTheme="minorHAnsi" w:cs="Arial"/>
          <w:bCs/>
          <w:sz w:val="24"/>
          <w:szCs w:val="24"/>
          <w:u w:val="single"/>
          <w:lang w:val="en-GB"/>
        </w:rPr>
        <w:t>&gt;</w:t>
      </w:r>
      <w:r w:rsidR="00D85B4B" w:rsidRPr="0052431D">
        <w:rPr>
          <w:rFonts w:asciiTheme="minorHAnsi" w:hAnsiTheme="minorHAnsi" w:cs="Arial"/>
          <w:bCs/>
          <w:sz w:val="24"/>
          <w:szCs w:val="24"/>
          <w:lang w:val="en-GB"/>
        </w:rPr>
        <w:t xml:space="preserve">18 years </w:t>
      </w:r>
      <w:r w:rsidR="0039599C" w:rsidRPr="0052431D">
        <w:rPr>
          <w:rFonts w:asciiTheme="minorHAnsi" w:hAnsiTheme="minorHAnsi" w:cs="Arial"/>
          <w:bCs/>
          <w:sz w:val="24"/>
          <w:szCs w:val="24"/>
          <w:lang w:val="en-GB"/>
        </w:rPr>
        <w:t>who were</w:t>
      </w:r>
      <w:r w:rsidR="00D85B4B" w:rsidRPr="0052431D">
        <w:rPr>
          <w:rFonts w:asciiTheme="minorHAnsi" w:hAnsiTheme="minorHAnsi" w:cs="Arial"/>
          <w:bCs/>
          <w:sz w:val="24"/>
          <w:szCs w:val="24"/>
          <w:lang w:val="en-GB"/>
        </w:rPr>
        <w:t xml:space="preserve"> willing to provide</w:t>
      </w:r>
      <w:r w:rsidR="00FA6F59">
        <w:rPr>
          <w:rFonts w:asciiTheme="minorHAnsi" w:hAnsiTheme="minorHAnsi" w:cs="Arial"/>
          <w:bCs/>
          <w:sz w:val="24"/>
          <w:szCs w:val="24"/>
          <w:lang w:val="en-GB"/>
        </w:rPr>
        <w:t xml:space="preserve"> </w:t>
      </w:r>
      <w:r w:rsidR="00FA6F59" w:rsidRPr="0052431D">
        <w:rPr>
          <w:rFonts w:asciiTheme="minorHAnsi" w:hAnsiTheme="minorHAnsi" w:cs="Arial"/>
          <w:bCs/>
          <w:sz w:val="24"/>
          <w:szCs w:val="24"/>
          <w:lang w:val="en-GB"/>
        </w:rPr>
        <w:t>written</w:t>
      </w:r>
      <w:r w:rsidR="00D85B4B" w:rsidRPr="0052431D">
        <w:rPr>
          <w:rFonts w:asciiTheme="minorHAnsi" w:hAnsiTheme="minorHAnsi" w:cs="Arial"/>
          <w:bCs/>
          <w:sz w:val="24"/>
          <w:szCs w:val="24"/>
          <w:lang w:val="en-GB"/>
        </w:rPr>
        <w:t xml:space="preserve"> informed consent and participate in the study procedures</w:t>
      </w:r>
      <w:r w:rsidR="004E73B6" w:rsidRPr="0052431D">
        <w:rPr>
          <w:rFonts w:asciiTheme="minorHAnsi" w:hAnsiTheme="minorHAnsi" w:cs="Arial"/>
          <w:bCs/>
          <w:sz w:val="24"/>
          <w:szCs w:val="24"/>
          <w:lang w:val="en-GB"/>
        </w:rPr>
        <w:t xml:space="preserve"> were eligible to </w:t>
      </w:r>
      <w:r w:rsidR="000C3066" w:rsidRPr="0052431D">
        <w:rPr>
          <w:rFonts w:asciiTheme="minorHAnsi" w:hAnsiTheme="minorHAnsi" w:cs="Arial"/>
          <w:bCs/>
          <w:sz w:val="24"/>
          <w:szCs w:val="24"/>
          <w:lang w:val="en-GB"/>
        </w:rPr>
        <w:t>join the study</w:t>
      </w:r>
      <w:r w:rsidR="00D85B4B" w:rsidRPr="0052431D">
        <w:rPr>
          <w:rFonts w:asciiTheme="minorHAnsi" w:hAnsiTheme="minorHAnsi" w:cs="Arial"/>
          <w:bCs/>
          <w:sz w:val="24"/>
          <w:szCs w:val="24"/>
          <w:lang w:val="en-GB"/>
        </w:rPr>
        <w:t>.</w:t>
      </w:r>
    </w:p>
    <w:p w14:paraId="3B55DAA8" w14:textId="06D41710" w:rsidR="00D85B4B" w:rsidRPr="0052431D" w:rsidRDefault="00D85B4B" w:rsidP="00C74418">
      <w:pPr>
        <w:spacing w:after="0" w:line="360" w:lineRule="auto"/>
        <w:jc w:val="both"/>
        <w:rPr>
          <w:rFonts w:asciiTheme="minorHAnsi" w:hAnsiTheme="minorHAnsi" w:cs="Arial"/>
          <w:bCs/>
          <w:sz w:val="24"/>
          <w:szCs w:val="24"/>
          <w:lang w:val="en-GB"/>
        </w:rPr>
      </w:pPr>
    </w:p>
    <w:p w14:paraId="0238A965" w14:textId="56035BCC" w:rsidR="00D85B4B" w:rsidRPr="0052431D" w:rsidRDefault="00D85B4B"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Before data collection</w:t>
      </w:r>
      <w:r w:rsidR="00FA6F59">
        <w:rPr>
          <w:rFonts w:asciiTheme="minorHAnsi" w:hAnsiTheme="minorHAnsi" w:cs="Arial"/>
          <w:bCs/>
          <w:sz w:val="24"/>
          <w:szCs w:val="24"/>
          <w:lang w:val="en-GB"/>
        </w:rPr>
        <w:t xml:space="preserve"> activities started, </w:t>
      </w:r>
      <w:r w:rsidR="006540D4" w:rsidRPr="0052431D">
        <w:rPr>
          <w:rFonts w:asciiTheme="minorHAnsi" w:hAnsiTheme="minorHAnsi" w:cs="Arial"/>
          <w:bCs/>
          <w:sz w:val="24"/>
          <w:szCs w:val="24"/>
          <w:lang w:val="en-GB"/>
        </w:rPr>
        <w:t xml:space="preserve">we </w:t>
      </w:r>
      <w:r w:rsidRPr="0052431D">
        <w:rPr>
          <w:rFonts w:asciiTheme="minorHAnsi" w:hAnsiTheme="minorHAnsi" w:cs="Arial"/>
          <w:bCs/>
          <w:sz w:val="24"/>
          <w:szCs w:val="24"/>
          <w:lang w:val="en-GB"/>
        </w:rPr>
        <w:t>organi</w:t>
      </w:r>
      <w:r w:rsidR="001B674A" w:rsidRPr="0052431D">
        <w:rPr>
          <w:rFonts w:asciiTheme="minorHAnsi" w:hAnsiTheme="minorHAnsi" w:cs="Arial"/>
          <w:bCs/>
          <w:sz w:val="24"/>
          <w:szCs w:val="24"/>
          <w:lang w:val="en-GB"/>
        </w:rPr>
        <w:t>z</w:t>
      </w:r>
      <w:r w:rsidRPr="0052431D">
        <w:rPr>
          <w:rFonts w:asciiTheme="minorHAnsi" w:hAnsiTheme="minorHAnsi" w:cs="Arial"/>
          <w:bCs/>
          <w:sz w:val="24"/>
          <w:szCs w:val="24"/>
          <w:lang w:val="en-GB"/>
        </w:rPr>
        <w:t>e</w:t>
      </w:r>
      <w:r w:rsidR="006540D4" w:rsidRPr="0052431D">
        <w:rPr>
          <w:rFonts w:asciiTheme="minorHAnsi" w:hAnsiTheme="minorHAnsi" w:cs="Arial"/>
          <w:bCs/>
          <w:sz w:val="24"/>
          <w:szCs w:val="24"/>
          <w:lang w:val="en-GB"/>
        </w:rPr>
        <w:t>d</w:t>
      </w:r>
      <w:r w:rsidRPr="0052431D">
        <w:rPr>
          <w:rFonts w:asciiTheme="minorHAnsi" w:hAnsiTheme="minorHAnsi" w:cs="Arial"/>
          <w:bCs/>
          <w:sz w:val="24"/>
          <w:szCs w:val="24"/>
          <w:lang w:val="en-GB"/>
        </w:rPr>
        <w:t xml:space="preserve"> meetings with </w:t>
      </w:r>
      <w:r w:rsidR="006540D4" w:rsidRPr="0052431D">
        <w:rPr>
          <w:rFonts w:asciiTheme="minorHAnsi" w:hAnsiTheme="minorHAnsi" w:cs="Arial"/>
          <w:bCs/>
          <w:sz w:val="24"/>
          <w:szCs w:val="24"/>
          <w:lang w:val="en-GB"/>
        </w:rPr>
        <w:t>community representatives</w:t>
      </w:r>
      <w:r w:rsidRPr="0052431D">
        <w:rPr>
          <w:rFonts w:asciiTheme="minorHAnsi" w:hAnsiTheme="minorHAnsi" w:cs="Arial"/>
          <w:bCs/>
          <w:sz w:val="24"/>
          <w:szCs w:val="24"/>
          <w:lang w:val="en-GB"/>
        </w:rPr>
        <w:t xml:space="preserve"> to provide information about the study and</w:t>
      </w:r>
      <w:r w:rsidR="00E7627B" w:rsidRPr="0052431D">
        <w:rPr>
          <w:rFonts w:asciiTheme="minorHAnsi" w:hAnsiTheme="minorHAnsi" w:cs="Arial"/>
          <w:bCs/>
          <w:sz w:val="24"/>
          <w:szCs w:val="24"/>
          <w:lang w:val="en-GB"/>
        </w:rPr>
        <w:t xml:space="preserve"> research</w:t>
      </w:r>
      <w:r w:rsidRPr="0052431D">
        <w:rPr>
          <w:rFonts w:asciiTheme="minorHAnsi" w:hAnsiTheme="minorHAnsi" w:cs="Arial"/>
          <w:bCs/>
          <w:sz w:val="24"/>
          <w:szCs w:val="24"/>
          <w:lang w:val="en-GB"/>
        </w:rPr>
        <w:t xml:space="preserve"> procedures. </w:t>
      </w:r>
      <w:r w:rsidR="001F10FF" w:rsidRPr="0052431D">
        <w:rPr>
          <w:rFonts w:asciiTheme="minorHAnsi" w:hAnsiTheme="minorHAnsi" w:cs="Arial"/>
          <w:bCs/>
          <w:sz w:val="24"/>
          <w:szCs w:val="24"/>
          <w:lang w:val="en-GB"/>
        </w:rPr>
        <w:t>Later, we invited p</w:t>
      </w:r>
      <w:r w:rsidR="00E7627B" w:rsidRPr="0052431D">
        <w:rPr>
          <w:rFonts w:asciiTheme="minorHAnsi" w:hAnsiTheme="minorHAnsi" w:cs="Arial"/>
          <w:bCs/>
          <w:sz w:val="24"/>
          <w:szCs w:val="24"/>
          <w:lang w:val="en-GB"/>
        </w:rPr>
        <w:t xml:space="preserve">otential </w:t>
      </w:r>
      <w:r w:rsidR="001F10FF" w:rsidRPr="0052431D">
        <w:rPr>
          <w:rFonts w:asciiTheme="minorHAnsi" w:hAnsiTheme="minorHAnsi" w:cs="Arial"/>
          <w:bCs/>
          <w:sz w:val="24"/>
          <w:szCs w:val="24"/>
          <w:lang w:val="en-GB"/>
        </w:rPr>
        <w:t>p</w:t>
      </w:r>
      <w:r w:rsidR="00764F91" w:rsidRPr="0052431D">
        <w:rPr>
          <w:rFonts w:asciiTheme="minorHAnsi" w:hAnsiTheme="minorHAnsi" w:cs="Arial"/>
          <w:bCs/>
          <w:sz w:val="24"/>
          <w:szCs w:val="24"/>
          <w:lang w:val="en-GB"/>
        </w:rPr>
        <w:t>articipants</w:t>
      </w:r>
      <w:r w:rsidR="001F10FF" w:rsidRPr="0052431D">
        <w:rPr>
          <w:rFonts w:asciiTheme="minorHAnsi" w:hAnsiTheme="minorHAnsi" w:cs="Arial"/>
          <w:bCs/>
          <w:sz w:val="24"/>
          <w:szCs w:val="24"/>
          <w:lang w:val="en-GB"/>
        </w:rPr>
        <w:t xml:space="preserve"> to attend a </w:t>
      </w:r>
      <w:r w:rsidR="006540D4" w:rsidRPr="0052431D">
        <w:rPr>
          <w:rFonts w:asciiTheme="minorHAnsi" w:hAnsiTheme="minorHAnsi" w:cs="Arial"/>
          <w:bCs/>
          <w:sz w:val="24"/>
          <w:szCs w:val="24"/>
          <w:lang w:val="en-GB"/>
        </w:rPr>
        <w:t xml:space="preserve">meeting in </w:t>
      </w:r>
      <w:r w:rsidRPr="0052431D">
        <w:rPr>
          <w:rFonts w:asciiTheme="minorHAnsi" w:hAnsiTheme="minorHAnsi" w:cs="Arial"/>
          <w:bCs/>
          <w:sz w:val="24"/>
          <w:szCs w:val="24"/>
          <w:lang w:val="en-GB"/>
        </w:rPr>
        <w:t>a central co</w:t>
      </w:r>
      <w:r w:rsidR="001B674A" w:rsidRPr="0052431D">
        <w:rPr>
          <w:rFonts w:asciiTheme="minorHAnsi" w:hAnsiTheme="minorHAnsi" w:cs="Arial"/>
          <w:bCs/>
          <w:sz w:val="24"/>
          <w:szCs w:val="24"/>
          <w:lang w:val="en-GB"/>
        </w:rPr>
        <w:t xml:space="preserve">mmunity </w:t>
      </w:r>
      <w:r w:rsidRPr="0052431D">
        <w:rPr>
          <w:rFonts w:asciiTheme="minorHAnsi" w:hAnsiTheme="minorHAnsi" w:cs="Arial"/>
          <w:bCs/>
          <w:sz w:val="24"/>
          <w:szCs w:val="24"/>
          <w:lang w:val="en-GB"/>
        </w:rPr>
        <w:t xml:space="preserve">location </w:t>
      </w:r>
      <w:r w:rsidR="00764F91" w:rsidRPr="0052431D">
        <w:rPr>
          <w:rFonts w:asciiTheme="minorHAnsi" w:hAnsiTheme="minorHAnsi" w:cs="Arial"/>
          <w:bCs/>
          <w:sz w:val="24"/>
          <w:szCs w:val="24"/>
          <w:lang w:val="en-GB"/>
        </w:rPr>
        <w:t>to receive detailed information about the study. Those intere</w:t>
      </w:r>
      <w:r w:rsidRPr="0052431D">
        <w:rPr>
          <w:rFonts w:asciiTheme="minorHAnsi" w:hAnsiTheme="minorHAnsi" w:cs="Arial"/>
          <w:bCs/>
          <w:sz w:val="24"/>
          <w:szCs w:val="24"/>
          <w:lang w:val="en-GB"/>
        </w:rPr>
        <w:t xml:space="preserve">sted </w:t>
      </w:r>
      <w:r w:rsidR="00465FDC" w:rsidRPr="0052431D">
        <w:rPr>
          <w:rFonts w:asciiTheme="minorHAnsi" w:hAnsiTheme="minorHAnsi" w:cs="Arial"/>
          <w:bCs/>
          <w:sz w:val="24"/>
          <w:szCs w:val="24"/>
          <w:lang w:val="en-GB"/>
        </w:rPr>
        <w:t xml:space="preserve">in </w:t>
      </w:r>
      <w:r w:rsidR="001B674A" w:rsidRPr="0052431D">
        <w:rPr>
          <w:rFonts w:asciiTheme="minorHAnsi" w:hAnsiTheme="minorHAnsi" w:cs="Arial"/>
          <w:bCs/>
          <w:sz w:val="24"/>
          <w:szCs w:val="24"/>
          <w:lang w:val="en-GB"/>
        </w:rPr>
        <w:t xml:space="preserve">participating </w:t>
      </w:r>
      <w:r w:rsidRPr="0052431D">
        <w:rPr>
          <w:rFonts w:asciiTheme="minorHAnsi" w:hAnsiTheme="minorHAnsi" w:cs="Arial"/>
          <w:bCs/>
          <w:sz w:val="24"/>
          <w:szCs w:val="24"/>
          <w:lang w:val="en-GB"/>
        </w:rPr>
        <w:t>provide</w:t>
      </w:r>
      <w:r w:rsidR="006540D4" w:rsidRPr="0052431D">
        <w:rPr>
          <w:rFonts w:asciiTheme="minorHAnsi" w:hAnsiTheme="minorHAnsi" w:cs="Arial"/>
          <w:bCs/>
          <w:sz w:val="24"/>
          <w:szCs w:val="24"/>
          <w:lang w:val="en-GB"/>
        </w:rPr>
        <w:t>d</w:t>
      </w:r>
      <w:r w:rsidRPr="0052431D">
        <w:rPr>
          <w:rFonts w:asciiTheme="minorHAnsi" w:hAnsiTheme="minorHAnsi" w:cs="Arial"/>
          <w:bCs/>
          <w:sz w:val="24"/>
          <w:szCs w:val="24"/>
          <w:lang w:val="en-GB"/>
        </w:rPr>
        <w:t xml:space="preserve"> written informed consent before being interviewed by interviewer</w:t>
      </w:r>
      <w:r w:rsidR="00816ECF" w:rsidRPr="0052431D">
        <w:rPr>
          <w:rFonts w:asciiTheme="minorHAnsi" w:hAnsiTheme="minorHAnsi" w:cs="Arial"/>
          <w:bCs/>
          <w:sz w:val="24"/>
          <w:szCs w:val="24"/>
          <w:lang w:val="en-GB"/>
        </w:rPr>
        <w:t>s</w:t>
      </w:r>
      <w:r w:rsidR="00C25E87" w:rsidRPr="0052431D">
        <w:rPr>
          <w:rFonts w:asciiTheme="minorHAnsi" w:hAnsiTheme="minorHAnsi" w:cs="Arial"/>
          <w:bCs/>
          <w:sz w:val="24"/>
          <w:szCs w:val="24"/>
          <w:lang w:val="en-GB"/>
        </w:rPr>
        <w:t xml:space="preserve"> of the same sex</w:t>
      </w:r>
      <w:r w:rsidR="001B674A" w:rsidRPr="0052431D">
        <w:rPr>
          <w:rFonts w:asciiTheme="minorHAnsi" w:hAnsiTheme="minorHAnsi" w:cs="Arial"/>
          <w:bCs/>
          <w:sz w:val="24"/>
          <w:szCs w:val="24"/>
          <w:lang w:val="en-GB"/>
        </w:rPr>
        <w:t xml:space="preserve"> in a private setting</w:t>
      </w:r>
      <w:r w:rsidR="006E6846" w:rsidRPr="0052431D">
        <w:rPr>
          <w:rFonts w:asciiTheme="minorHAnsi" w:hAnsiTheme="minorHAnsi" w:cs="Arial"/>
          <w:bCs/>
          <w:sz w:val="24"/>
          <w:szCs w:val="24"/>
          <w:lang w:val="en-GB"/>
        </w:rPr>
        <w:t>. During the interviews, we c</w:t>
      </w:r>
      <w:r w:rsidRPr="0052431D">
        <w:rPr>
          <w:rFonts w:asciiTheme="minorHAnsi" w:hAnsiTheme="minorHAnsi" w:cs="Arial"/>
          <w:bCs/>
          <w:sz w:val="24"/>
          <w:szCs w:val="24"/>
          <w:lang w:val="en-GB"/>
        </w:rPr>
        <w:t>ollect</w:t>
      </w:r>
      <w:r w:rsidR="006E6846" w:rsidRPr="0052431D">
        <w:rPr>
          <w:rFonts w:asciiTheme="minorHAnsi" w:hAnsiTheme="minorHAnsi" w:cs="Arial"/>
          <w:bCs/>
          <w:sz w:val="24"/>
          <w:szCs w:val="24"/>
          <w:lang w:val="en-GB"/>
        </w:rPr>
        <w:t>ed</w:t>
      </w:r>
      <w:r w:rsidRPr="0052431D">
        <w:rPr>
          <w:rFonts w:asciiTheme="minorHAnsi" w:hAnsiTheme="minorHAnsi" w:cs="Arial"/>
          <w:bCs/>
          <w:sz w:val="24"/>
          <w:szCs w:val="24"/>
          <w:lang w:val="en-GB"/>
        </w:rPr>
        <w:t xml:space="preserve"> information about soc</w:t>
      </w:r>
      <w:r w:rsidR="007405D2" w:rsidRPr="0052431D">
        <w:rPr>
          <w:rFonts w:asciiTheme="minorHAnsi" w:hAnsiTheme="minorHAnsi" w:cs="Arial"/>
          <w:bCs/>
          <w:sz w:val="24"/>
          <w:szCs w:val="24"/>
          <w:lang w:val="en-GB"/>
        </w:rPr>
        <w:t>io-demographic characteristics,</w:t>
      </w:r>
      <w:r w:rsidRPr="0052431D">
        <w:rPr>
          <w:rFonts w:asciiTheme="minorHAnsi" w:hAnsiTheme="minorHAnsi" w:cs="Arial"/>
          <w:bCs/>
          <w:sz w:val="24"/>
          <w:szCs w:val="24"/>
          <w:lang w:val="en-GB"/>
        </w:rPr>
        <w:t xml:space="preserve"> </w:t>
      </w:r>
      <w:r w:rsidR="006540D4" w:rsidRPr="0052431D">
        <w:rPr>
          <w:rFonts w:asciiTheme="minorHAnsi" w:hAnsiTheme="minorHAnsi" w:cs="Arial"/>
          <w:bCs/>
          <w:sz w:val="24"/>
          <w:szCs w:val="24"/>
          <w:lang w:val="en-GB"/>
        </w:rPr>
        <w:t xml:space="preserve">sexual </w:t>
      </w:r>
      <w:r w:rsidRPr="0052431D">
        <w:rPr>
          <w:rFonts w:asciiTheme="minorHAnsi" w:hAnsiTheme="minorHAnsi" w:cs="Arial"/>
          <w:bCs/>
          <w:sz w:val="24"/>
          <w:szCs w:val="24"/>
          <w:lang w:val="en-GB"/>
        </w:rPr>
        <w:t xml:space="preserve">behaviours, male circumcision status, STI-related symptoms, history of STI diagnosis and treatment, and other potential risk factors. </w:t>
      </w:r>
      <w:r w:rsidR="002E705F" w:rsidRPr="0052431D">
        <w:rPr>
          <w:rFonts w:asciiTheme="minorHAnsi" w:hAnsiTheme="minorHAnsi" w:cs="Arial"/>
          <w:sz w:val="24"/>
          <w:szCs w:val="24"/>
          <w:lang w:val="en-GB"/>
        </w:rPr>
        <w:t>After the interview,</w:t>
      </w:r>
      <w:r w:rsidR="004E7BA2" w:rsidRPr="0052431D">
        <w:rPr>
          <w:rFonts w:asciiTheme="minorHAnsi" w:hAnsiTheme="minorHAnsi" w:cs="Arial"/>
          <w:sz w:val="24"/>
          <w:szCs w:val="24"/>
          <w:lang w:val="en-GB"/>
        </w:rPr>
        <w:t xml:space="preserve"> </w:t>
      </w:r>
      <w:r w:rsidRPr="0052431D">
        <w:rPr>
          <w:rFonts w:asciiTheme="minorHAnsi" w:hAnsiTheme="minorHAnsi" w:cs="Arial"/>
          <w:bCs/>
          <w:sz w:val="24"/>
          <w:szCs w:val="24"/>
          <w:lang w:val="en-GB"/>
        </w:rPr>
        <w:t>HIV/STI counselling w</w:t>
      </w:r>
      <w:r w:rsidR="0099764B" w:rsidRPr="0052431D">
        <w:rPr>
          <w:rFonts w:asciiTheme="minorHAnsi" w:hAnsiTheme="minorHAnsi" w:cs="Arial"/>
          <w:bCs/>
          <w:sz w:val="24"/>
          <w:szCs w:val="24"/>
          <w:lang w:val="en-GB"/>
        </w:rPr>
        <w:t>as p</w:t>
      </w:r>
      <w:r w:rsidRPr="0052431D">
        <w:rPr>
          <w:rFonts w:asciiTheme="minorHAnsi" w:hAnsiTheme="minorHAnsi" w:cs="Arial"/>
          <w:bCs/>
          <w:sz w:val="24"/>
          <w:szCs w:val="24"/>
          <w:lang w:val="en-GB"/>
        </w:rPr>
        <w:t xml:space="preserve">rovided before venous blood </w:t>
      </w:r>
      <w:r w:rsidR="0099764B" w:rsidRPr="0052431D">
        <w:rPr>
          <w:rFonts w:asciiTheme="minorHAnsi" w:hAnsiTheme="minorHAnsi" w:cs="Arial"/>
          <w:bCs/>
          <w:sz w:val="24"/>
          <w:szCs w:val="24"/>
          <w:lang w:val="en-GB"/>
        </w:rPr>
        <w:t>wa</w:t>
      </w:r>
      <w:r w:rsidRPr="0052431D">
        <w:rPr>
          <w:rFonts w:asciiTheme="minorHAnsi" w:hAnsiTheme="minorHAnsi" w:cs="Arial"/>
          <w:bCs/>
          <w:sz w:val="24"/>
          <w:szCs w:val="24"/>
          <w:lang w:val="en-GB"/>
        </w:rPr>
        <w:t>s collected for HIV</w:t>
      </w:r>
      <w:r w:rsidR="00D75B51" w:rsidRPr="0052431D">
        <w:rPr>
          <w:rFonts w:asciiTheme="minorHAnsi" w:hAnsiTheme="minorHAnsi" w:cs="Arial"/>
          <w:bCs/>
          <w:sz w:val="24"/>
          <w:szCs w:val="24"/>
          <w:lang w:val="en-GB"/>
        </w:rPr>
        <w:t xml:space="preserve"> and</w:t>
      </w:r>
      <w:r w:rsidR="007B34D6" w:rsidRPr="0052431D">
        <w:rPr>
          <w:rFonts w:asciiTheme="minorHAnsi" w:hAnsiTheme="minorHAnsi" w:cs="Arial"/>
          <w:bCs/>
          <w:sz w:val="24"/>
          <w:szCs w:val="24"/>
          <w:lang w:val="en-GB"/>
        </w:rPr>
        <w:t xml:space="preserve"> </w:t>
      </w:r>
      <w:r w:rsidRPr="0052431D">
        <w:rPr>
          <w:rFonts w:asciiTheme="minorHAnsi" w:hAnsiTheme="minorHAnsi" w:cs="Arial"/>
          <w:bCs/>
          <w:sz w:val="24"/>
          <w:szCs w:val="24"/>
          <w:lang w:val="en-GB"/>
        </w:rPr>
        <w:t>syphilis</w:t>
      </w:r>
      <w:r w:rsidR="00D75B51" w:rsidRPr="0052431D">
        <w:rPr>
          <w:rFonts w:asciiTheme="minorHAnsi" w:hAnsiTheme="minorHAnsi" w:cs="Arial"/>
          <w:bCs/>
          <w:sz w:val="24"/>
          <w:szCs w:val="24"/>
          <w:lang w:val="en-GB"/>
        </w:rPr>
        <w:t xml:space="preserve"> testing</w:t>
      </w:r>
      <w:r w:rsidR="007B34D6" w:rsidRPr="0052431D">
        <w:rPr>
          <w:rFonts w:asciiTheme="minorHAnsi" w:hAnsiTheme="minorHAnsi" w:cs="Arial"/>
          <w:bCs/>
          <w:sz w:val="24"/>
          <w:szCs w:val="24"/>
          <w:lang w:val="en-GB"/>
        </w:rPr>
        <w:t xml:space="preserve">, and </w:t>
      </w:r>
      <w:r w:rsidR="0098798B" w:rsidRPr="0052431D">
        <w:rPr>
          <w:rFonts w:asciiTheme="minorHAnsi" w:hAnsiTheme="minorHAnsi" w:cs="Arial"/>
          <w:bCs/>
          <w:sz w:val="24"/>
          <w:szCs w:val="24"/>
          <w:lang w:val="en-GB"/>
        </w:rPr>
        <w:t>long-term storage</w:t>
      </w:r>
      <w:r w:rsidRPr="0052431D">
        <w:rPr>
          <w:rFonts w:asciiTheme="minorHAnsi" w:hAnsiTheme="minorHAnsi" w:cs="Arial"/>
          <w:bCs/>
          <w:sz w:val="24"/>
          <w:szCs w:val="24"/>
          <w:lang w:val="en-GB"/>
        </w:rPr>
        <w:t xml:space="preserve">. </w:t>
      </w:r>
    </w:p>
    <w:p w14:paraId="12C2A709" w14:textId="508EB8B8" w:rsidR="004A6DEE" w:rsidRPr="0052431D" w:rsidRDefault="004A6DEE" w:rsidP="00C74418">
      <w:pPr>
        <w:spacing w:after="0" w:line="360" w:lineRule="auto"/>
        <w:jc w:val="both"/>
        <w:rPr>
          <w:rFonts w:asciiTheme="minorHAnsi" w:hAnsiTheme="minorHAnsi" w:cs="Arial"/>
          <w:bCs/>
          <w:sz w:val="24"/>
          <w:szCs w:val="24"/>
          <w:lang w:val="en-GB"/>
        </w:rPr>
      </w:pPr>
    </w:p>
    <w:p w14:paraId="594DFB37" w14:textId="03B41B82" w:rsidR="004A6DEE" w:rsidRPr="0052431D" w:rsidRDefault="004A6DEE" w:rsidP="00C74418">
      <w:pPr>
        <w:spacing w:after="0" w:line="360" w:lineRule="auto"/>
        <w:jc w:val="both"/>
        <w:rPr>
          <w:rFonts w:asciiTheme="minorHAnsi" w:hAnsiTheme="minorHAnsi" w:cs="Arial"/>
          <w:bCs/>
          <w:sz w:val="24"/>
          <w:szCs w:val="24"/>
          <w:lang w:val="en-GB"/>
        </w:rPr>
      </w:pPr>
      <w:r w:rsidRPr="0052431D">
        <w:rPr>
          <w:rFonts w:asciiTheme="minorHAnsi" w:hAnsiTheme="minorHAnsi"/>
          <w:sz w:val="24"/>
          <w:szCs w:val="24"/>
          <w:lang w:val="en-GB" w:eastAsia="en-GB"/>
        </w:rPr>
        <w:t>Among those who reported STI</w:t>
      </w:r>
      <w:r w:rsidR="00465FDC" w:rsidRPr="0052431D">
        <w:rPr>
          <w:rFonts w:asciiTheme="minorHAnsi" w:hAnsiTheme="minorHAnsi"/>
          <w:sz w:val="24"/>
          <w:szCs w:val="24"/>
          <w:lang w:val="en-GB" w:eastAsia="en-GB"/>
        </w:rPr>
        <w:t>-related</w:t>
      </w:r>
      <w:r w:rsidRPr="0052431D">
        <w:rPr>
          <w:rFonts w:asciiTheme="minorHAnsi" w:hAnsiTheme="minorHAnsi"/>
          <w:sz w:val="24"/>
          <w:szCs w:val="24"/>
          <w:lang w:val="en-GB" w:eastAsia="en-GB"/>
        </w:rPr>
        <w:t xml:space="preserve"> symptoms, clinical examination was </w:t>
      </w:r>
      <w:r w:rsidR="00465FDC" w:rsidRPr="0052431D">
        <w:rPr>
          <w:rFonts w:asciiTheme="minorHAnsi" w:hAnsiTheme="minorHAnsi"/>
          <w:sz w:val="24"/>
          <w:szCs w:val="24"/>
          <w:lang w:val="en-GB" w:eastAsia="en-GB"/>
        </w:rPr>
        <w:t xml:space="preserve">performed </w:t>
      </w:r>
      <w:r w:rsidRPr="0052431D">
        <w:rPr>
          <w:rFonts w:asciiTheme="minorHAnsi" w:hAnsiTheme="minorHAnsi"/>
          <w:sz w:val="24"/>
          <w:szCs w:val="24"/>
          <w:lang w:val="en-GB" w:eastAsia="en-GB"/>
        </w:rPr>
        <w:t>to confirm reported symptoms</w:t>
      </w:r>
      <w:r w:rsidR="00AF648E" w:rsidRPr="0052431D">
        <w:rPr>
          <w:rFonts w:asciiTheme="minorHAnsi" w:hAnsiTheme="minorHAnsi"/>
          <w:sz w:val="24"/>
          <w:szCs w:val="24"/>
          <w:lang w:val="en-GB" w:eastAsia="en-GB"/>
        </w:rPr>
        <w:t xml:space="preserve"> objectively</w:t>
      </w:r>
      <w:r w:rsidRPr="0052431D">
        <w:rPr>
          <w:rFonts w:asciiTheme="minorHAnsi" w:hAnsiTheme="minorHAnsi"/>
          <w:sz w:val="24"/>
          <w:szCs w:val="24"/>
          <w:lang w:val="en-GB" w:eastAsia="en-GB"/>
        </w:rPr>
        <w:t xml:space="preserve">. </w:t>
      </w:r>
      <w:r w:rsidRPr="0052431D">
        <w:rPr>
          <w:rFonts w:asciiTheme="minorHAnsi" w:hAnsiTheme="minorHAnsi" w:cs="Arial"/>
          <w:bCs/>
          <w:sz w:val="24"/>
          <w:szCs w:val="24"/>
          <w:lang w:val="en-GB"/>
        </w:rPr>
        <w:t xml:space="preserve">All those with STI syndromes and laboratory confirmed syphilis were treated </w:t>
      </w:r>
      <w:r w:rsidR="001B674A" w:rsidRPr="0052431D">
        <w:rPr>
          <w:rFonts w:asciiTheme="minorHAnsi" w:hAnsiTheme="minorHAnsi" w:cs="Arial"/>
          <w:bCs/>
          <w:sz w:val="24"/>
          <w:szCs w:val="24"/>
          <w:lang w:val="en-GB"/>
        </w:rPr>
        <w:t xml:space="preserve">following </w:t>
      </w:r>
      <w:r w:rsidRPr="0052431D">
        <w:rPr>
          <w:rFonts w:asciiTheme="minorHAnsi" w:hAnsiTheme="minorHAnsi" w:cs="Arial"/>
          <w:bCs/>
          <w:sz w:val="24"/>
          <w:szCs w:val="24"/>
          <w:lang w:val="en-GB"/>
        </w:rPr>
        <w:t xml:space="preserve">national management guidelines. Partners of study participants </w:t>
      </w:r>
      <w:r w:rsidR="001F10FF" w:rsidRPr="0052431D">
        <w:rPr>
          <w:rFonts w:asciiTheme="minorHAnsi" w:hAnsiTheme="minorHAnsi" w:cs="Arial"/>
          <w:bCs/>
          <w:sz w:val="24"/>
          <w:szCs w:val="24"/>
          <w:lang w:val="en-GB"/>
        </w:rPr>
        <w:t>with confirmed STI syndromes and/or s</w:t>
      </w:r>
      <w:r w:rsidRPr="0052431D">
        <w:rPr>
          <w:rFonts w:asciiTheme="minorHAnsi" w:hAnsiTheme="minorHAnsi"/>
          <w:sz w:val="24"/>
          <w:szCs w:val="24"/>
          <w:lang w:val="en-GB"/>
        </w:rPr>
        <w:t>yphilis were also invited (using invitation slips</w:t>
      </w:r>
      <w:r w:rsidR="00A81257">
        <w:rPr>
          <w:rFonts w:asciiTheme="minorHAnsi" w:hAnsiTheme="minorHAnsi"/>
          <w:sz w:val="24"/>
          <w:szCs w:val="24"/>
          <w:lang w:val="en-GB"/>
        </w:rPr>
        <w:t xml:space="preserve"> delivered by the index study volunteer</w:t>
      </w:r>
      <w:r w:rsidRPr="0052431D">
        <w:rPr>
          <w:rFonts w:asciiTheme="minorHAnsi" w:hAnsiTheme="minorHAnsi"/>
          <w:sz w:val="24"/>
          <w:szCs w:val="24"/>
          <w:lang w:val="en-GB"/>
        </w:rPr>
        <w:t xml:space="preserve">) to come to the study site for treatment which was provided </w:t>
      </w:r>
      <w:r w:rsidR="006E6846" w:rsidRPr="0052431D">
        <w:rPr>
          <w:rFonts w:asciiTheme="minorHAnsi" w:hAnsiTheme="minorHAnsi"/>
          <w:sz w:val="24"/>
          <w:szCs w:val="24"/>
          <w:lang w:val="en-GB"/>
        </w:rPr>
        <w:t>at no cost</w:t>
      </w:r>
      <w:r w:rsidRPr="0052431D">
        <w:rPr>
          <w:rFonts w:asciiTheme="minorHAnsi" w:hAnsiTheme="minorHAnsi"/>
          <w:sz w:val="24"/>
          <w:szCs w:val="24"/>
          <w:lang w:val="en-GB"/>
        </w:rPr>
        <w:t>.</w:t>
      </w:r>
    </w:p>
    <w:p w14:paraId="16691B6E" w14:textId="77777777" w:rsidR="004A6DEE" w:rsidRPr="0052431D" w:rsidRDefault="004A6DEE" w:rsidP="00C74418">
      <w:pPr>
        <w:spacing w:after="0" w:line="360" w:lineRule="auto"/>
        <w:jc w:val="both"/>
        <w:rPr>
          <w:rFonts w:asciiTheme="minorHAnsi" w:hAnsiTheme="minorHAnsi" w:cs="Arial"/>
          <w:bCs/>
          <w:sz w:val="24"/>
          <w:szCs w:val="24"/>
          <w:lang w:val="en-GB"/>
        </w:rPr>
      </w:pPr>
    </w:p>
    <w:p w14:paraId="01EC8DFD" w14:textId="51D00910" w:rsidR="003E7F5D" w:rsidRPr="0052431D" w:rsidRDefault="00D85B4B"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
          <w:sz w:val="24"/>
          <w:szCs w:val="24"/>
          <w:lang w:val="en-GB"/>
        </w:rPr>
        <w:t xml:space="preserve">Laboratory </w:t>
      </w:r>
      <w:r w:rsidR="00DF7758">
        <w:rPr>
          <w:rFonts w:asciiTheme="minorHAnsi" w:hAnsiTheme="minorHAnsi" w:cs="Arial"/>
          <w:b/>
          <w:sz w:val="24"/>
          <w:szCs w:val="24"/>
          <w:lang w:val="en-GB"/>
        </w:rPr>
        <w:t>methods</w:t>
      </w:r>
    </w:p>
    <w:p w14:paraId="158E3861" w14:textId="796AF803" w:rsidR="00D256CC" w:rsidRPr="0052431D" w:rsidRDefault="001B674A"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Point-of-care </w:t>
      </w:r>
      <w:r w:rsidR="00D85B4B" w:rsidRPr="0052431D">
        <w:rPr>
          <w:rFonts w:asciiTheme="minorHAnsi" w:hAnsiTheme="minorHAnsi" w:cs="Arial"/>
          <w:bCs/>
          <w:sz w:val="24"/>
          <w:szCs w:val="24"/>
          <w:lang w:val="en-GB"/>
        </w:rPr>
        <w:t>HIV-1 testing w</w:t>
      </w:r>
      <w:r w:rsidR="00D256CC" w:rsidRPr="0052431D">
        <w:rPr>
          <w:rFonts w:asciiTheme="minorHAnsi" w:hAnsiTheme="minorHAnsi" w:cs="Arial"/>
          <w:bCs/>
          <w:sz w:val="24"/>
          <w:szCs w:val="24"/>
          <w:lang w:val="en-GB"/>
        </w:rPr>
        <w:t xml:space="preserve">as </w:t>
      </w:r>
      <w:r w:rsidR="00D85B4B" w:rsidRPr="0052431D">
        <w:rPr>
          <w:rFonts w:asciiTheme="minorHAnsi" w:hAnsiTheme="minorHAnsi" w:cs="Arial"/>
          <w:bCs/>
          <w:sz w:val="24"/>
          <w:szCs w:val="24"/>
          <w:lang w:val="en-GB"/>
        </w:rPr>
        <w:t xml:space="preserve">done by certified research staff using rapid test kits </w:t>
      </w:r>
      <w:r w:rsidRPr="0052431D">
        <w:rPr>
          <w:rFonts w:asciiTheme="minorHAnsi" w:hAnsiTheme="minorHAnsi" w:cs="Arial"/>
          <w:bCs/>
          <w:sz w:val="24"/>
          <w:szCs w:val="24"/>
          <w:lang w:val="en-GB"/>
        </w:rPr>
        <w:t xml:space="preserve">following </w:t>
      </w:r>
      <w:r w:rsidR="00D85B4B" w:rsidRPr="0052431D">
        <w:rPr>
          <w:rFonts w:asciiTheme="minorHAnsi" w:hAnsiTheme="minorHAnsi" w:cs="Arial"/>
          <w:bCs/>
          <w:sz w:val="24"/>
          <w:szCs w:val="24"/>
          <w:lang w:val="en-GB"/>
        </w:rPr>
        <w:t>Tanzania</w:t>
      </w:r>
      <w:r w:rsidRPr="0052431D">
        <w:rPr>
          <w:rFonts w:asciiTheme="minorHAnsi" w:hAnsiTheme="minorHAnsi" w:cs="Arial"/>
          <w:bCs/>
          <w:sz w:val="24"/>
          <w:szCs w:val="24"/>
          <w:lang w:val="en-GB"/>
        </w:rPr>
        <w:t>n</w:t>
      </w:r>
      <w:r w:rsidR="00D85B4B" w:rsidRPr="0052431D">
        <w:rPr>
          <w:rFonts w:asciiTheme="minorHAnsi" w:hAnsiTheme="minorHAnsi" w:cs="Arial"/>
          <w:bCs/>
          <w:sz w:val="24"/>
          <w:szCs w:val="24"/>
          <w:lang w:val="en-GB"/>
        </w:rPr>
        <w:t xml:space="preserve"> national diagnostic algorithms.  </w:t>
      </w:r>
      <w:r w:rsidR="00D85B4B" w:rsidRPr="0052431D">
        <w:rPr>
          <w:rFonts w:asciiTheme="minorHAnsi" w:hAnsiTheme="minorHAnsi" w:cs="Arial"/>
          <w:sz w:val="24"/>
          <w:szCs w:val="24"/>
          <w:lang w:val="en-GB"/>
        </w:rPr>
        <w:t xml:space="preserve">Determine™ HIV1/2 </w:t>
      </w:r>
      <w:r w:rsidR="00D85B4B" w:rsidRPr="0052431D">
        <w:rPr>
          <w:rFonts w:asciiTheme="minorHAnsi" w:hAnsiTheme="minorHAnsi"/>
          <w:sz w:val="24"/>
          <w:szCs w:val="24"/>
          <w:lang w:val="en-GB"/>
        </w:rPr>
        <w:t xml:space="preserve">(Alere Medical Co. Ltd., </w:t>
      </w:r>
      <w:proofErr w:type="spellStart"/>
      <w:r w:rsidR="00D85B4B" w:rsidRPr="0052431D">
        <w:rPr>
          <w:rFonts w:asciiTheme="minorHAnsi" w:hAnsiTheme="minorHAnsi"/>
          <w:sz w:val="24"/>
          <w:szCs w:val="24"/>
          <w:lang w:val="en-GB"/>
        </w:rPr>
        <w:t>Mitsudo-shi</w:t>
      </w:r>
      <w:proofErr w:type="spellEnd"/>
      <w:r w:rsidR="00D85B4B" w:rsidRPr="0052431D">
        <w:rPr>
          <w:rFonts w:asciiTheme="minorHAnsi" w:hAnsiTheme="minorHAnsi"/>
          <w:sz w:val="24"/>
          <w:szCs w:val="24"/>
          <w:lang w:val="en-GB"/>
        </w:rPr>
        <w:t xml:space="preserve">, Chiba, Japan) </w:t>
      </w:r>
      <w:r w:rsidR="00D85B4B" w:rsidRPr="0052431D">
        <w:rPr>
          <w:rFonts w:asciiTheme="minorHAnsi" w:hAnsiTheme="minorHAnsi" w:cs="Arial"/>
          <w:sz w:val="24"/>
          <w:szCs w:val="24"/>
          <w:lang w:val="en-GB"/>
        </w:rPr>
        <w:t>w</w:t>
      </w:r>
      <w:r w:rsidR="00D256CC" w:rsidRPr="0052431D">
        <w:rPr>
          <w:rFonts w:asciiTheme="minorHAnsi" w:hAnsiTheme="minorHAnsi" w:cs="Arial"/>
          <w:sz w:val="24"/>
          <w:szCs w:val="24"/>
          <w:lang w:val="en-GB"/>
        </w:rPr>
        <w:t xml:space="preserve">as </w:t>
      </w:r>
      <w:r w:rsidR="00D85B4B" w:rsidRPr="0052431D">
        <w:rPr>
          <w:rFonts w:asciiTheme="minorHAnsi" w:hAnsiTheme="minorHAnsi" w:cs="Arial"/>
          <w:sz w:val="24"/>
          <w:szCs w:val="24"/>
          <w:lang w:val="en-GB"/>
        </w:rPr>
        <w:t>used as a first-line test and negative results w</w:t>
      </w:r>
      <w:r w:rsidR="00355844" w:rsidRPr="0052431D">
        <w:rPr>
          <w:rFonts w:asciiTheme="minorHAnsi" w:hAnsiTheme="minorHAnsi" w:cs="Arial"/>
          <w:sz w:val="24"/>
          <w:szCs w:val="24"/>
          <w:lang w:val="en-GB"/>
        </w:rPr>
        <w:t>ere</w:t>
      </w:r>
      <w:r w:rsidR="00D85B4B" w:rsidRPr="0052431D">
        <w:rPr>
          <w:rFonts w:asciiTheme="minorHAnsi" w:hAnsiTheme="minorHAnsi" w:cs="Arial"/>
          <w:sz w:val="24"/>
          <w:szCs w:val="24"/>
          <w:lang w:val="en-GB"/>
        </w:rPr>
        <w:t xml:space="preserve"> recorded as such. Positive samples </w:t>
      </w:r>
      <w:r w:rsidR="0073264F" w:rsidRPr="0052431D">
        <w:rPr>
          <w:rFonts w:asciiTheme="minorHAnsi" w:hAnsiTheme="minorHAnsi" w:cs="Arial"/>
          <w:sz w:val="24"/>
          <w:szCs w:val="24"/>
          <w:lang w:val="en-GB"/>
        </w:rPr>
        <w:t>were</w:t>
      </w:r>
      <w:r w:rsidR="00D85B4B" w:rsidRPr="0052431D">
        <w:rPr>
          <w:rFonts w:asciiTheme="minorHAnsi" w:hAnsiTheme="minorHAnsi" w:cs="Arial"/>
          <w:sz w:val="24"/>
          <w:szCs w:val="24"/>
          <w:lang w:val="en-GB"/>
        </w:rPr>
        <w:t xml:space="preserve"> confirmed by Uni-Gold™ HIV (Trinity Biotech, Plc, Bray, </w:t>
      </w:r>
      <w:proofErr w:type="spellStart"/>
      <w:proofErr w:type="gramStart"/>
      <w:r w:rsidR="00D85B4B" w:rsidRPr="0052431D">
        <w:rPr>
          <w:rFonts w:asciiTheme="minorHAnsi" w:hAnsiTheme="minorHAnsi" w:cs="Arial"/>
          <w:sz w:val="24"/>
          <w:szCs w:val="24"/>
          <w:lang w:val="en-GB"/>
        </w:rPr>
        <w:t>Co.Wicklow</w:t>
      </w:r>
      <w:proofErr w:type="spellEnd"/>
      <w:proofErr w:type="gramEnd"/>
      <w:r w:rsidR="00D85B4B" w:rsidRPr="0052431D">
        <w:rPr>
          <w:rFonts w:asciiTheme="minorHAnsi" w:hAnsiTheme="minorHAnsi" w:cs="Arial"/>
          <w:sz w:val="24"/>
          <w:szCs w:val="24"/>
          <w:lang w:val="en-GB"/>
        </w:rPr>
        <w:t xml:space="preserve">, Ireland). In case of discrepant results, HIV 1/2 STAT-PAK® </w:t>
      </w:r>
      <w:r w:rsidR="0039599C" w:rsidRPr="0052431D">
        <w:rPr>
          <w:rFonts w:asciiTheme="minorHAnsi" w:hAnsiTheme="minorHAnsi" w:cs="Arial"/>
          <w:sz w:val="24"/>
          <w:szCs w:val="24"/>
          <w:lang w:val="en-GB"/>
        </w:rPr>
        <w:t>(</w:t>
      </w:r>
      <w:proofErr w:type="spellStart"/>
      <w:r w:rsidR="0039599C" w:rsidRPr="0052431D">
        <w:rPr>
          <w:rFonts w:asciiTheme="minorHAnsi" w:hAnsiTheme="minorHAnsi" w:cs="Arial"/>
          <w:sz w:val="24"/>
          <w:szCs w:val="24"/>
          <w:lang w:val="en-GB"/>
        </w:rPr>
        <w:t>Chembio</w:t>
      </w:r>
      <w:proofErr w:type="spellEnd"/>
      <w:r w:rsidR="0039599C" w:rsidRPr="0052431D">
        <w:rPr>
          <w:rFonts w:asciiTheme="minorHAnsi" w:hAnsiTheme="minorHAnsi" w:cs="Arial"/>
          <w:sz w:val="24"/>
          <w:szCs w:val="24"/>
          <w:lang w:val="en-GB"/>
        </w:rPr>
        <w:t xml:space="preserve"> Diagnostic Systems, Medford, NY, USA) </w:t>
      </w:r>
      <w:r w:rsidR="00D85B4B" w:rsidRPr="0052431D">
        <w:rPr>
          <w:rFonts w:asciiTheme="minorHAnsi" w:hAnsiTheme="minorHAnsi" w:cs="Arial"/>
          <w:sz w:val="24"/>
          <w:szCs w:val="24"/>
          <w:lang w:val="en-GB"/>
        </w:rPr>
        <w:t>w</w:t>
      </w:r>
      <w:r w:rsidR="00D256CC" w:rsidRPr="0052431D">
        <w:rPr>
          <w:rFonts w:asciiTheme="minorHAnsi" w:hAnsiTheme="minorHAnsi" w:cs="Arial"/>
          <w:sz w:val="24"/>
          <w:szCs w:val="24"/>
          <w:lang w:val="en-GB"/>
        </w:rPr>
        <w:t>as</w:t>
      </w:r>
      <w:r w:rsidR="00D85B4B" w:rsidRPr="0052431D">
        <w:rPr>
          <w:rFonts w:asciiTheme="minorHAnsi" w:hAnsiTheme="minorHAnsi" w:cs="Arial"/>
          <w:sz w:val="24"/>
          <w:szCs w:val="24"/>
          <w:lang w:val="en-GB"/>
        </w:rPr>
        <w:t xml:space="preserve"> </w:t>
      </w:r>
      <w:r w:rsidRPr="0052431D">
        <w:rPr>
          <w:rFonts w:asciiTheme="minorHAnsi" w:hAnsiTheme="minorHAnsi" w:cs="Arial"/>
          <w:sz w:val="24"/>
          <w:szCs w:val="24"/>
          <w:lang w:val="en-GB"/>
        </w:rPr>
        <w:t>performed</w:t>
      </w:r>
      <w:r w:rsidR="00414567">
        <w:rPr>
          <w:rFonts w:asciiTheme="minorHAnsi" w:hAnsiTheme="minorHAnsi" w:cs="Arial"/>
          <w:sz w:val="24"/>
          <w:szCs w:val="24"/>
          <w:lang w:val="en-GB"/>
        </w:rPr>
        <w:t xml:space="preserve"> as a tie-breaker</w:t>
      </w:r>
      <w:r w:rsidR="00D85B4B" w:rsidRPr="0052431D">
        <w:rPr>
          <w:rFonts w:asciiTheme="minorHAnsi" w:hAnsiTheme="minorHAnsi" w:cs="Arial"/>
          <w:sz w:val="24"/>
          <w:szCs w:val="24"/>
          <w:lang w:val="en-GB"/>
        </w:rPr>
        <w:t xml:space="preserve">. </w:t>
      </w:r>
    </w:p>
    <w:p w14:paraId="34A06F03" w14:textId="77777777" w:rsidR="00D256CC" w:rsidRPr="0052431D" w:rsidRDefault="00D256CC" w:rsidP="00C74418">
      <w:pPr>
        <w:spacing w:after="0" w:line="360" w:lineRule="auto"/>
        <w:jc w:val="both"/>
        <w:rPr>
          <w:rFonts w:asciiTheme="minorHAnsi" w:hAnsiTheme="minorHAnsi" w:cs="Arial"/>
          <w:bCs/>
          <w:sz w:val="24"/>
          <w:szCs w:val="24"/>
          <w:lang w:val="en-GB"/>
        </w:rPr>
      </w:pPr>
    </w:p>
    <w:p w14:paraId="3ED14255" w14:textId="57A2DA3E" w:rsidR="00D85B4B" w:rsidRPr="0052431D" w:rsidRDefault="00D85B4B" w:rsidP="00C74418">
      <w:pPr>
        <w:spacing w:after="0" w:line="360" w:lineRule="auto"/>
        <w:jc w:val="both"/>
        <w:rPr>
          <w:rFonts w:asciiTheme="minorHAnsi" w:hAnsiTheme="minorHAnsi"/>
          <w:bCs/>
          <w:sz w:val="24"/>
          <w:szCs w:val="24"/>
          <w:lang w:val="en-GB"/>
        </w:rPr>
      </w:pPr>
      <w:r w:rsidRPr="0052431D">
        <w:rPr>
          <w:rFonts w:asciiTheme="minorHAnsi" w:hAnsiTheme="minorHAnsi" w:cs="Arial"/>
          <w:bCs/>
          <w:sz w:val="24"/>
          <w:szCs w:val="24"/>
          <w:lang w:val="en-GB"/>
        </w:rPr>
        <w:t>Syphilis w</w:t>
      </w:r>
      <w:r w:rsidR="00DB35CC" w:rsidRPr="0052431D">
        <w:rPr>
          <w:rFonts w:asciiTheme="minorHAnsi" w:hAnsiTheme="minorHAnsi" w:cs="Arial"/>
          <w:bCs/>
          <w:sz w:val="24"/>
          <w:szCs w:val="24"/>
          <w:lang w:val="en-GB"/>
        </w:rPr>
        <w:t xml:space="preserve">as </w:t>
      </w:r>
      <w:r w:rsidRPr="0052431D">
        <w:rPr>
          <w:rFonts w:asciiTheme="minorHAnsi" w:hAnsiTheme="minorHAnsi" w:cs="Arial"/>
          <w:bCs/>
          <w:sz w:val="24"/>
          <w:szCs w:val="24"/>
          <w:lang w:val="en-GB"/>
        </w:rPr>
        <w:t xml:space="preserve">tested on the spot using a rapid </w:t>
      </w:r>
      <w:r w:rsidRPr="0052431D">
        <w:rPr>
          <w:rFonts w:asciiTheme="minorHAnsi" w:hAnsiTheme="minorHAnsi" w:cs="Arial"/>
          <w:bCs/>
          <w:i/>
          <w:sz w:val="24"/>
          <w:szCs w:val="24"/>
          <w:lang w:val="en-GB"/>
        </w:rPr>
        <w:t>Treponema pallidum</w:t>
      </w:r>
      <w:r w:rsidRPr="0052431D">
        <w:rPr>
          <w:rFonts w:asciiTheme="minorHAnsi" w:hAnsiTheme="minorHAnsi" w:cs="Arial"/>
          <w:bCs/>
          <w:sz w:val="24"/>
          <w:szCs w:val="24"/>
          <w:lang w:val="en-GB"/>
        </w:rPr>
        <w:t xml:space="preserve"> hemagglutination assay (TPHA) and remaining blood </w:t>
      </w:r>
      <w:r w:rsidR="0039599C" w:rsidRPr="0052431D">
        <w:rPr>
          <w:rFonts w:asciiTheme="minorHAnsi" w:hAnsiTheme="minorHAnsi" w:cs="Arial"/>
          <w:bCs/>
          <w:sz w:val="24"/>
          <w:szCs w:val="24"/>
          <w:lang w:val="en-GB"/>
        </w:rPr>
        <w:t>was</w:t>
      </w:r>
      <w:r w:rsidRPr="0052431D">
        <w:rPr>
          <w:rFonts w:asciiTheme="minorHAnsi" w:hAnsiTheme="minorHAnsi" w:cs="Arial"/>
          <w:bCs/>
          <w:sz w:val="24"/>
          <w:szCs w:val="24"/>
          <w:lang w:val="en-GB"/>
        </w:rPr>
        <w:t xml:space="preserve"> </w:t>
      </w:r>
      <w:r w:rsidR="001B674A" w:rsidRPr="0052431D">
        <w:rPr>
          <w:rFonts w:asciiTheme="minorHAnsi" w:hAnsiTheme="minorHAnsi" w:cs="Arial"/>
          <w:bCs/>
          <w:sz w:val="24"/>
          <w:szCs w:val="24"/>
          <w:lang w:val="en-GB"/>
        </w:rPr>
        <w:t xml:space="preserve">processed in a </w:t>
      </w:r>
      <w:r w:rsidRPr="0052431D">
        <w:rPr>
          <w:rFonts w:asciiTheme="minorHAnsi" w:hAnsiTheme="minorHAnsi" w:cs="Arial"/>
          <w:bCs/>
          <w:sz w:val="24"/>
          <w:szCs w:val="24"/>
          <w:lang w:val="en-GB"/>
        </w:rPr>
        <w:t xml:space="preserve">central lab in Mwanza </w:t>
      </w:r>
      <w:r w:rsidR="001B674A" w:rsidRPr="0052431D">
        <w:rPr>
          <w:rFonts w:asciiTheme="minorHAnsi" w:hAnsiTheme="minorHAnsi" w:cs="Arial"/>
          <w:bCs/>
          <w:sz w:val="24"/>
          <w:szCs w:val="24"/>
          <w:lang w:val="en-GB"/>
        </w:rPr>
        <w:t xml:space="preserve">with the </w:t>
      </w:r>
      <w:r w:rsidRPr="0052431D">
        <w:rPr>
          <w:rFonts w:asciiTheme="minorHAnsi" w:hAnsiTheme="minorHAnsi" w:cs="Arial"/>
          <w:bCs/>
          <w:sz w:val="24"/>
          <w:szCs w:val="24"/>
          <w:lang w:val="en-GB"/>
        </w:rPr>
        <w:t xml:space="preserve">Rapid Plasma </w:t>
      </w:r>
      <w:proofErr w:type="spellStart"/>
      <w:r w:rsidRPr="0052431D">
        <w:rPr>
          <w:rFonts w:asciiTheme="minorHAnsi" w:hAnsiTheme="minorHAnsi" w:cs="Arial"/>
          <w:bCs/>
          <w:sz w:val="24"/>
          <w:szCs w:val="24"/>
          <w:lang w:val="en-GB"/>
        </w:rPr>
        <w:t>Reagin</w:t>
      </w:r>
      <w:proofErr w:type="spellEnd"/>
      <w:r w:rsidRPr="0052431D">
        <w:rPr>
          <w:rFonts w:asciiTheme="minorHAnsi" w:hAnsiTheme="minorHAnsi" w:cs="Arial"/>
          <w:bCs/>
          <w:sz w:val="24"/>
          <w:szCs w:val="24"/>
          <w:lang w:val="en-GB"/>
        </w:rPr>
        <w:t xml:space="preserve"> (RPR) card test.</w:t>
      </w:r>
      <w:r w:rsidR="00615EA3" w:rsidRPr="0052431D">
        <w:rPr>
          <w:rFonts w:asciiTheme="minorHAnsi" w:hAnsiTheme="minorHAnsi" w:cs="Arial"/>
          <w:bCs/>
          <w:sz w:val="24"/>
          <w:szCs w:val="24"/>
          <w:lang w:val="en-GB"/>
        </w:rPr>
        <w:t xml:space="preserve"> </w:t>
      </w:r>
      <w:r w:rsidR="00E57B61" w:rsidRPr="0052431D">
        <w:rPr>
          <w:rFonts w:asciiTheme="minorHAnsi" w:hAnsiTheme="minorHAnsi" w:cs="Arial"/>
          <w:bCs/>
          <w:sz w:val="24"/>
          <w:szCs w:val="24"/>
          <w:lang w:val="en-GB"/>
        </w:rPr>
        <w:t xml:space="preserve">Study subjects were considered to have </w:t>
      </w:r>
      <w:r w:rsidR="00911ABB" w:rsidRPr="0052431D">
        <w:rPr>
          <w:rFonts w:asciiTheme="minorHAnsi" w:hAnsiTheme="minorHAnsi" w:cs="Arial"/>
          <w:bCs/>
          <w:sz w:val="24"/>
          <w:szCs w:val="24"/>
          <w:lang w:val="en-GB"/>
        </w:rPr>
        <w:t>confirmed</w:t>
      </w:r>
      <w:r w:rsidR="00E57B61" w:rsidRPr="0052431D">
        <w:rPr>
          <w:rFonts w:asciiTheme="minorHAnsi" w:hAnsiTheme="minorHAnsi" w:cs="Arial"/>
          <w:bCs/>
          <w:sz w:val="24"/>
          <w:szCs w:val="24"/>
          <w:lang w:val="en-GB"/>
        </w:rPr>
        <w:t xml:space="preserve"> syphilis if </w:t>
      </w:r>
      <w:r w:rsidR="001B674A" w:rsidRPr="0052431D">
        <w:rPr>
          <w:rFonts w:asciiTheme="minorHAnsi" w:hAnsiTheme="minorHAnsi" w:cs="Arial"/>
          <w:bCs/>
          <w:sz w:val="24"/>
          <w:szCs w:val="24"/>
          <w:lang w:val="en-GB"/>
        </w:rPr>
        <w:t xml:space="preserve">both </w:t>
      </w:r>
      <w:r w:rsidR="00E57B61" w:rsidRPr="0052431D">
        <w:rPr>
          <w:rFonts w:asciiTheme="minorHAnsi" w:hAnsiTheme="minorHAnsi" w:cs="Arial"/>
          <w:bCs/>
          <w:sz w:val="24"/>
          <w:szCs w:val="24"/>
          <w:lang w:val="en-GB"/>
        </w:rPr>
        <w:t>TPHA</w:t>
      </w:r>
      <w:r w:rsidR="00911ABB" w:rsidRPr="0052431D">
        <w:rPr>
          <w:rFonts w:asciiTheme="minorHAnsi" w:hAnsiTheme="minorHAnsi" w:cs="Arial"/>
          <w:bCs/>
          <w:sz w:val="24"/>
          <w:szCs w:val="24"/>
          <w:lang w:val="en-GB"/>
        </w:rPr>
        <w:t xml:space="preserve"> test </w:t>
      </w:r>
      <w:r w:rsidR="00D80DDB" w:rsidRPr="0052431D">
        <w:rPr>
          <w:rFonts w:asciiTheme="minorHAnsi" w:hAnsiTheme="minorHAnsi" w:cs="Arial"/>
          <w:bCs/>
          <w:sz w:val="24"/>
          <w:szCs w:val="24"/>
          <w:lang w:val="en-GB"/>
        </w:rPr>
        <w:t xml:space="preserve">was positive </w:t>
      </w:r>
      <w:r w:rsidR="00911ABB" w:rsidRPr="0052431D">
        <w:rPr>
          <w:rFonts w:asciiTheme="minorHAnsi" w:hAnsiTheme="minorHAnsi" w:cs="Arial"/>
          <w:bCs/>
          <w:sz w:val="24"/>
          <w:szCs w:val="24"/>
          <w:lang w:val="en-GB"/>
        </w:rPr>
        <w:t xml:space="preserve">and </w:t>
      </w:r>
      <w:r w:rsidR="00E57B61" w:rsidRPr="0052431D">
        <w:rPr>
          <w:rFonts w:asciiTheme="minorHAnsi" w:hAnsiTheme="minorHAnsi" w:cs="Arial"/>
          <w:bCs/>
          <w:sz w:val="24"/>
          <w:szCs w:val="24"/>
          <w:lang w:val="en-GB"/>
        </w:rPr>
        <w:t xml:space="preserve">RPR </w:t>
      </w:r>
      <w:proofErr w:type="spellStart"/>
      <w:r w:rsidR="00911ABB" w:rsidRPr="0052431D">
        <w:rPr>
          <w:rFonts w:asciiTheme="minorHAnsi" w:hAnsiTheme="minorHAnsi" w:cs="Arial"/>
          <w:bCs/>
          <w:sz w:val="24"/>
          <w:szCs w:val="24"/>
          <w:lang w:val="en-GB"/>
        </w:rPr>
        <w:t>titer</w:t>
      </w:r>
      <w:proofErr w:type="spellEnd"/>
      <w:r w:rsidR="00911ABB" w:rsidRPr="0052431D">
        <w:rPr>
          <w:rFonts w:asciiTheme="minorHAnsi" w:hAnsiTheme="minorHAnsi" w:cs="Arial"/>
          <w:bCs/>
          <w:sz w:val="24"/>
          <w:szCs w:val="24"/>
          <w:lang w:val="en-GB"/>
        </w:rPr>
        <w:t xml:space="preserve"> was greater than 1:</w:t>
      </w:r>
      <w:r w:rsidR="00355844" w:rsidRPr="0052431D">
        <w:rPr>
          <w:rFonts w:asciiTheme="minorHAnsi" w:hAnsiTheme="minorHAnsi" w:cs="Arial"/>
          <w:bCs/>
          <w:sz w:val="24"/>
          <w:szCs w:val="24"/>
          <w:lang w:val="en-GB"/>
        </w:rPr>
        <w:t>8</w:t>
      </w:r>
      <w:r w:rsidR="00E57B61" w:rsidRPr="0052431D">
        <w:rPr>
          <w:rFonts w:asciiTheme="minorHAnsi" w:hAnsiTheme="minorHAnsi" w:cs="Arial"/>
          <w:bCs/>
          <w:sz w:val="24"/>
          <w:szCs w:val="24"/>
          <w:lang w:val="en-GB"/>
        </w:rPr>
        <w:t xml:space="preserve">. </w:t>
      </w:r>
    </w:p>
    <w:p w14:paraId="0E68C83F" w14:textId="05B81133" w:rsidR="00DB35CC" w:rsidRPr="0052431D" w:rsidRDefault="00DB35CC" w:rsidP="00C74418">
      <w:pPr>
        <w:spacing w:after="0" w:line="360" w:lineRule="auto"/>
        <w:jc w:val="both"/>
        <w:rPr>
          <w:rFonts w:asciiTheme="minorHAnsi" w:hAnsiTheme="minorHAnsi"/>
          <w:bCs/>
          <w:sz w:val="24"/>
          <w:szCs w:val="24"/>
          <w:lang w:val="en-GB"/>
        </w:rPr>
      </w:pPr>
    </w:p>
    <w:p w14:paraId="2B617C27" w14:textId="5712A556" w:rsidR="00804368" w:rsidRPr="0052431D" w:rsidRDefault="009F5E29" w:rsidP="00C74418">
      <w:pPr>
        <w:spacing w:after="0" w:line="360" w:lineRule="auto"/>
        <w:jc w:val="both"/>
        <w:rPr>
          <w:rFonts w:asciiTheme="minorHAnsi" w:hAnsiTheme="minorHAnsi"/>
          <w:sz w:val="24"/>
          <w:szCs w:val="24"/>
          <w:lang w:val="en-GB"/>
        </w:rPr>
      </w:pPr>
      <w:r w:rsidRPr="0052431D">
        <w:rPr>
          <w:rFonts w:asciiTheme="minorHAnsi" w:hAnsiTheme="minorHAnsi"/>
          <w:bCs/>
          <w:sz w:val="24"/>
          <w:szCs w:val="24"/>
          <w:lang w:val="en-GB"/>
        </w:rPr>
        <w:t>Schistosom</w:t>
      </w:r>
      <w:r w:rsidR="00A662E5" w:rsidRPr="0052431D">
        <w:rPr>
          <w:rFonts w:asciiTheme="minorHAnsi" w:hAnsiTheme="minorHAnsi"/>
          <w:bCs/>
          <w:sz w:val="24"/>
          <w:szCs w:val="24"/>
          <w:lang w:val="en-GB"/>
        </w:rPr>
        <w:t>e</w:t>
      </w:r>
      <w:r w:rsidRPr="0052431D">
        <w:rPr>
          <w:rFonts w:asciiTheme="minorHAnsi" w:hAnsiTheme="minorHAnsi"/>
          <w:bCs/>
          <w:sz w:val="24"/>
          <w:szCs w:val="24"/>
          <w:lang w:val="en-GB"/>
        </w:rPr>
        <w:t xml:space="preserve"> </w:t>
      </w:r>
      <w:r w:rsidR="0098798B" w:rsidRPr="0052431D">
        <w:rPr>
          <w:rFonts w:asciiTheme="minorHAnsi" w:hAnsiTheme="minorHAnsi"/>
          <w:bCs/>
          <w:sz w:val="24"/>
          <w:szCs w:val="24"/>
          <w:lang w:val="en-GB"/>
        </w:rPr>
        <w:t>testing</w:t>
      </w:r>
      <w:r w:rsidRPr="0052431D">
        <w:rPr>
          <w:rFonts w:asciiTheme="minorHAnsi" w:hAnsiTheme="minorHAnsi"/>
          <w:bCs/>
          <w:sz w:val="24"/>
          <w:szCs w:val="24"/>
          <w:lang w:val="en-GB"/>
        </w:rPr>
        <w:t xml:space="preserve"> was</w:t>
      </w:r>
      <w:r w:rsidR="0098798B" w:rsidRPr="0052431D">
        <w:rPr>
          <w:rFonts w:asciiTheme="minorHAnsi" w:hAnsiTheme="minorHAnsi"/>
          <w:bCs/>
          <w:sz w:val="24"/>
          <w:szCs w:val="24"/>
          <w:lang w:val="en-GB"/>
        </w:rPr>
        <w:t xml:space="preserve"> performed </w:t>
      </w:r>
      <w:r w:rsidR="00E36BD8" w:rsidRPr="0052431D">
        <w:rPr>
          <w:rFonts w:asciiTheme="minorHAnsi" w:hAnsiTheme="minorHAnsi"/>
          <w:bCs/>
          <w:sz w:val="24"/>
          <w:szCs w:val="24"/>
          <w:lang w:val="en-GB"/>
        </w:rPr>
        <w:t>on stored serum samples approximately 1.5</w:t>
      </w:r>
      <w:r w:rsidR="0098798B" w:rsidRPr="0052431D">
        <w:rPr>
          <w:rFonts w:asciiTheme="minorHAnsi" w:hAnsiTheme="minorHAnsi"/>
          <w:bCs/>
          <w:sz w:val="24"/>
          <w:szCs w:val="24"/>
          <w:lang w:val="en-GB"/>
        </w:rPr>
        <w:t xml:space="preserve"> years after sample collection</w:t>
      </w:r>
      <w:r w:rsidRPr="0052431D">
        <w:rPr>
          <w:rFonts w:asciiTheme="minorHAnsi" w:hAnsiTheme="minorHAnsi"/>
          <w:bCs/>
          <w:sz w:val="24"/>
          <w:szCs w:val="24"/>
          <w:lang w:val="en-GB"/>
        </w:rPr>
        <w:t xml:space="preserve"> </w:t>
      </w:r>
      <w:r w:rsidR="00C25E87" w:rsidRPr="0052431D">
        <w:rPr>
          <w:rFonts w:asciiTheme="minorHAnsi" w:hAnsiTheme="minorHAnsi"/>
          <w:bCs/>
          <w:sz w:val="24"/>
          <w:szCs w:val="24"/>
          <w:lang w:val="en-GB"/>
        </w:rPr>
        <w:t>by quantifying</w:t>
      </w:r>
      <w:r w:rsidRPr="0052431D">
        <w:rPr>
          <w:rFonts w:asciiTheme="minorHAnsi" w:hAnsiTheme="minorHAnsi"/>
          <w:bCs/>
          <w:sz w:val="24"/>
          <w:szCs w:val="24"/>
          <w:lang w:val="en-GB"/>
        </w:rPr>
        <w:t xml:space="preserve"> circulating anodic antigen (CAA)</w:t>
      </w:r>
      <w:r w:rsidR="00C25E87" w:rsidRPr="0052431D">
        <w:rPr>
          <w:rFonts w:asciiTheme="minorHAnsi" w:hAnsiTheme="minorHAnsi"/>
          <w:bCs/>
          <w:sz w:val="24"/>
          <w:szCs w:val="24"/>
          <w:lang w:val="en-GB"/>
        </w:rPr>
        <w:t xml:space="preserve"> with a</w:t>
      </w:r>
      <w:r w:rsidR="009C57C7">
        <w:rPr>
          <w:rFonts w:asciiTheme="minorHAnsi" w:hAnsiTheme="minorHAnsi"/>
          <w:bCs/>
          <w:sz w:val="24"/>
          <w:szCs w:val="24"/>
          <w:lang w:val="en-GB"/>
        </w:rPr>
        <w:t xml:space="preserve"> lateral flow (LF) assay</w:t>
      </w:r>
      <w:r w:rsidR="00D70267">
        <w:rPr>
          <w:rFonts w:asciiTheme="minorHAnsi" w:hAnsiTheme="minorHAnsi"/>
          <w:bCs/>
          <w:sz w:val="24"/>
          <w:szCs w:val="24"/>
          <w:lang w:val="en-GB"/>
        </w:rPr>
        <w:t xml:space="preserve"> utilizing an u</w:t>
      </w:r>
      <w:r w:rsidRPr="0052431D">
        <w:rPr>
          <w:rFonts w:asciiTheme="minorHAnsi" w:hAnsiTheme="minorHAnsi"/>
          <w:bCs/>
          <w:sz w:val="24"/>
          <w:szCs w:val="24"/>
          <w:lang w:val="en-GB"/>
        </w:rPr>
        <w:t>pconverting phosphor</w:t>
      </w:r>
      <w:r w:rsidR="00D70267">
        <w:rPr>
          <w:rFonts w:asciiTheme="minorHAnsi" w:hAnsiTheme="minorHAnsi"/>
          <w:bCs/>
          <w:sz w:val="24"/>
          <w:szCs w:val="24"/>
          <w:lang w:val="en-GB"/>
        </w:rPr>
        <w:t>escent</w:t>
      </w:r>
      <w:r w:rsidRPr="0052431D">
        <w:rPr>
          <w:rFonts w:asciiTheme="minorHAnsi" w:hAnsiTheme="minorHAnsi"/>
          <w:bCs/>
          <w:sz w:val="24"/>
          <w:szCs w:val="24"/>
          <w:lang w:val="en-GB"/>
        </w:rPr>
        <w:t xml:space="preserve"> (UCP) </w:t>
      </w:r>
      <w:r w:rsidR="00D70267">
        <w:rPr>
          <w:rFonts w:asciiTheme="minorHAnsi" w:hAnsiTheme="minorHAnsi"/>
          <w:bCs/>
          <w:sz w:val="24"/>
          <w:szCs w:val="24"/>
          <w:lang w:val="en-GB"/>
        </w:rPr>
        <w:t>label</w:t>
      </w:r>
      <w:r w:rsidRPr="0052431D">
        <w:rPr>
          <w:rFonts w:asciiTheme="minorHAnsi" w:hAnsiTheme="minorHAnsi"/>
          <w:bCs/>
          <w:sz w:val="24"/>
          <w:szCs w:val="24"/>
          <w:lang w:val="en-GB"/>
        </w:rPr>
        <w:t xml:space="preserve"> as previously described</w:t>
      </w:r>
      <w:r w:rsidR="00EF00F9">
        <w:rPr>
          <w:rFonts w:asciiTheme="minorHAnsi" w:hAnsiTheme="minorHAnsi"/>
          <w:bCs/>
          <w:sz w:val="24"/>
          <w:szCs w:val="24"/>
          <w:lang w:val="en-GB"/>
        </w:rPr>
        <w:t xml:space="preserve"> </w:t>
      </w:r>
      <w:r w:rsidR="00387D4B" w:rsidRPr="0052431D">
        <w:rPr>
          <w:rFonts w:asciiTheme="minorHAnsi" w:hAnsiTheme="minorHAnsi"/>
          <w:bCs/>
          <w:sz w:val="24"/>
          <w:szCs w:val="24"/>
          <w:lang w:val="en-GB"/>
        </w:rPr>
        <w:fldChar w:fldCharType="begin" w:fldLock="1"/>
      </w:r>
      <w:r w:rsidR="00315AFC" w:rsidRPr="0052431D">
        <w:rPr>
          <w:rFonts w:asciiTheme="minorHAnsi" w:hAnsiTheme="minorHAnsi"/>
          <w:bCs/>
          <w:sz w:val="24"/>
          <w:szCs w:val="24"/>
          <w:lang w:val="en-GB"/>
        </w:rPr>
        <w:instrText>ADDIN CSL_CITATION {"citationItems":[{"id":"ITEM-1","itemData":{"DOI":"10.4269/ajtmh.2012.12-0395","ISSN":"1476-1645","PMID":"23033399","abstract":"Animal and human studies suggest that Schistosoma mansoni infection may increase risk of human immunodeficiency virus (HIV) acquisition. Therefore, we tested 345 reproductive age women in rural Tanzanian villages near Lake Victoria, where S. mansoni is hyperendemic, for sexually transmitted infections (STIs) and schistosomiasis by circulating anodic antigen (CAA) serum assay. Over one-half (54%) had an active schistosome infection; 6% were HIV-seropositive. By univariate analysis, only schistosome infection predicted HIV infection (odds ratio [OR] = 3.9, 95% confidence interval = [1.3-12.0], P = 0.015) and remained significant using multivariate analysis to control for age, STIs, and distance from the lake (OR = 6.2 [1.7-22.9], P = 0.006). HIV prevalence was higher among women with more intense schistosome infections (P = 0.005), and the median schistosome intensity was higher in HIV-infected than -uninfected women (400 versus 15 pg CAA/mL, P = 0.01). This finding suggests that S. mansoni infection may be a modifiable HIV risk factor that places millions of people worldwide at increased risk of HIV acquisition.","author":[{"dropping-particle":"","family":"Downs","given":"Jennifer A","non-dropping-particle":"","parse-names":false,"suffix":""},{"dropping-particle":"","family":"Dam","given":"Govert J","non-dropping-particle":"van","parse-names":false,"suffix":""},{"dropping-particle":"","family":"Changalucha","given":"John M","non-dropping-particle":"","parse-names":false,"suffix":""},{"dropping-particle":"","family":"Corstjens","given":"Paul L A M","non-dropping-particle":"","parse-names":false,"suffix":""},{"dropping-particle":"","family":"Peck","given":"Robert N","non-dropping-particle":"","parse-names":false,"suffix":""},{"dropping-particle":"","family":"Dood","given":"Claudia J","non-dropping-particle":"de","parse-names":false,"suffix":""},{"dropping-particle":"","family":"Bang","given":"Heejung","non-dropping-particle":"","parse-names":false,"suffix":""},{"dropping-particle":"","family":"Andreasen","given":"Aura","non-dropping-particle":"","parse-names":false,"suffix":""},{"dropping-particle":"","family":"Kalluvya","given":"Samuel E","non-dropping-particle":"","parse-names":false,"suffix":""},{"dropping-particle":"","family":"Lieshout","given":"Lisette","non-dropping-particle":"van","parse-names":false,"suffix":""},{"dropping-particle":"","family":"Johnson","given":"Warren D","non-dropping-particle":"","parse-names":false,"suffix":""},{"dropping-particle":"","family":"Fitzgerald","given":"Daniel W","non-dropping-particle":"","parse-names":false,"suffix":""}],"container-title":"Am J Trop Med Hyg","id":"ITEM-1","issue":"5","issued":{"date-parts":[["2012","10","1"]]},"page":"868-73","title":"Association of schistosomiasis and HIV infection in Tanzania.","type":"article-journal","volume":"87"},"uris":["http://www.mendeley.com/documents/?uuid=f12fda44-2558-4945-97c3-382044d680d9"]}],"mendeley":{"formattedCitation":"[13]","plainTextFormattedCitation":"[13]","previouslyFormattedCitation":"[13]"},"properties":{"noteIndex":0},"schema":"https://github.com/citation-style-language/schema/raw/master/csl-citation.json"}</w:instrText>
      </w:r>
      <w:r w:rsidR="00387D4B" w:rsidRPr="0052431D">
        <w:rPr>
          <w:rFonts w:asciiTheme="minorHAnsi" w:hAnsiTheme="minorHAnsi"/>
          <w:bCs/>
          <w:sz w:val="24"/>
          <w:szCs w:val="24"/>
          <w:lang w:val="en-GB"/>
        </w:rPr>
        <w:fldChar w:fldCharType="separate"/>
      </w:r>
      <w:r w:rsidR="00315AFC" w:rsidRPr="0052431D">
        <w:rPr>
          <w:rFonts w:asciiTheme="minorHAnsi" w:hAnsiTheme="minorHAnsi"/>
          <w:bCs/>
          <w:noProof/>
          <w:sz w:val="24"/>
          <w:szCs w:val="24"/>
          <w:lang w:val="en-GB"/>
        </w:rPr>
        <w:t>[13]</w:t>
      </w:r>
      <w:r w:rsidR="00387D4B" w:rsidRPr="0052431D">
        <w:rPr>
          <w:rFonts w:asciiTheme="minorHAnsi" w:hAnsiTheme="minorHAnsi"/>
          <w:bCs/>
          <w:sz w:val="24"/>
          <w:szCs w:val="24"/>
          <w:lang w:val="en-GB"/>
        </w:rPr>
        <w:fldChar w:fldCharType="end"/>
      </w:r>
      <w:r w:rsidR="00A226AF">
        <w:rPr>
          <w:rFonts w:asciiTheme="minorHAnsi" w:hAnsiTheme="minorHAnsi"/>
          <w:bCs/>
          <w:sz w:val="24"/>
          <w:szCs w:val="24"/>
          <w:lang w:val="en-GB"/>
        </w:rPr>
        <w:t>.</w:t>
      </w:r>
      <w:r w:rsidR="00D02148" w:rsidRPr="0052431D">
        <w:rPr>
          <w:rFonts w:asciiTheme="minorHAnsi" w:hAnsiTheme="minorHAnsi"/>
          <w:bCs/>
          <w:sz w:val="24"/>
          <w:szCs w:val="24"/>
          <w:lang w:val="en-GB"/>
        </w:rPr>
        <w:t xml:space="preserve"> </w:t>
      </w:r>
      <w:r w:rsidR="00144DB2" w:rsidRPr="0052431D">
        <w:rPr>
          <w:rFonts w:asciiTheme="minorHAnsi" w:hAnsiTheme="minorHAnsi"/>
          <w:bCs/>
          <w:sz w:val="24"/>
          <w:szCs w:val="24"/>
          <w:lang w:val="en-GB"/>
        </w:rPr>
        <w:t xml:space="preserve">A CAA value </w:t>
      </w:r>
      <w:r w:rsidR="00144DB2" w:rsidRPr="0052431D">
        <w:rPr>
          <w:rFonts w:asciiTheme="minorHAnsi" w:hAnsiTheme="minorHAnsi"/>
          <w:bCs/>
          <w:sz w:val="24"/>
          <w:szCs w:val="24"/>
          <w:u w:val="single"/>
          <w:lang w:val="en-GB"/>
        </w:rPr>
        <w:t>&gt;</w:t>
      </w:r>
      <w:r w:rsidR="00144DB2" w:rsidRPr="0052431D">
        <w:rPr>
          <w:rFonts w:asciiTheme="minorHAnsi" w:hAnsiTheme="minorHAnsi"/>
          <w:bCs/>
          <w:sz w:val="24"/>
          <w:szCs w:val="24"/>
          <w:lang w:val="en-GB"/>
        </w:rPr>
        <w:t xml:space="preserve"> </w:t>
      </w:r>
      <w:r w:rsidR="00426FAA" w:rsidRPr="0052431D">
        <w:rPr>
          <w:rFonts w:asciiTheme="minorHAnsi" w:hAnsiTheme="minorHAnsi"/>
          <w:bCs/>
          <w:sz w:val="24"/>
          <w:szCs w:val="24"/>
          <w:lang w:val="en-GB"/>
        </w:rPr>
        <w:t>3</w:t>
      </w:r>
      <w:r w:rsidR="00144DB2" w:rsidRPr="0052431D">
        <w:rPr>
          <w:rFonts w:asciiTheme="minorHAnsi" w:hAnsiTheme="minorHAnsi"/>
          <w:bCs/>
          <w:sz w:val="24"/>
          <w:szCs w:val="24"/>
          <w:lang w:val="en-GB"/>
        </w:rPr>
        <w:t>0pg/mL was considered positive</w:t>
      </w:r>
      <w:r w:rsidR="00EF00F9">
        <w:rPr>
          <w:rFonts w:asciiTheme="minorHAnsi" w:hAnsiTheme="minorHAnsi"/>
          <w:bCs/>
          <w:sz w:val="24"/>
          <w:szCs w:val="24"/>
          <w:lang w:val="en-GB"/>
        </w:rPr>
        <w:t xml:space="preserve"> </w:t>
      </w:r>
      <w:r w:rsidR="007405D2" w:rsidRPr="0052431D">
        <w:rPr>
          <w:rFonts w:asciiTheme="minorHAnsi" w:hAnsiTheme="minorHAnsi"/>
          <w:bCs/>
          <w:sz w:val="24"/>
          <w:szCs w:val="24"/>
          <w:lang w:val="en-GB"/>
        </w:rPr>
        <w:fldChar w:fldCharType="begin" w:fldLock="1"/>
      </w:r>
      <w:r w:rsidR="00315AFC" w:rsidRPr="0052431D">
        <w:rPr>
          <w:rFonts w:asciiTheme="minorHAnsi" w:hAnsiTheme="minorHAnsi"/>
          <w:bCs/>
          <w:sz w:val="24"/>
          <w:szCs w:val="24"/>
          <w:lang w:val="en-GB"/>
        </w:rPr>
        <w:instrText>ADDIN CSL_CITATION {"citationItems":[{"id":"ITEM-1","itemData":{"DOI":"10.1017/S0031182014000626","ISSN":"1469-8161","PMID":"24932595","abstract":"The potential of various quantitative lateral flow (LF) based assays utilizing up-converting phosphor (UCP) reporters for the diagnosis of schistosomiasis is reviewed including recent developments. Active infections are demonstrated by screening for the presence of regurgitated worm antigens (genus specific polysaccharides), whereas anti-Schistosoma antibodies may indicate ongoing as well as past infections. The circulating anodic antigen (CAA) in serum or urine (and potentially also saliva) is identified as the marker that may allow detection of single-worm infections. Quantitation of antigen levels is a reliable method to study effects of drug administration, worm burden and anti-fecundity mechanisms. Moreover, the ratio of CAA and circulating cathodic antigen (CCA) is postulated to facilitate identification of either Schistosoma mansoni or Schistosoma haematobium infections. The UCP-LF assays allow simultaneous detection of multiple targets on a single strip, a valuable feature for antibody detection assays. Although antibody detection in endemic regions is not a useful tool to diagnose active infections, it gains potential when the ratio of different classes of antibody specific for the parasite/disease can be determined. The UCP-LF antibody assay format allows this type of multiplexing, including testing a linear array of up to 20 different targets. Multiple test spots would allow detection of specific antibodies, e.g. against different Schistosoma species or other pathogens as soil-transmitted helminths. Concluding, the different UCP-LF based assays for diagnosis of schistosomiasis provide a collection of tests with relatively low complexity and high sensitivity, covering the full range of diagnostics needed in control programmes for mapping, screening and monitoring.","author":[{"dropping-particle":"","family":"Corstjens","given":"Paul L A M","non-dropping-particle":"","parse-names":false,"suffix":""},{"dropping-particle":"","family":"Dood","given":"Claudia J","non-dropping-particle":"De","parse-names":false,"suffix":""},{"dropping-particle":"","family":"Kornelis","given":"Dieuwke","non-dropping-particle":"","parse-names":false,"suffix":""},{"dropping-particle":"","family":"Fat","given":"Elisa M Tjon Kon","non-dropping-particle":"","parse-names":false,"suffix":""},{"dropping-particle":"","family":"Wilson","given":"R Alan","non-dropping-particle":"","parse-names":false,"suffix":""},{"dropping-particle":"","family":"Kariuki","given":"Thomas M","non-dropping-particle":"","parse-names":false,"suffix":""},{"dropping-particle":"","family":"Nyakundi","given":"Ruth K","non-dropping-particle":"","parse-names":false,"suffix":""},{"dropping-particle":"","family":"Loverde","given":"Philip T","non-dropping-particle":"","parse-names":false,"suffix":""},{"dropping-particle":"","family":"Abrams","given":"William R","non-dropping-particle":"","parse-names":false,"suffix":""},{"dropping-particle":"","family":"Tanke","given":"Hans J","non-dropping-particle":"","parse-names":false,"suffix":""},{"dropping-particle":"","family":"Lieshout","given":"Lisette","non-dropping-particle":"Van","parse-names":false,"suffix":""},{"dropping-particle":"","family":"Deelder","given":"André M","non-dropping-particle":"","parse-names":false,"suffix":""},{"dropping-particle":"","family":"Dam","given":"Govert J","non-dropping-particle":"Van","parse-names":false,"suffix":""}],"container-title":"Parasitology","id":"ITEM-1","issue":"14","issued":{"date-parts":[["2014","12"]]},"page":"1841-55","title":"Tools for diagnosis, monitoring and screening of Schistosoma infections utilizing lateral-flow based assays and upconverting phosphor labels.","type":"article-journal","volume":"141"},"uris":["http://www.mendeley.com/documents/?uuid=0afe8a26-3b75-4a75-bbf8-b6bddda14027"]}],"mendeley":{"formattedCitation":"[14]","plainTextFormattedCitation":"[14]","previouslyFormattedCitation":"[14]"},"properties":{"noteIndex":0},"schema":"https://github.com/citation-style-language/schema/raw/master/csl-citation.json"}</w:instrText>
      </w:r>
      <w:r w:rsidR="007405D2" w:rsidRPr="0052431D">
        <w:rPr>
          <w:rFonts w:asciiTheme="minorHAnsi" w:hAnsiTheme="minorHAnsi"/>
          <w:bCs/>
          <w:sz w:val="24"/>
          <w:szCs w:val="24"/>
          <w:lang w:val="en-GB"/>
        </w:rPr>
        <w:fldChar w:fldCharType="separate"/>
      </w:r>
      <w:r w:rsidR="00315AFC" w:rsidRPr="0052431D">
        <w:rPr>
          <w:rFonts w:asciiTheme="minorHAnsi" w:hAnsiTheme="minorHAnsi"/>
          <w:bCs/>
          <w:noProof/>
          <w:sz w:val="24"/>
          <w:szCs w:val="24"/>
          <w:lang w:val="en-GB"/>
        </w:rPr>
        <w:t>[14]</w:t>
      </w:r>
      <w:r w:rsidR="007405D2" w:rsidRPr="0052431D">
        <w:rPr>
          <w:rFonts w:asciiTheme="minorHAnsi" w:hAnsiTheme="minorHAnsi"/>
          <w:bCs/>
          <w:sz w:val="24"/>
          <w:szCs w:val="24"/>
          <w:lang w:val="en-GB"/>
        </w:rPr>
        <w:fldChar w:fldCharType="end"/>
      </w:r>
      <w:r w:rsidR="00A226AF">
        <w:rPr>
          <w:rFonts w:asciiTheme="minorHAnsi" w:hAnsiTheme="minorHAnsi"/>
          <w:bCs/>
          <w:sz w:val="24"/>
          <w:szCs w:val="24"/>
          <w:lang w:val="en-GB"/>
        </w:rPr>
        <w:t>,</w:t>
      </w:r>
      <w:r w:rsidR="007405D2" w:rsidRPr="0052431D">
        <w:rPr>
          <w:rFonts w:asciiTheme="minorHAnsi" w:hAnsiTheme="minorHAnsi"/>
          <w:bCs/>
          <w:sz w:val="24"/>
          <w:szCs w:val="24"/>
          <w:lang w:val="en-GB"/>
        </w:rPr>
        <w:t xml:space="preserve"> </w:t>
      </w:r>
      <w:r w:rsidR="00426FAA" w:rsidRPr="0052431D">
        <w:rPr>
          <w:rFonts w:asciiTheme="minorHAnsi" w:hAnsiTheme="minorHAnsi"/>
          <w:bCs/>
          <w:sz w:val="24"/>
          <w:szCs w:val="24"/>
          <w:lang w:val="en-GB"/>
        </w:rPr>
        <w:t>and</w:t>
      </w:r>
      <w:r w:rsidR="00663FEA" w:rsidRPr="0052431D">
        <w:rPr>
          <w:rFonts w:asciiTheme="minorHAnsi" w:hAnsiTheme="minorHAnsi"/>
          <w:bCs/>
          <w:sz w:val="24"/>
          <w:szCs w:val="24"/>
          <w:lang w:val="en-GB"/>
        </w:rPr>
        <w:t xml:space="preserve"> results</w:t>
      </w:r>
      <w:r w:rsidR="00426FAA" w:rsidRPr="0052431D">
        <w:rPr>
          <w:rFonts w:asciiTheme="minorHAnsi" w:hAnsiTheme="minorHAnsi"/>
          <w:bCs/>
          <w:sz w:val="24"/>
          <w:szCs w:val="24"/>
          <w:lang w:val="en-GB"/>
        </w:rPr>
        <w:t xml:space="preserve"> </w:t>
      </w:r>
      <w:r w:rsidR="00144DB2" w:rsidRPr="0052431D">
        <w:rPr>
          <w:rFonts w:asciiTheme="minorHAnsi" w:hAnsiTheme="minorHAnsi"/>
          <w:bCs/>
          <w:sz w:val="24"/>
          <w:szCs w:val="24"/>
          <w:lang w:val="en-GB"/>
        </w:rPr>
        <w:t xml:space="preserve">were stratified </w:t>
      </w:r>
      <w:r w:rsidR="00426FAA" w:rsidRPr="0052431D">
        <w:rPr>
          <w:rFonts w:asciiTheme="minorHAnsi" w:hAnsiTheme="minorHAnsi"/>
          <w:bCs/>
          <w:sz w:val="24"/>
          <w:szCs w:val="24"/>
          <w:lang w:val="en-GB"/>
        </w:rPr>
        <w:t xml:space="preserve">into low to moderate </w:t>
      </w:r>
      <w:r w:rsidR="00144DB2" w:rsidRPr="0052431D">
        <w:rPr>
          <w:rFonts w:asciiTheme="minorHAnsi" w:hAnsiTheme="minorHAnsi"/>
          <w:bCs/>
          <w:sz w:val="24"/>
          <w:szCs w:val="24"/>
          <w:lang w:val="en-GB"/>
        </w:rPr>
        <w:t xml:space="preserve">intensity </w:t>
      </w:r>
      <w:r w:rsidR="00426FAA" w:rsidRPr="0052431D">
        <w:rPr>
          <w:rFonts w:asciiTheme="minorHAnsi" w:hAnsiTheme="minorHAnsi"/>
          <w:bCs/>
          <w:sz w:val="24"/>
          <w:szCs w:val="24"/>
          <w:lang w:val="en-GB"/>
        </w:rPr>
        <w:t>(</w:t>
      </w:r>
      <w:r w:rsidR="00426FAA" w:rsidRPr="0052431D">
        <w:rPr>
          <w:rFonts w:asciiTheme="minorHAnsi" w:hAnsiTheme="minorHAnsi"/>
          <w:sz w:val="24"/>
          <w:szCs w:val="24"/>
          <w:lang w:val="en-GB"/>
        </w:rPr>
        <w:t xml:space="preserve">30 – 2999.99 </w:t>
      </w:r>
      <w:proofErr w:type="spellStart"/>
      <w:r w:rsidR="00426FAA" w:rsidRPr="0052431D">
        <w:rPr>
          <w:rFonts w:asciiTheme="minorHAnsi" w:hAnsiTheme="minorHAnsi"/>
          <w:sz w:val="24"/>
          <w:szCs w:val="24"/>
          <w:lang w:val="en-GB"/>
        </w:rPr>
        <w:t>pg</w:t>
      </w:r>
      <w:proofErr w:type="spellEnd"/>
      <w:r w:rsidR="00426FAA" w:rsidRPr="0052431D">
        <w:rPr>
          <w:rFonts w:asciiTheme="minorHAnsi" w:hAnsiTheme="minorHAnsi"/>
          <w:sz w:val="24"/>
          <w:szCs w:val="24"/>
          <w:lang w:val="en-GB"/>
        </w:rPr>
        <w:t xml:space="preserve">/mL) or high intensity (≥ 3000 </w:t>
      </w:r>
      <w:proofErr w:type="spellStart"/>
      <w:r w:rsidR="00426FAA" w:rsidRPr="0052431D">
        <w:rPr>
          <w:rFonts w:asciiTheme="minorHAnsi" w:hAnsiTheme="minorHAnsi"/>
          <w:sz w:val="24"/>
          <w:szCs w:val="24"/>
          <w:lang w:val="en-GB"/>
        </w:rPr>
        <w:t>pg</w:t>
      </w:r>
      <w:proofErr w:type="spellEnd"/>
      <w:r w:rsidR="00426FAA" w:rsidRPr="0052431D">
        <w:rPr>
          <w:rFonts w:asciiTheme="minorHAnsi" w:hAnsiTheme="minorHAnsi"/>
          <w:sz w:val="24"/>
          <w:szCs w:val="24"/>
          <w:lang w:val="en-GB"/>
        </w:rPr>
        <w:t>/mL)</w:t>
      </w:r>
      <w:r w:rsidR="007405D2" w:rsidRPr="0052431D">
        <w:rPr>
          <w:rFonts w:asciiTheme="minorHAnsi" w:hAnsiTheme="minorHAnsi"/>
          <w:sz w:val="24"/>
          <w:szCs w:val="24"/>
          <w:lang w:val="en-GB"/>
        </w:rPr>
        <w:t xml:space="preserve"> </w:t>
      </w:r>
      <w:r w:rsidR="00387D4B" w:rsidRPr="0052431D">
        <w:rPr>
          <w:rFonts w:asciiTheme="minorHAnsi" w:hAnsiTheme="minorHAnsi"/>
          <w:sz w:val="24"/>
          <w:szCs w:val="24"/>
          <w:lang w:val="en-GB"/>
        </w:rPr>
        <w:fldChar w:fldCharType="begin" w:fldLock="1"/>
      </w:r>
      <w:r w:rsidR="00315AFC" w:rsidRPr="0052431D">
        <w:rPr>
          <w:rFonts w:asciiTheme="minorHAnsi" w:hAnsiTheme="minorHAnsi"/>
          <w:sz w:val="24"/>
          <w:szCs w:val="24"/>
          <w:lang w:val="en-GB"/>
        </w:rPr>
        <w:instrText>ADDIN CSL_CITATION {"citationItems":[{"id":"ITEM-1","itemData":{"ISSN":"0031-1820","PMID":"11155931","abstract":"Circulating anodic antigen (CAA) levels in serum and faecal egg counts are both quantitative measures of Schistosoma mansoni worm burdens. In this study, we have tested whether circulating anodic antigens can be included into an established egg count model. A data set with 3 repeated faecal egg count and serum CAA measurements of 50 individuals from a community in Burundi with moderate endemicity was used. By means of Monte Carlo simulation, both antigens and egg counts were related to an underlying worm pair distribution, taking into account the variation in repeated measurements (within individuals) and the variation in worm burdens (between individuals). Models with various assumptions (e.g. presence or absence of density-dependent egg production) were tested. Whereas observed and predicted egg counts agreed fairly well, the circulating antigen data could not be described satisfactorily. In particular, the predicted number of negative antigen concentrations was much lower than observed, while the number of light positives was overestimated. There seems to be a mechanism that causes a shift of expected (low) positive CAA concentrations towards zeros, which the proposed models do not provide for. Possible biological as well as assay-related mechanisms that may account for this shift are discussed. The assumption that serum CAA concentrations are a simple direct reflection of worm (pair) burdens could not be corroborated by this modelling exercise. Apparently, the relationship between (measured) CAA concentrations, egg counts and worm burdens in human S. mansoni infections is more complex than assumed.","author":[{"dropping-particle":"","family":"Polman","given":"K","non-dropping-particle":"","parse-names":false,"suffix":""},{"dropping-particle":"","family":"Vlas","given":"S J","non-dropping-particle":"de","parse-names":false,"suffix":""},{"dropping-particle":"","family":"Gryseels","given":"B","non-dropping-particle":"","parse-names":false,"suffix":""},{"dropping-particle":"","family":"Deelder","given":"a M","non-dropping-particle":"","parse-names":false,"suffix":""}],"container-title":"Parasitology","id":"ITEM-1","issued":{"date-parts":[["2000","12"]]},"page":"601-10","title":"Relating serum circulating anodic antigens to faecal egg counts in Schistosoma mansoni infections: a modelling approach.","type":"article-journal","volume":"121 Pt 6"},"uris":["http://www.mendeley.com/documents/?uuid=1c9b04c5-8caa-40c4-89e8-07e0a5443960"]}],"mendeley":{"formattedCitation":"[15]","plainTextFormattedCitation":"[15]","previouslyFormattedCitation":"[15]"},"properties":{"noteIndex":0},"schema":"https://github.com/citation-style-language/schema/raw/master/csl-citation.json"}</w:instrText>
      </w:r>
      <w:r w:rsidR="00387D4B" w:rsidRPr="0052431D">
        <w:rPr>
          <w:rFonts w:asciiTheme="minorHAnsi" w:hAnsiTheme="minorHAnsi"/>
          <w:sz w:val="24"/>
          <w:szCs w:val="24"/>
          <w:lang w:val="en-GB"/>
        </w:rPr>
        <w:fldChar w:fldCharType="separate"/>
      </w:r>
      <w:r w:rsidR="00315AFC" w:rsidRPr="0052431D">
        <w:rPr>
          <w:rFonts w:asciiTheme="minorHAnsi" w:hAnsiTheme="minorHAnsi"/>
          <w:noProof/>
          <w:sz w:val="24"/>
          <w:szCs w:val="24"/>
          <w:lang w:val="en-GB"/>
        </w:rPr>
        <w:t>[15]</w:t>
      </w:r>
      <w:r w:rsidR="00387D4B" w:rsidRPr="0052431D">
        <w:rPr>
          <w:rFonts w:asciiTheme="minorHAnsi" w:hAnsiTheme="minorHAnsi"/>
          <w:sz w:val="24"/>
          <w:szCs w:val="24"/>
          <w:lang w:val="en-GB"/>
        </w:rPr>
        <w:fldChar w:fldCharType="end"/>
      </w:r>
      <w:r w:rsidR="00A226AF">
        <w:rPr>
          <w:rFonts w:asciiTheme="minorHAnsi" w:hAnsiTheme="minorHAnsi"/>
          <w:sz w:val="24"/>
          <w:szCs w:val="24"/>
          <w:lang w:val="en-GB"/>
        </w:rPr>
        <w:t>.</w:t>
      </w:r>
    </w:p>
    <w:p w14:paraId="3EB13A12" w14:textId="77777777" w:rsidR="00804368" w:rsidRPr="0052431D" w:rsidRDefault="00804368" w:rsidP="00C74418">
      <w:pPr>
        <w:spacing w:after="0" w:line="360" w:lineRule="auto"/>
        <w:jc w:val="both"/>
        <w:rPr>
          <w:rFonts w:asciiTheme="minorHAnsi" w:hAnsiTheme="minorHAnsi"/>
          <w:sz w:val="24"/>
          <w:szCs w:val="24"/>
          <w:lang w:val="en-GB"/>
        </w:rPr>
      </w:pPr>
    </w:p>
    <w:p w14:paraId="6CFC6C7E" w14:textId="3333B054" w:rsidR="003E7F5D" w:rsidRPr="0052431D" w:rsidRDefault="00D85B4B"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
          <w:sz w:val="24"/>
          <w:szCs w:val="24"/>
          <w:lang w:val="en-GB"/>
        </w:rPr>
        <w:t>Statistical methods</w:t>
      </w:r>
    </w:p>
    <w:p w14:paraId="1FCD6BB9" w14:textId="5C0113FB" w:rsidR="000132B8" w:rsidRPr="00305153" w:rsidRDefault="00EB6B61"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We estimated the </w:t>
      </w:r>
      <w:r w:rsidR="003D6301" w:rsidRPr="0052431D">
        <w:rPr>
          <w:rFonts w:asciiTheme="minorHAnsi" w:hAnsiTheme="minorHAnsi" w:cs="Arial"/>
          <w:bCs/>
          <w:sz w:val="24"/>
          <w:szCs w:val="24"/>
          <w:lang w:val="en-GB"/>
        </w:rPr>
        <w:t xml:space="preserve">prevalence (and corresponding 95% confidence interval (CI)) </w:t>
      </w:r>
      <w:r w:rsidR="00F36ED0" w:rsidRPr="0052431D">
        <w:rPr>
          <w:rFonts w:asciiTheme="minorHAnsi" w:hAnsiTheme="minorHAnsi" w:cs="Arial"/>
          <w:bCs/>
          <w:sz w:val="24"/>
          <w:szCs w:val="24"/>
          <w:lang w:val="en-GB"/>
        </w:rPr>
        <w:t xml:space="preserve">of </w:t>
      </w:r>
      <w:r w:rsidR="003D6301" w:rsidRPr="0052431D">
        <w:rPr>
          <w:rFonts w:asciiTheme="minorHAnsi" w:hAnsiTheme="minorHAnsi" w:cs="Arial"/>
          <w:bCs/>
          <w:sz w:val="24"/>
          <w:szCs w:val="24"/>
          <w:lang w:val="en-GB"/>
        </w:rPr>
        <w:t>HIV, syphilis and schistosom</w:t>
      </w:r>
      <w:r w:rsidR="00387D4B" w:rsidRPr="0052431D">
        <w:rPr>
          <w:rFonts w:asciiTheme="minorHAnsi" w:hAnsiTheme="minorHAnsi" w:cs="Arial"/>
          <w:bCs/>
          <w:sz w:val="24"/>
          <w:szCs w:val="24"/>
          <w:lang w:val="en-GB"/>
        </w:rPr>
        <w:t>e</w:t>
      </w:r>
      <w:r w:rsidR="003D6301" w:rsidRPr="0052431D">
        <w:rPr>
          <w:rFonts w:asciiTheme="minorHAnsi" w:hAnsiTheme="minorHAnsi" w:cs="Arial"/>
          <w:bCs/>
          <w:sz w:val="24"/>
          <w:szCs w:val="24"/>
          <w:lang w:val="en-GB"/>
        </w:rPr>
        <w:t xml:space="preserve"> infection</w:t>
      </w:r>
      <w:r w:rsidRPr="0052431D">
        <w:rPr>
          <w:rFonts w:asciiTheme="minorHAnsi" w:hAnsiTheme="minorHAnsi" w:cs="Arial"/>
          <w:bCs/>
          <w:sz w:val="24"/>
          <w:szCs w:val="24"/>
          <w:lang w:val="en-GB"/>
        </w:rPr>
        <w:t xml:space="preserve"> </w:t>
      </w:r>
      <w:r w:rsidR="00397F19" w:rsidRPr="0052431D">
        <w:rPr>
          <w:rFonts w:asciiTheme="minorHAnsi" w:hAnsiTheme="minorHAnsi" w:cs="Arial"/>
          <w:bCs/>
          <w:sz w:val="24"/>
          <w:szCs w:val="24"/>
          <w:lang w:val="en-GB"/>
        </w:rPr>
        <w:t xml:space="preserve">separately </w:t>
      </w:r>
      <w:r w:rsidR="00F36ED0" w:rsidRPr="0052431D">
        <w:rPr>
          <w:rFonts w:asciiTheme="minorHAnsi" w:hAnsiTheme="minorHAnsi" w:cs="Arial"/>
          <w:bCs/>
          <w:sz w:val="24"/>
          <w:szCs w:val="24"/>
          <w:lang w:val="en-GB"/>
        </w:rPr>
        <w:t xml:space="preserve">for </w:t>
      </w:r>
      <w:r w:rsidR="003D6301" w:rsidRPr="0052431D">
        <w:rPr>
          <w:rFonts w:asciiTheme="minorHAnsi" w:hAnsiTheme="minorHAnsi" w:cs="Arial"/>
          <w:bCs/>
          <w:sz w:val="24"/>
          <w:szCs w:val="24"/>
          <w:lang w:val="en-GB"/>
        </w:rPr>
        <w:t xml:space="preserve">each </w:t>
      </w:r>
      <w:r w:rsidR="00397F19" w:rsidRPr="0052431D">
        <w:rPr>
          <w:rFonts w:asciiTheme="minorHAnsi" w:hAnsiTheme="minorHAnsi" w:cs="Arial"/>
          <w:bCs/>
          <w:sz w:val="24"/>
          <w:szCs w:val="24"/>
          <w:lang w:val="en-GB"/>
        </w:rPr>
        <w:t xml:space="preserve">of the four </w:t>
      </w:r>
      <w:r w:rsidR="00F36ED0" w:rsidRPr="0052431D">
        <w:rPr>
          <w:rFonts w:asciiTheme="minorHAnsi" w:hAnsiTheme="minorHAnsi" w:cs="Arial"/>
          <w:bCs/>
          <w:sz w:val="24"/>
          <w:szCs w:val="24"/>
          <w:lang w:val="en-GB"/>
        </w:rPr>
        <w:t>population</w:t>
      </w:r>
      <w:r w:rsidR="003D6301" w:rsidRPr="0052431D">
        <w:rPr>
          <w:rFonts w:asciiTheme="minorHAnsi" w:hAnsiTheme="minorHAnsi" w:cs="Arial"/>
          <w:bCs/>
          <w:sz w:val="24"/>
          <w:szCs w:val="24"/>
          <w:lang w:val="en-GB"/>
        </w:rPr>
        <w:t xml:space="preserve"> group</w:t>
      </w:r>
      <w:r w:rsidR="00397F19" w:rsidRPr="0052431D">
        <w:rPr>
          <w:rFonts w:asciiTheme="minorHAnsi" w:hAnsiTheme="minorHAnsi" w:cs="Arial"/>
          <w:bCs/>
          <w:sz w:val="24"/>
          <w:szCs w:val="24"/>
          <w:lang w:val="en-GB"/>
        </w:rPr>
        <w:t>s</w:t>
      </w:r>
      <w:r w:rsidR="003D6301" w:rsidRPr="0052431D">
        <w:rPr>
          <w:rFonts w:asciiTheme="minorHAnsi" w:hAnsiTheme="minorHAnsi" w:cs="Arial"/>
          <w:bCs/>
          <w:sz w:val="24"/>
          <w:szCs w:val="24"/>
          <w:lang w:val="en-GB"/>
        </w:rPr>
        <w:t xml:space="preserve"> </w:t>
      </w:r>
      <w:r w:rsidR="003E0451">
        <w:rPr>
          <w:rFonts w:asciiTheme="minorHAnsi" w:hAnsiTheme="minorHAnsi" w:cs="Arial"/>
          <w:bCs/>
          <w:sz w:val="24"/>
          <w:szCs w:val="24"/>
          <w:lang w:val="en-GB"/>
        </w:rPr>
        <w:t>outlined above</w:t>
      </w:r>
      <w:r w:rsidR="003D6301" w:rsidRPr="0052431D">
        <w:rPr>
          <w:rFonts w:asciiTheme="minorHAnsi" w:hAnsiTheme="minorHAnsi" w:cs="Arial"/>
          <w:bCs/>
          <w:sz w:val="24"/>
          <w:szCs w:val="24"/>
          <w:lang w:val="en-GB"/>
        </w:rPr>
        <w:t xml:space="preserve">. </w:t>
      </w:r>
      <w:r w:rsidR="00397F19" w:rsidRPr="0052431D">
        <w:rPr>
          <w:rFonts w:asciiTheme="minorHAnsi" w:hAnsiTheme="minorHAnsi" w:cs="Arial"/>
          <w:bCs/>
          <w:sz w:val="24"/>
          <w:szCs w:val="24"/>
          <w:lang w:val="en-GB"/>
        </w:rPr>
        <w:t>The burden of HIV was also summari</w:t>
      </w:r>
      <w:r w:rsidR="00F84A07" w:rsidRPr="0052431D">
        <w:rPr>
          <w:rFonts w:asciiTheme="minorHAnsi" w:hAnsiTheme="minorHAnsi" w:cs="Arial"/>
          <w:bCs/>
          <w:sz w:val="24"/>
          <w:szCs w:val="24"/>
          <w:lang w:val="en-GB"/>
        </w:rPr>
        <w:t>s</w:t>
      </w:r>
      <w:r w:rsidR="00397F19" w:rsidRPr="0052431D">
        <w:rPr>
          <w:rFonts w:asciiTheme="minorHAnsi" w:hAnsiTheme="minorHAnsi" w:cs="Arial"/>
          <w:bCs/>
          <w:sz w:val="24"/>
          <w:szCs w:val="24"/>
          <w:lang w:val="en-GB"/>
        </w:rPr>
        <w:t xml:space="preserve">ed by </w:t>
      </w:r>
      <w:r w:rsidR="00F84A07" w:rsidRPr="0052431D">
        <w:rPr>
          <w:rFonts w:asciiTheme="minorHAnsi" w:hAnsiTheme="minorHAnsi" w:cs="Arial"/>
          <w:bCs/>
          <w:sz w:val="24"/>
          <w:szCs w:val="24"/>
          <w:lang w:val="en-GB"/>
        </w:rPr>
        <w:t>(</w:t>
      </w:r>
      <w:proofErr w:type="spellStart"/>
      <w:r w:rsidR="00F84A07" w:rsidRPr="0052431D">
        <w:rPr>
          <w:rFonts w:asciiTheme="minorHAnsi" w:hAnsiTheme="minorHAnsi" w:cs="Arial"/>
          <w:bCs/>
          <w:sz w:val="24"/>
          <w:szCs w:val="24"/>
          <w:lang w:val="en-GB"/>
        </w:rPr>
        <w:t>i</w:t>
      </w:r>
      <w:proofErr w:type="spellEnd"/>
      <w:r w:rsidR="00F84A07" w:rsidRPr="0052431D">
        <w:rPr>
          <w:rFonts w:asciiTheme="minorHAnsi" w:hAnsiTheme="minorHAnsi" w:cs="Arial"/>
          <w:bCs/>
          <w:sz w:val="24"/>
          <w:szCs w:val="24"/>
          <w:lang w:val="en-GB"/>
        </w:rPr>
        <w:t xml:space="preserve">) </w:t>
      </w:r>
      <w:r w:rsidR="00397F19" w:rsidRPr="0052431D">
        <w:rPr>
          <w:rFonts w:asciiTheme="minorHAnsi" w:hAnsiTheme="minorHAnsi" w:cs="Arial"/>
          <w:bCs/>
          <w:sz w:val="24"/>
          <w:szCs w:val="24"/>
          <w:lang w:val="en-GB"/>
        </w:rPr>
        <w:t xml:space="preserve">socio-demographic characteristics, </w:t>
      </w:r>
      <w:r w:rsidR="00F84A07" w:rsidRPr="0052431D">
        <w:rPr>
          <w:rFonts w:asciiTheme="minorHAnsi" w:hAnsiTheme="minorHAnsi" w:cs="Arial"/>
          <w:bCs/>
          <w:sz w:val="24"/>
          <w:szCs w:val="24"/>
          <w:lang w:val="en-GB"/>
        </w:rPr>
        <w:t xml:space="preserve">(ii) </w:t>
      </w:r>
      <w:r w:rsidR="00397F19" w:rsidRPr="0052431D">
        <w:rPr>
          <w:rFonts w:asciiTheme="minorHAnsi" w:hAnsiTheme="minorHAnsi" w:cs="Arial"/>
          <w:bCs/>
          <w:sz w:val="24"/>
          <w:szCs w:val="24"/>
          <w:lang w:val="en-GB"/>
        </w:rPr>
        <w:t xml:space="preserve">self-reported sexual </w:t>
      </w:r>
      <w:r w:rsidR="00F84A07" w:rsidRPr="0052431D">
        <w:rPr>
          <w:rFonts w:asciiTheme="minorHAnsi" w:hAnsiTheme="minorHAnsi" w:cs="Arial"/>
          <w:bCs/>
          <w:sz w:val="24"/>
          <w:szCs w:val="24"/>
          <w:lang w:val="en-GB"/>
        </w:rPr>
        <w:t xml:space="preserve">behaviours, and (iii) clinical factors including circumcision (men only), syphilis status and other STI symptoms. </w:t>
      </w:r>
      <w:r w:rsidR="004327C9" w:rsidRPr="0052431D">
        <w:rPr>
          <w:rFonts w:asciiTheme="minorHAnsi" w:hAnsiTheme="minorHAnsi" w:cs="Arial"/>
          <w:bCs/>
          <w:sz w:val="24"/>
          <w:szCs w:val="24"/>
          <w:lang w:val="en-GB"/>
        </w:rPr>
        <w:t>The</w:t>
      </w:r>
      <w:r w:rsidR="00FA6F59">
        <w:rPr>
          <w:rFonts w:asciiTheme="minorHAnsi" w:hAnsiTheme="minorHAnsi" w:cs="Arial"/>
          <w:bCs/>
          <w:sz w:val="24"/>
          <w:szCs w:val="24"/>
          <w:lang w:val="en-GB"/>
        </w:rPr>
        <w:t xml:space="preserve"> associations between these potential </w:t>
      </w:r>
      <w:r w:rsidR="000A4942">
        <w:rPr>
          <w:rFonts w:asciiTheme="minorHAnsi" w:hAnsiTheme="minorHAnsi" w:cs="Arial"/>
          <w:bCs/>
          <w:sz w:val="24"/>
          <w:szCs w:val="24"/>
          <w:lang w:val="en-GB"/>
        </w:rPr>
        <w:t>risk factors and HIV</w:t>
      </w:r>
      <w:r w:rsidR="00F84A07" w:rsidRPr="0052431D">
        <w:rPr>
          <w:rFonts w:asciiTheme="minorHAnsi" w:hAnsiTheme="minorHAnsi" w:cs="Arial"/>
          <w:bCs/>
          <w:sz w:val="24"/>
          <w:szCs w:val="24"/>
          <w:lang w:val="en-GB"/>
        </w:rPr>
        <w:t xml:space="preserve"> </w:t>
      </w:r>
      <w:r w:rsidR="00804368" w:rsidRPr="0052431D">
        <w:rPr>
          <w:rFonts w:asciiTheme="minorHAnsi" w:hAnsiTheme="minorHAnsi" w:cs="Arial"/>
          <w:bCs/>
          <w:sz w:val="24"/>
          <w:szCs w:val="24"/>
          <w:lang w:val="en-GB"/>
        </w:rPr>
        <w:t xml:space="preserve">were </w:t>
      </w:r>
      <w:r w:rsidR="00F84A07" w:rsidRPr="0052431D">
        <w:rPr>
          <w:rFonts w:asciiTheme="minorHAnsi" w:hAnsiTheme="minorHAnsi" w:cs="Arial"/>
          <w:bCs/>
          <w:sz w:val="24"/>
          <w:szCs w:val="24"/>
          <w:lang w:val="en-GB"/>
        </w:rPr>
        <w:t xml:space="preserve">also </w:t>
      </w:r>
      <w:r w:rsidR="00804368" w:rsidRPr="0052431D">
        <w:rPr>
          <w:rFonts w:asciiTheme="minorHAnsi" w:hAnsiTheme="minorHAnsi" w:cs="Arial"/>
          <w:bCs/>
          <w:sz w:val="24"/>
          <w:szCs w:val="24"/>
          <w:lang w:val="en-GB"/>
        </w:rPr>
        <w:t xml:space="preserve">summarised using </w:t>
      </w:r>
      <w:r w:rsidR="004A2305" w:rsidRPr="0052431D">
        <w:rPr>
          <w:rFonts w:asciiTheme="minorHAnsi" w:hAnsiTheme="minorHAnsi" w:cs="Arial"/>
          <w:bCs/>
          <w:sz w:val="24"/>
          <w:szCs w:val="24"/>
          <w:lang w:val="en-GB"/>
        </w:rPr>
        <w:t xml:space="preserve">crude and adjusted </w:t>
      </w:r>
      <w:r w:rsidR="00804368" w:rsidRPr="0052431D">
        <w:rPr>
          <w:rFonts w:asciiTheme="minorHAnsi" w:hAnsiTheme="minorHAnsi" w:cs="Arial"/>
          <w:bCs/>
          <w:sz w:val="24"/>
          <w:szCs w:val="24"/>
          <w:lang w:val="en-GB"/>
        </w:rPr>
        <w:t xml:space="preserve">odds ratios </w:t>
      </w:r>
      <w:r w:rsidR="004A2305" w:rsidRPr="0052431D">
        <w:rPr>
          <w:rFonts w:asciiTheme="minorHAnsi" w:hAnsiTheme="minorHAnsi" w:cs="Arial"/>
          <w:bCs/>
          <w:sz w:val="24"/>
          <w:szCs w:val="24"/>
          <w:lang w:val="en-GB"/>
        </w:rPr>
        <w:t xml:space="preserve">from </w:t>
      </w:r>
      <w:r w:rsidR="00760622" w:rsidRPr="0052431D">
        <w:rPr>
          <w:rFonts w:asciiTheme="minorHAnsi" w:hAnsiTheme="minorHAnsi" w:cs="Arial"/>
          <w:bCs/>
          <w:sz w:val="24"/>
          <w:szCs w:val="24"/>
          <w:lang w:val="en-GB"/>
        </w:rPr>
        <w:t xml:space="preserve">univariate </w:t>
      </w:r>
      <w:r w:rsidR="004A2305" w:rsidRPr="0052431D">
        <w:rPr>
          <w:rFonts w:asciiTheme="minorHAnsi" w:hAnsiTheme="minorHAnsi" w:cs="Arial"/>
          <w:bCs/>
          <w:sz w:val="24"/>
          <w:szCs w:val="24"/>
          <w:lang w:val="en-GB"/>
        </w:rPr>
        <w:t xml:space="preserve">and multivariable logistic regression respectively. </w:t>
      </w:r>
      <w:r w:rsidR="00760622" w:rsidRPr="0052431D">
        <w:rPr>
          <w:rFonts w:asciiTheme="minorHAnsi" w:hAnsiTheme="minorHAnsi" w:cs="Arial"/>
          <w:bCs/>
          <w:sz w:val="24"/>
          <w:szCs w:val="24"/>
          <w:lang w:val="en-GB"/>
        </w:rPr>
        <w:t xml:space="preserve">The </w:t>
      </w:r>
      <w:r w:rsidR="00DF6A5B" w:rsidRPr="0052431D">
        <w:rPr>
          <w:rFonts w:asciiTheme="minorHAnsi" w:hAnsiTheme="minorHAnsi" w:cs="Arial"/>
          <w:bCs/>
          <w:sz w:val="24"/>
          <w:szCs w:val="24"/>
          <w:lang w:val="en-GB"/>
        </w:rPr>
        <w:t>multivariable analysi</w:t>
      </w:r>
      <w:r w:rsidR="00760622" w:rsidRPr="0052431D">
        <w:rPr>
          <w:rFonts w:asciiTheme="minorHAnsi" w:hAnsiTheme="minorHAnsi" w:cs="Arial"/>
          <w:bCs/>
          <w:sz w:val="24"/>
          <w:szCs w:val="24"/>
          <w:lang w:val="en-GB"/>
        </w:rPr>
        <w:t xml:space="preserve">s sought to estimate the independent </w:t>
      </w:r>
      <w:r w:rsidR="00280015" w:rsidRPr="0052431D">
        <w:rPr>
          <w:rFonts w:asciiTheme="minorHAnsi" w:hAnsiTheme="minorHAnsi" w:cs="Arial"/>
          <w:bCs/>
          <w:sz w:val="24"/>
          <w:szCs w:val="24"/>
          <w:lang w:val="en-GB"/>
        </w:rPr>
        <w:t>associations with</w:t>
      </w:r>
      <w:r w:rsidR="00760622" w:rsidRPr="0052431D">
        <w:rPr>
          <w:rFonts w:asciiTheme="minorHAnsi" w:hAnsiTheme="minorHAnsi" w:cs="Arial"/>
          <w:bCs/>
          <w:sz w:val="24"/>
          <w:szCs w:val="24"/>
          <w:lang w:val="en-GB"/>
        </w:rPr>
        <w:t xml:space="preserve"> HIV</w:t>
      </w:r>
      <w:r w:rsidR="00DF6A5B" w:rsidRPr="0052431D">
        <w:rPr>
          <w:rFonts w:asciiTheme="minorHAnsi" w:hAnsiTheme="minorHAnsi" w:cs="Arial"/>
          <w:bCs/>
          <w:sz w:val="24"/>
          <w:szCs w:val="24"/>
          <w:lang w:val="en-GB"/>
        </w:rPr>
        <w:t xml:space="preserve"> after adjusting for </w:t>
      </w:r>
      <w:r w:rsidR="00280015" w:rsidRPr="0052431D">
        <w:rPr>
          <w:rFonts w:asciiTheme="minorHAnsi" w:hAnsiTheme="minorHAnsi" w:cs="Arial"/>
          <w:bCs/>
          <w:sz w:val="24"/>
          <w:szCs w:val="24"/>
          <w:lang w:val="en-GB"/>
        </w:rPr>
        <w:t xml:space="preserve">the </w:t>
      </w:r>
      <w:r w:rsidR="00DF6A5B" w:rsidRPr="0052431D">
        <w:rPr>
          <w:rFonts w:asciiTheme="minorHAnsi" w:hAnsiTheme="minorHAnsi" w:cs="Arial"/>
          <w:bCs/>
          <w:sz w:val="24"/>
          <w:szCs w:val="24"/>
          <w:lang w:val="en-GB"/>
        </w:rPr>
        <w:t>potential</w:t>
      </w:r>
      <w:r w:rsidR="00280015" w:rsidRPr="0052431D">
        <w:rPr>
          <w:rFonts w:asciiTheme="minorHAnsi" w:hAnsiTheme="minorHAnsi" w:cs="Arial"/>
          <w:bCs/>
          <w:sz w:val="24"/>
          <w:szCs w:val="24"/>
          <w:lang w:val="en-GB"/>
        </w:rPr>
        <w:t>ly</w:t>
      </w:r>
      <w:r w:rsidR="00DF6A5B" w:rsidRPr="0052431D">
        <w:rPr>
          <w:rFonts w:asciiTheme="minorHAnsi" w:hAnsiTheme="minorHAnsi" w:cs="Arial"/>
          <w:bCs/>
          <w:sz w:val="24"/>
          <w:szCs w:val="24"/>
          <w:lang w:val="en-GB"/>
        </w:rPr>
        <w:t xml:space="preserve"> </w:t>
      </w:r>
      <w:r w:rsidR="00280015" w:rsidRPr="0052431D">
        <w:rPr>
          <w:rFonts w:asciiTheme="minorHAnsi" w:hAnsiTheme="minorHAnsi" w:cs="Arial"/>
          <w:bCs/>
          <w:sz w:val="24"/>
          <w:szCs w:val="24"/>
          <w:lang w:val="en-GB"/>
        </w:rPr>
        <w:t>confounding effects of sex, age and population group</w:t>
      </w:r>
      <w:r w:rsidR="00760622" w:rsidRPr="0052431D">
        <w:rPr>
          <w:rFonts w:asciiTheme="minorHAnsi" w:hAnsiTheme="minorHAnsi" w:cs="Arial"/>
          <w:bCs/>
          <w:sz w:val="24"/>
          <w:szCs w:val="24"/>
          <w:lang w:val="en-GB"/>
        </w:rPr>
        <w:t xml:space="preserve">. </w:t>
      </w:r>
      <w:r w:rsidR="00280015" w:rsidRPr="0052431D">
        <w:rPr>
          <w:rFonts w:asciiTheme="minorHAnsi" w:hAnsiTheme="minorHAnsi" w:cs="Arial"/>
          <w:bCs/>
          <w:sz w:val="24"/>
          <w:szCs w:val="24"/>
          <w:lang w:val="en-GB"/>
        </w:rPr>
        <w:t>The analysis of associations with clinical factors was further adjusted by self-reported sexual behaviours</w:t>
      </w:r>
      <w:r w:rsidR="00704AB8" w:rsidRPr="0052431D">
        <w:rPr>
          <w:rFonts w:asciiTheme="minorHAnsi" w:hAnsiTheme="minorHAnsi" w:cs="Arial"/>
          <w:bCs/>
          <w:sz w:val="24"/>
          <w:szCs w:val="24"/>
          <w:lang w:val="en-GB"/>
        </w:rPr>
        <w:t xml:space="preserve"> with strong univariate associations with HIV</w:t>
      </w:r>
      <w:r w:rsidR="00804368" w:rsidRPr="0052431D">
        <w:rPr>
          <w:rFonts w:asciiTheme="minorHAnsi" w:hAnsiTheme="minorHAnsi"/>
          <w:sz w:val="24"/>
          <w:szCs w:val="24"/>
          <w:lang w:val="en-GB"/>
        </w:rPr>
        <w:t xml:space="preserve">. </w:t>
      </w:r>
      <w:r w:rsidR="00D13596" w:rsidRPr="0052431D">
        <w:rPr>
          <w:rFonts w:asciiTheme="minorHAnsi" w:hAnsiTheme="minorHAnsi"/>
          <w:sz w:val="24"/>
          <w:szCs w:val="24"/>
          <w:lang w:val="en-GB"/>
        </w:rPr>
        <w:t xml:space="preserve">Finally, we </w:t>
      </w:r>
      <w:r w:rsidR="00C45490" w:rsidRPr="0052431D">
        <w:rPr>
          <w:rFonts w:asciiTheme="minorHAnsi" w:hAnsiTheme="minorHAnsi"/>
          <w:sz w:val="24"/>
          <w:szCs w:val="24"/>
          <w:lang w:val="en-GB"/>
        </w:rPr>
        <w:t xml:space="preserve">investigated the independent </w:t>
      </w:r>
      <w:r w:rsidR="00804368" w:rsidRPr="0052431D">
        <w:rPr>
          <w:rFonts w:asciiTheme="minorHAnsi" w:hAnsiTheme="minorHAnsi"/>
          <w:sz w:val="24"/>
          <w:szCs w:val="24"/>
          <w:lang w:val="en-GB"/>
        </w:rPr>
        <w:t>association between schistosom</w:t>
      </w:r>
      <w:r w:rsidR="00A662E5" w:rsidRPr="0052431D">
        <w:rPr>
          <w:rFonts w:asciiTheme="minorHAnsi" w:hAnsiTheme="minorHAnsi"/>
          <w:sz w:val="24"/>
          <w:szCs w:val="24"/>
          <w:lang w:val="en-GB"/>
        </w:rPr>
        <w:t>e</w:t>
      </w:r>
      <w:r w:rsidR="00804368" w:rsidRPr="0052431D">
        <w:rPr>
          <w:rFonts w:asciiTheme="minorHAnsi" w:hAnsiTheme="minorHAnsi"/>
          <w:sz w:val="24"/>
          <w:szCs w:val="24"/>
          <w:lang w:val="en-GB"/>
        </w:rPr>
        <w:t xml:space="preserve"> infection </w:t>
      </w:r>
      <w:r w:rsidR="000132B8" w:rsidRPr="0052431D">
        <w:rPr>
          <w:rFonts w:asciiTheme="minorHAnsi" w:hAnsiTheme="minorHAnsi"/>
          <w:sz w:val="24"/>
          <w:szCs w:val="24"/>
          <w:lang w:val="en-GB"/>
        </w:rPr>
        <w:t>and H</w:t>
      </w:r>
      <w:r w:rsidR="00804368" w:rsidRPr="0052431D">
        <w:rPr>
          <w:rFonts w:asciiTheme="minorHAnsi" w:hAnsiTheme="minorHAnsi"/>
          <w:sz w:val="24"/>
          <w:szCs w:val="24"/>
          <w:lang w:val="en-GB"/>
        </w:rPr>
        <w:t>IV</w:t>
      </w:r>
      <w:r w:rsidR="000132B8" w:rsidRPr="0052431D">
        <w:rPr>
          <w:rFonts w:asciiTheme="minorHAnsi" w:hAnsiTheme="minorHAnsi"/>
          <w:sz w:val="24"/>
          <w:szCs w:val="24"/>
          <w:lang w:val="en-GB"/>
        </w:rPr>
        <w:t xml:space="preserve"> </w:t>
      </w:r>
      <w:r w:rsidR="00C45490" w:rsidRPr="0052431D">
        <w:rPr>
          <w:rFonts w:asciiTheme="minorHAnsi" w:hAnsiTheme="minorHAnsi"/>
          <w:sz w:val="24"/>
          <w:szCs w:val="24"/>
          <w:lang w:val="en-GB"/>
        </w:rPr>
        <w:t xml:space="preserve">using multivariable logistic regression adjusted for the same potential confounders as in the analysis of associations between HIV and </w:t>
      </w:r>
      <w:r w:rsidR="00CF3B28" w:rsidRPr="0052431D">
        <w:rPr>
          <w:rFonts w:asciiTheme="minorHAnsi" w:hAnsiTheme="minorHAnsi"/>
          <w:sz w:val="24"/>
          <w:szCs w:val="24"/>
          <w:lang w:val="en-GB"/>
        </w:rPr>
        <w:t>other infections</w:t>
      </w:r>
      <w:r w:rsidR="000132B8" w:rsidRPr="0052431D">
        <w:rPr>
          <w:rFonts w:asciiTheme="minorHAnsi" w:hAnsiTheme="minorHAnsi"/>
          <w:sz w:val="24"/>
          <w:szCs w:val="24"/>
          <w:lang w:val="en-GB"/>
        </w:rPr>
        <w:t xml:space="preserve">.  </w:t>
      </w:r>
      <w:r w:rsidR="00063F7B">
        <w:rPr>
          <w:rFonts w:asciiTheme="minorHAnsi" w:hAnsiTheme="minorHAnsi"/>
          <w:sz w:val="24"/>
          <w:szCs w:val="24"/>
          <w:lang w:val="en-GB"/>
        </w:rPr>
        <w:t xml:space="preserve">Analyses were performed in men and women separately. </w:t>
      </w:r>
      <w:r w:rsidR="00063F7B">
        <w:rPr>
          <w:rFonts w:asciiTheme="minorHAnsi" w:hAnsiTheme="minorHAnsi" w:cs="Arial"/>
          <w:bCs/>
          <w:sz w:val="24"/>
          <w:szCs w:val="24"/>
          <w:lang w:val="en-GB"/>
        </w:rPr>
        <w:t>W</w:t>
      </w:r>
      <w:r w:rsidR="00C87A78" w:rsidRPr="0052431D">
        <w:rPr>
          <w:rFonts w:asciiTheme="minorHAnsi" w:hAnsiTheme="minorHAnsi" w:cs="Arial"/>
          <w:bCs/>
          <w:sz w:val="24"/>
          <w:szCs w:val="24"/>
          <w:lang w:val="en-GB"/>
        </w:rPr>
        <w:t>e also modelled the relationship between HIV and CAA in a logistic regression with the (log) CAA concentration included as a linear term</w:t>
      </w:r>
      <w:r w:rsidR="00063F7B">
        <w:rPr>
          <w:rFonts w:asciiTheme="minorHAnsi" w:hAnsiTheme="minorHAnsi" w:cs="Arial"/>
          <w:bCs/>
          <w:sz w:val="24"/>
          <w:szCs w:val="24"/>
          <w:lang w:val="en-GB"/>
        </w:rPr>
        <w:t xml:space="preserve"> for each sex</w:t>
      </w:r>
      <w:r w:rsidR="00C87A78" w:rsidRPr="0052431D">
        <w:rPr>
          <w:rFonts w:asciiTheme="minorHAnsi" w:hAnsiTheme="minorHAnsi" w:cs="Arial"/>
          <w:bCs/>
          <w:sz w:val="24"/>
          <w:szCs w:val="24"/>
          <w:lang w:val="en-GB"/>
        </w:rPr>
        <w:t>.</w:t>
      </w:r>
    </w:p>
    <w:p w14:paraId="1D2FBAF2" w14:textId="77777777" w:rsidR="007B34D6" w:rsidRPr="0052431D" w:rsidRDefault="007B34D6" w:rsidP="00C74418">
      <w:pPr>
        <w:spacing w:after="0" w:line="360" w:lineRule="auto"/>
        <w:jc w:val="both"/>
        <w:rPr>
          <w:rFonts w:asciiTheme="minorHAnsi" w:hAnsiTheme="minorHAnsi"/>
          <w:sz w:val="24"/>
          <w:szCs w:val="24"/>
          <w:lang w:val="en-GB"/>
        </w:rPr>
      </w:pPr>
    </w:p>
    <w:p w14:paraId="4B2395AD" w14:textId="46026BB2" w:rsidR="007B34D6" w:rsidRPr="0052431D" w:rsidRDefault="007B34D6" w:rsidP="00C74418">
      <w:pPr>
        <w:spacing w:after="0" w:line="360" w:lineRule="auto"/>
        <w:jc w:val="both"/>
        <w:rPr>
          <w:rFonts w:asciiTheme="minorHAnsi" w:hAnsiTheme="minorHAnsi"/>
          <w:sz w:val="24"/>
          <w:szCs w:val="24"/>
          <w:lang w:val="en-GB"/>
        </w:rPr>
      </w:pPr>
      <w:r w:rsidRPr="0052431D">
        <w:rPr>
          <w:rFonts w:asciiTheme="minorHAnsi" w:hAnsiTheme="minorHAnsi"/>
          <w:b/>
          <w:sz w:val="24"/>
          <w:szCs w:val="24"/>
          <w:lang w:val="en-GB"/>
        </w:rPr>
        <w:t>Ethic</w:t>
      </w:r>
      <w:r w:rsidR="00DF7758">
        <w:rPr>
          <w:rFonts w:asciiTheme="minorHAnsi" w:hAnsiTheme="minorHAnsi"/>
          <w:b/>
          <w:sz w:val="24"/>
          <w:szCs w:val="24"/>
          <w:lang w:val="en-GB"/>
        </w:rPr>
        <w:t>al considerations</w:t>
      </w:r>
    </w:p>
    <w:p w14:paraId="4C2BCC57" w14:textId="34FC3376" w:rsidR="007B34D6" w:rsidRPr="0052431D" w:rsidRDefault="005B391C" w:rsidP="00C74418">
      <w:pPr>
        <w:spacing w:after="0" w:line="360" w:lineRule="auto"/>
        <w:jc w:val="both"/>
        <w:rPr>
          <w:rFonts w:asciiTheme="minorHAnsi" w:hAnsiTheme="minorHAnsi"/>
          <w:sz w:val="24"/>
          <w:szCs w:val="24"/>
          <w:lang w:val="en-GB"/>
        </w:rPr>
      </w:pPr>
      <w:r w:rsidRPr="0052431D">
        <w:rPr>
          <w:rFonts w:asciiTheme="minorHAnsi" w:hAnsiTheme="minorHAnsi"/>
          <w:sz w:val="24"/>
          <w:szCs w:val="24"/>
          <w:lang w:val="en-GB"/>
        </w:rPr>
        <w:t xml:space="preserve">Permission for the conduct of this study was obtained from the </w:t>
      </w:r>
      <w:r w:rsidR="00A226AF">
        <w:rPr>
          <w:rFonts w:asciiTheme="minorHAnsi" w:hAnsiTheme="minorHAnsi"/>
          <w:sz w:val="24"/>
          <w:szCs w:val="24"/>
          <w:lang w:val="en-GB"/>
        </w:rPr>
        <w:t xml:space="preserve">Tanzania </w:t>
      </w:r>
      <w:r w:rsidRPr="0052431D">
        <w:rPr>
          <w:rFonts w:asciiTheme="minorHAnsi" w:hAnsiTheme="minorHAnsi"/>
          <w:sz w:val="24"/>
          <w:szCs w:val="24"/>
          <w:lang w:val="en-GB"/>
        </w:rPr>
        <w:t>National Institute for Medical Research (NIMR/</w:t>
      </w:r>
      <w:r w:rsidR="00BC1F64" w:rsidRPr="0052431D">
        <w:rPr>
          <w:rFonts w:asciiTheme="minorHAnsi" w:hAnsiTheme="minorHAnsi"/>
          <w:sz w:val="24"/>
          <w:szCs w:val="24"/>
          <w:lang w:val="en-GB"/>
        </w:rPr>
        <w:t>MR/53/100/339</w:t>
      </w:r>
      <w:r w:rsidRPr="0052431D">
        <w:rPr>
          <w:rFonts w:asciiTheme="minorHAnsi" w:hAnsiTheme="minorHAnsi"/>
          <w:sz w:val="24"/>
          <w:szCs w:val="24"/>
          <w:lang w:val="en-GB"/>
        </w:rPr>
        <w:t xml:space="preserve">), and exemption for the analysis of de-identified data was obtained from Weill Cornell Medicine (#1709018560). All study participants provided written informed consent for participation and were offered free treatment for themselves and </w:t>
      </w:r>
      <w:r w:rsidR="003E7983">
        <w:rPr>
          <w:rFonts w:asciiTheme="minorHAnsi" w:hAnsiTheme="minorHAnsi"/>
          <w:sz w:val="24"/>
          <w:szCs w:val="24"/>
          <w:lang w:val="en-GB"/>
        </w:rPr>
        <w:t xml:space="preserve">their </w:t>
      </w:r>
      <w:r w:rsidRPr="0052431D">
        <w:rPr>
          <w:rFonts w:asciiTheme="minorHAnsi" w:hAnsiTheme="minorHAnsi"/>
          <w:sz w:val="24"/>
          <w:szCs w:val="24"/>
          <w:lang w:val="en-GB"/>
        </w:rPr>
        <w:t>partners as indicated for infections that were diagnosed</w:t>
      </w:r>
      <w:r w:rsidR="00BC10A6" w:rsidRPr="0052431D">
        <w:rPr>
          <w:rFonts w:asciiTheme="minorHAnsi" w:hAnsiTheme="minorHAnsi"/>
          <w:sz w:val="24"/>
          <w:szCs w:val="24"/>
          <w:lang w:val="en-GB"/>
        </w:rPr>
        <w:t xml:space="preserve"> during </w:t>
      </w:r>
      <w:r w:rsidR="00D80DDB" w:rsidRPr="0052431D">
        <w:rPr>
          <w:rFonts w:asciiTheme="minorHAnsi" w:hAnsiTheme="minorHAnsi"/>
          <w:sz w:val="24"/>
          <w:szCs w:val="24"/>
          <w:lang w:val="en-GB"/>
        </w:rPr>
        <w:t xml:space="preserve">the </w:t>
      </w:r>
      <w:r w:rsidR="00BC10A6" w:rsidRPr="0052431D">
        <w:rPr>
          <w:rFonts w:asciiTheme="minorHAnsi" w:hAnsiTheme="minorHAnsi"/>
          <w:sz w:val="24"/>
          <w:szCs w:val="24"/>
          <w:lang w:val="en-GB"/>
        </w:rPr>
        <w:t>study</w:t>
      </w:r>
      <w:r w:rsidRPr="0052431D">
        <w:rPr>
          <w:rFonts w:asciiTheme="minorHAnsi" w:hAnsiTheme="minorHAnsi"/>
          <w:sz w:val="24"/>
          <w:szCs w:val="24"/>
          <w:lang w:val="en-GB"/>
        </w:rPr>
        <w:t>.</w:t>
      </w:r>
      <w:r w:rsidR="00F265A9" w:rsidRPr="0052431D">
        <w:rPr>
          <w:rFonts w:asciiTheme="minorHAnsi" w:hAnsiTheme="minorHAnsi"/>
          <w:sz w:val="24"/>
          <w:szCs w:val="24"/>
          <w:lang w:val="en-GB"/>
        </w:rPr>
        <w:t xml:space="preserve"> </w:t>
      </w:r>
      <w:r w:rsidR="002156A5" w:rsidRPr="0052431D">
        <w:rPr>
          <w:rFonts w:asciiTheme="minorHAnsi" w:hAnsiTheme="minorHAnsi" w:cs="Arial"/>
          <w:bCs/>
          <w:sz w:val="24"/>
          <w:szCs w:val="24"/>
          <w:lang w:val="en-GB"/>
        </w:rPr>
        <w:t xml:space="preserve">Results were available to study participants within 1-2 hours and were provided within the context of post-test counselling. HIV-infected participants were referred to HIV/AIDS care and treatment centres for </w:t>
      </w:r>
      <w:r w:rsidR="002156A5">
        <w:rPr>
          <w:rFonts w:asciiTheme="minorHAnsi" w:hAnsiTheme="minorHAnsi" w:cs="Arial"/>
          <w:bCs/>
          <w:sz w:val="24"/>
          <w:szCs w:val="24"/>
          <w:lang w:val="en-GB"/>
        </w:rPr>
        <w:t xml:space="preserve">free </w:t>
      </w:r>
      <w:r w:rsidR="002156A5" w:rsidRPr="0052431D">
        <w:rPr>
          <w:rFonts w:asciiTheme="minorHAnsi" w:hAnsiTheme="minorHAnsi" w:cs="Arial"/>
          <w:bCs/>
          <w:sz w:val="24"/>
          <w:szCs w:val="24"/>
          <w:lang w:val="en-GB"/>
        </w:rPr>
        <w:t>standard of care treatment</w:t>
      </w:r>
      <w:r w:rsidR="002156A5">
        <w:rPr>
          <w:rFonts w:asciiTheme="minorHAnsi" w:hAnsiTheme="minorHAnsi" w:cs="Arial"/>
          <w:bCs/>
          <w:sz w:val="24"/>
          <w:szCs w:val="24"/>
          <w:lang w:val="en-GB"/>
        </w:rPr>
        <w:t xml:space="preserve">. </w:t>
      </w:r>
      <w:r w:rsidR="00E36BD8" w:rsidRPr="0052431D">
        <w:rPr>
          <w:rFonts w:asciiTheme="minorHAnsi" w:hAnsiTheme="minorHAnsi"/>
          <w:sz w:val="24"/>
          <w:szCs w:val="24"/>
          <w:lang w:val="en-GB"/>
        </w:rPr>
        <w:t>In these fishing communities</w:t>
      </w:r>
      <w:r w:rsidR="00A959DD" w:rsidRPr="0052431D">
        <w:rPr>
          <w:rFonts w:asciiTheme="minorHAnsi" w:hAnsiTheme="minorHAnsi"/>
          <w:sz w:val="24"/>
          <w:szCs w:val="24"/>
          <w:lang w:val="en-GB"/>
        </w:rPr>
        <w:t xml:space="preserve"> in which most people have near-daily exposure to contaminated water</w:t>
      </w:r>
      <w:r w:rsidR="00E36BD8" w:rsidRPr="0052431D">
        <w:rPr>
          <w:rFonts w:asciiTheme="minorHAnsi" w:hAnsiTheme="minorHAnsi"/>
          <w:sz w:val="24"/>
          <w:szCs w:val="24"/>
          <w:lang w:val="en-GB"/>
        </w:rPr>
        <w:t xml:space="preserve">, anti-schistosome praziquantel treatment is routinely provided free of charge </w:t>
      </w:r>
      <w:r w:rsidR="00730D51" w:rsidRPr="0052431D">
        <w:rPr>
          <w:rFonts w:asciiTheme="minorHAnsi" w:hAnsiTheme="minorHAnsi"/>
          <w:sz w:val="24"/>
          <w:szCs w:val="24"/>
          <w:lang w:val="en-GB"/>
        </w:rPr>
        <w:t xml:space="preserve">through community programs supported </w:t>
      </w:r>
      <w:r w:rsidR="00E36BD8" w:rsidRPr="0052431D">
        <w:rPr>
          <w:rFonts w:asciiTheme="minorHAnsi" w:hAnsiTheme="minorHAnsi"/>
          <w:sz w:val="24"/>
          <w:szCs w:val="24"/>
          <w:lang w:val="en-GB"/>
        </w:rPr>
        <w:t xml:space="preserve">by the Ministry of Health. </w:t>
      </w:r>
      <w:r w:rsidR="00F265A9" w:rsidRPr="0052431D">
        <w:rPr>
          <w:rFonts w:asciiTheme="minorHAnsi" w:hAnsiTheme="minorHAnsi"/>
          <w:sz w:val="24"/>
          <w:szCs w:val="24"/>
          <w:lang w:val="en-GB"/>
        </w:rPr>
        <w:t>Participants also agreed to de-identified storage of blood samples for future testing related to HIV</w:t>
      </w:r>
      <w:r w:rsidR="00BC10A6" w:rsidRPr="0052431D">
        <w:rPr>
          <w:rFonts w:asciiTheme="minorHAnsi" w:hAnsiTheme="minorHAnsi"/>
          <w:sz w:val="24"/>
          <w:szCs w:val="24"/>
          <w:lang w:val="en-GB"/>
        </w:rPr>
        <w:t xml:space="preserve"> infection.</w:t>
      </w:r>
    </w:p>
    <w:p w14:paraId="63E1D3FB" w14:textId="77777777" w:rsidR="00FA6F59" w:rsidRDefault="00FA6F59" w:rsidP="00C74418">
      <w:pPr>
        <w:spacing w:after="0" w:line="360" w:lineRule="auto"/>
        <w:jc w:val="both"/>
        <w:rPr>
          <w:rFonts w:asciiTheme="minorHAnsi" w:hAnsiTheme="minorHAnsi" w:cs="Arial"/>
          <w:b/>
          <w:sz w:val="24"/>
          <w:szCs w:val="24"/>
          <w:lang w:val="en-GB"/>
        </w:rPr>
      </w:pPr>
    </w:p>
    <w:p w14:paraId="3D95A1BA" w14:textId="17A9B06C" w:rsidR="00804368" w:rsidRPr="0052431D" w:rsidRDefault="009B2767" w:rsidP="00C74418">
      <w:pPr>
        <w:spacing w:after="0" w:line="360" w:lineRule="auto"/>
        <w:jc w:val="both"/>
        <w:rPr>
          <w:rFonts w:asciiTheme="minorHAnsi" w:hAnsiTheme="minorHAnsi" w:cs="Arial"/>
          <w:b/>
          <w:sz w:val="24"/>
          <w:szCs w:val="24"/>
          <w:lang w:val="en-GB"/>
        </w:rPr>
      </w:pPr>
      <w:r w:rsidRPr="0052431D">
        <w:rPr>
          <w:rFonts w:asciiTheme="minorHAnsi" w:hAnsiTheme="minorHAnsi" w:cs="Arial"/>
          <w:b/>
          <w:sz w:val="24"/>
          <w:szCs w:val="24"/>
          <w:lang w:val="en-GB"/>
        </w:rPr>
        <w:t>RESULTS</w:t>
      </w:r>
    </w:p>
    <w:p w14:paraId="2F58FA59" w14:textId="1736994C" w:rsidR="009B2767" w:rsidRPr="0052431D" w:rsidRDefault="009B2767" w:rsidP="00C74418">
      <w:pPr>
        <w:spacing w:after="0" w:line="360" w:lineRule="auto"/>
        <w:jc w:val="both"/>
        <w:rPr>
          <w:rFonts w:asciiTheme="minorHAnsi" w:hAnsiTheme="minorHAnsi" w:cs="Arial"/>
          <w:bCs/>
          <w:sz w:val="24"/>
          <w:szCs w:val="24"/>
          <w:lang w:val="en-GB"/>
        </w:rPr>
      </w:pPr>
    </w:p>
    <w:p w14:paraId="2ED409B2" w14:textId="47CBDEA5" w:rsidR="003418FC" w:rsidRPr="0052431D" w:rsidRDefault="003C4454" w:rsidP="00C74418">
      <w:pPr>
        <w:spacing w:after="0" w:line="360" w:lineRule="auto"/>
        <w:jc w:val="both"/>
        <w:rPr>
          <w:rFonts w:asciiTheme="minorHAnsi" w:hAnsiTheme="minorHAnsi" w:cs="Arial"/>
          <w:b/>
          <w:sz w:val="24"/>
          <w:szCs w:val="24"/>
          <w:lang w:val="en-GB"/>
        </w:rPr>
      </w:pPr>
      <w:r>
        <w:rPr>
          <w:rFonts w:asciiTheme="minorHAnsi" w:hAnsiTheme="minorHAnsi" w:cs="Arial"/>
          <w:b/>
          <w:sz w:val="24"/>
          <w:szCs w:val="24"/>
          <w:lang w:val="en-GB"/>
        </w:rPr>
        <w:t>Characteristics of the study population</w:t>
      </w:r>
      <w:r w:rsidR="003418FC" w:rsidRPr="0052431D">
        <w:rPr>
          <w:rFonts w:asciiTheme="minorHAnsi" w:hAnsiTheme="minorHAnsi" w:cs="Arial"/>
          <w:b/>
          <w:sz w:val="24"/>
          <w:szCs w:val="24"/>
          <w:lang w:val="en-GB"/>
        </w:rPr>
        <w:t xml:space="preserve"> </w:t>
      </w:r>
    </w:p>
    <w:p w14:paraId="2B8915BC" w14:textId="13AFC9BC" w:rsidR="003C4454" w:rsidRPr="0052431D" w:rsidRDefault="0039599C"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Between </w:t>
      </w:r>
      <w:r w:rsidR="00B5225F" w:rsidRPr="0052431D">
        <w:rPr>
          <w:rFonts w:asciiTheme="minorHAnsi" w:hAnsiTheme="minorHAnsi" w:cs="Arial"/>
          <w:bCs/>
          <w:sz w:val="24"/>
          <w:szCs w:val="24"/>
          <w:lang w:val="en-GB"/>
        </w:rPr>
        <w:t>August</w:t>
      </w:r>
      <w:r w:rsidR="00352D31" w:rsidRPr="0052431D">
        <w:rPr>
          <w:rFonts w:asciiTheme="minorHAnsi" w:hAnsiTheme="minorHAnsi" w:cs="Arial"/>
          <w:bCs/>
          <w:sz w:val="24"/>
          <w:szCs w:val="24"/>
          <w:lang w:val="en-GB"/>
        </w:rPr>
        <w:t xml:space="preserve"> 2015</w:t>
      </w:r>
      <w:r w:rsidRPr="0052431D">
        <w:rPr>
          <w:rFonts w:asciiTheme="minorHAnsi" w:hAnsiTheme="minorHAnsi" w:cs="Arial"/>
          <w:bCs/>
          <w:sz w:val="24"/>
          <w:szCs w:val="24"/>
          <w:lang w:val="en-GB"/>
        </w:rPr>
        <w:t xml:space="preserve"> and </w:t>
      </w:r>
      <w:r w:rsidR="00C348A9" w:rsidRPr="0052431D">
        <w:rPr>
          <w:rFonts w:asciiTheme="minorHAnsi" w:hAnsiTheme="minorHAnsi" w:cs="Arial"/>
          <w:bCs/>
          <w:sz w:val="24"/>
          <w:szCs w:val="24"/>
          <w:lang w:val="en-GB"/>
        </w:rPr>
        <w:t>September</w:t>
      </w:r>
      <w:r w:rsidR="00352D31" w:rsidRPr="0052431D">
        <w:rPr>
          <w:rFonts w:asciiTheme="minorHAnsi" w:hAnsiTheme="minorHAnsi" w:cs="Arial"/>
          <w:bCs/>
          <w:sz w:val="24"/>
          <w:szCs w:val="24"/>
          <w:lang w:val="en-GB"/>
        </w:rPr>
        <w:t xml:space="preserve"> 2016</w:t>
      </w:r>
      <w:r w:rsidRPr="0052431D">
        <w:rPr>
          <w:rFonts w:asciiTheme="minorHAnsi" w:hAnsiTheme="minorHAnsi" w:cs="Arial"/>
          <w:bCs/>
          <w:sz w:val="24"/>
          <w:szCs w:val="24"/>
          <w:lang w:val="en-GB"/>
        </w:rPr>
        <w:t xml:space="preserve"> w</w:t>
      </w:r>
      <w:r w:rsidR="00C50E60" w:rsidRPr="0052431D">
        <w:rPr>
          <w:rFonts w:asciiTheme="minorHAnsi" w:hAnsiTheme="minorHAnsi" w:cs="Arial"/>
          <w:bCs/>
          <w:sz w:val="24"/>
          <w:szCs w:val="24"/>
          <w:lang w:val="en-GB"/>
        </w:rPr>
        <w:t>e enrolled 112</w:t>
      </w:r>
      <w:r w:rsidR="00C73C39">
        <w:rPr>
          <w:rFonts w:asciiTheme="minorHAnsi" w:hAnsiTheme="minorHAnsi" w:cs="Arial"/>
          <w:bCs/>
          <w:sz w:val="24"/>
          <w:szCs w:val="24"/>
          <w:lang w:val="en-GB"/>
        </w:rPr>
        <w:t>1</w:t>
      </w:r>
      <w:r w:rsidR="00C50E60" w:rsidRPr="0052431D">
        <w:rPr>
          <w:rFonts w:asciiTheme="minorHAnsi" w:hAnsiTheme="minorHAnsi" w:cs="Arial"/>
          <w:bCs/>
          <w:sz w:val="24"/>
          <w:szCs w:val="24"/>
          <w:lang w:val="en-GB"/>
        </w:rPr>
        <w:t xml:space="preserve"> people from seven fishing communities, including 25</w:t>
      </w:r>
      <w:r w:rsidR="00C73C39">
        <w:rPr>
          <w:rFonts w:asciiTheme="minorHAnsi" w:hAnsiTheme="minorHAnsi" w:cs="Arial"/>
          <w:bCs/>
          <w:sz w:val="24"/>
          <w:szCs w:val="24"/>
          <w:lang w:val="en-GB"/>
        </w:rPr>
        <w:t>3</w:t>
      </w:r>
      <w:r w:rsidR="00C50E60" w:rsidRPr="0052431D">
        <w:rPr>
          <w:rFonts w:asciiTheme="minorHAnsi" w:hAnsiTheme="minorHAnsi" w:cs="Arial"/>
          <w:bCs/>
          <w:sz w:val="24"/>
          <w:szCs w:val="24"/>
          <w:lang w:val="en-GB"/>
        </w:rPr>
        <w:t xml:space="preserve"> </w:t>
      </w:r>
      <w:r w:rsidR="00590DF3" w:rsidRPr="0052431D">
        <w:rPr>
          <w:rFonts w:asciiTheme="minorHAnsi" w:hAnsiTheme="minorHAnsi" w:cs="Arial"/>
          <w:bCs/>
          <w:sz w:val="24"/>
          <w:szCs w:val="24"/>
          <w:lang w:val="en-GB"/>
        </w:rPr>
        <w:t>(22.</w:t>
      </w:r>
      <w:r w:rsidR="00C73C39">
        <w:rPr>
          <w:rFonts w:asciiTheme="minorHAnsi" w:hAnsiTheme="minorHAnsi" w:cs="Arial"/>
          <w:bCs/>
          <w:sz w:val="24"/>
          <w:szCs w:val="24"/>
          <w:lang w:val="en-GB"/>
        </w:rPr>
        <w:t>6</w:t>
      </w:r>
      <w:r w:rsidR="00590DF3" w:rsidRPr="0052431D">
        <w:rPr>
          <w:rFonts w:asciiTheme="minorHAnsi" w:hAnsiTheme="minorHAnsi" w:cs="Arial"/>
          <w:bCs/>
          <w:sz w:val="24"/>
          <w:szCs w:val="24"/>
          <w:lang w:val="en-GB"/>
        </w:rPr>
        <w:t xml:space="preserve">%) </w:t>
      </w:r>
      <w:r w:rsidR="00C50E60" w:rsidRPr="0052431D">
        <w:rPr>
          <w:rFonts w:asciiTheme="minorHAnsi" w:hAnsiTheme="minorHAnsi" w:cs="Arial"/>
          <w:bCs/>
          <w:sz w:val="24"/>
          <w:szCs w:val="24"/>
          <w:lang w:val="en-GB"/>
        </w:rPr>
        <w:t>from the general population</w:t>
      </w:r>
      <w:r w:rsidR="00590DF3" w:rsidRPr="0052431D">
        <w:rPr>
          <w:rFonts w:asciiTheme="minorHAnsi" w:hAnsiTheme="minorHAnsi" w:cs="Arial"/>
          <w:bCs/>
          <w:sz w:val="24"/>
          <w:szCs w:val="24"/>
          <w:lang w:val="en-GB"/>
        </w:rPr>
        <w:t>;</w:t>
      </w:r>
      <w:r w:rsidR="00C50E60" w:rsidRPr="0052431D">
        <w:rPr>
          <w:rFonts w:asciiTheme="minorHAnsi" w:hAnsiTheme="minorHAnsi" w:cs="Arial"/>
          <w:bCs/>
          <w:sz w:val="24"/>
          <w:szCs w:val="24"/>
          <w:lang w:val="en-GB"/>
        </w:rPr>
        <w:t xml:space="preserve"> </w:t>
      </w:r>
      <w:r w:rsidR="00590DF3" w:rsidRPr="0052431D">
        <w:rPr>
          <w:rFonts w:asciiTheme="minorHAnsi" w:hAnsiTheme="minorHAnsi" w:cs="Arial"/>
          <w:bCs/>
          <w:sz w:val="24"/>
          <w:szCs w:val="24"/>
          <w:lang w:val="en-GB"/>
        </w:rPr>
        <w:t>35</w:t>
      </w:r>
      <w:r w:rsidR="00C73C39">
        <w:rPr>
          <w:rFonts w:asciiTheme="minorHAnsi" w:hAnsiTheme="minorHAnsi" w:cs="Arial"/>
          <w:bCs/>
          <w:sz w:val="24"/>
          <w:szCs w:val="24"/>
          <w:lang w:val="en-GB"/>
        </w:rPr>
        <w:t>5</w:t>
      </w:r>
      <w:r w:rsidR="00590DF3" w:rsidRPr="0052431D">
        <w:rPr>
          <w:rFonts w:asciiTheme="minorHAnsi" w:hAnsiTheme="minorHAnsi" w:cs="Arial"/>
          <w:bCs/>
          <w:sz w:val="24"/>
          <w:szCs w:val="24"/>
          <w:lang w:val="en-GB"/>
        </w:rPr>
        <w:t xml:space="preserve"> (31.</w:t>
      </w:r>
      <w:r w:rsidR="00C73C39">
        <w:rPr>
          <w:rFonts w:asciiTheme="minorHAnsi" w:hAnsiTheme="minorHAnsi" w:cs="Arial"/>
          <w:bCs/>
          <w:sz w:val="24"/>
          <w:szCs w:val="24"/>
          <w:lang w:val="en-GB"/>
        </w:rPr>
        <w:t>7</w:t>
      </w:r>
      <w:r w:rsidR="00590DF3" w:rsidRPr="0052431D">
        <w:rPr>
          <w:rFonts w:asciiTheme="minorHAnsi" w:hAnsiTheme="minorHAnsi" w:cs="Arial"/>
          <w:bCs/>
          <w:sz w:val="24"/>
          <w:szCs w:val="24"/>
          <w:lang w:val="en-GB"/>
        </w:rPr>
        <w:t xml:space="preserve">%) fishermen </w:t>
      </w:r>
      <w:r w:rsidR="00696F55">
        <w:rPr>
          <w:rFonts w:asciiTheme="minorHAnsi" w:hAnsiTheme="minorHAnsi" w:cs="Arial"/>
          <w:bCs/>
          <w:sz w:val="24"/>
          <w:szCs w:val="24"/>
          <w:lang w:val="en-GB"/>
        </w:rPr>
        <w:t xml:space="preserve">and </w:t>
      </w:r>
      <w:r w:rsidR="00590DF3" w:rsidRPr="0052431D">
        <w:rPr>
          <w:rFonts w:asciiTheme="minorHAnsi" w:hAnsiTheme="minorHAnsi" w:cs="Arial"/>
          <w:bCs/>
          <w:sz w:val="24"/>
          <w:szCs w:val="24"/>
          <w:lang w:val="en-GB"/>
        </w:rPr>
        <w:t>boat crew; 22</w:t>
      </w:r>
      <w:r w:rsidR="00C73C39">
        <w:rPr>
          <w:rFonts w:asciiTheme="minorHAnsi" w:hAnsiTheme="minorHAnsi" w:cs="Arial"/>
          <w:bCs/>
          <w:sz w:val="24"/>
          <w:szCs w:val="24"/>
          <w:lang w:val="en-GB"/>
        </w:rPr>
        <w:t>7</w:t>
      </w:r>
      <w:r w:rsidR="00590DF3" w:rsidRPr="0052431D">
        <w:rPr>
          <w:rFonts w:asciiTheme="minorHAnsi" w:hAnsiTheme="minorHAnsi" w:cs="Arial"/>
          <w:bCs/>
          <w:sz w:val="24"/>
          <w:szCs w:val="24"/>
          <w:lang w:val="en-GB"/>
        </w:rPr>
        <w:t xml:space="preserve"> (20.2%) f</w:t>
      </w:r>
      <w:r w:rsidR="00C50E60" w:rsidRPr="0052431D">
        <w:rPr>
          <w:rFonts w:asciiTheme="minorHAnsi" w:hAnsiTheme="minorHAnsi" w:cs="Arial"/>
          <w:bCs/>
          <w:sz w:val="24"/>
          <w:szCs w:val="24"/>
          <w:lang w:val="en-GB"/>
        </w:rPr>
        <w:t>ish processors and traders</w:t>
      </w:r>
      <w:r w:rsidR="00A226AF">
        <w:rPr>
          <w:rFonts w:asciiTheme="minorHAnsi" w:hAnsiTheme="minorHAnsi" w:cs="Arial"/>
          <w:bCs/>
          <w:sz w:val="24"/>
          <w:szCs w:val="24"/>
          <w:lang w:val="en-GB"/>
        </w:rPr>
        <w:t>;</w:t>
      </w:r>
      <w:r w:rsidR="00AF648E" w:rsidRPr="0052431D">
        <w:rPr>
          <w:rFonts w:asciiTheme="minorHAnsi" w:hAnsiTheme="minorHAnsi" w:cs="Arial"/>
          <w:bCs/>
          <w:sz w:val="24"/>
          <w:szCs w:val="24"/>
          <w:lang w:val="en-GB"/>
        </w:rPr>
        <w:t xml:space="preserve"> </w:t>
      </w:r>
      <w:r w:rsidR="00D13596" w:rsidRPr="0052431D">
        <w:rPr>
          <w:rFonts w:asciiTheme="minorHAnsi" w:hAnsiTheme="minorHAnsi" w:cs="Arial"/>
          <w:bCs/>
          <w:sz w:val="24"/>
          <w:szCs w:val="24"/>
          <w:lang w:val="en-GB"/>
        </w:rPr>
        <w:t>and 28</w:t>
      </w:r>
      <w:r w:rsidR="00C73C39">
        <w:rPr>
          <w:rFonts w:asciiTheme="minorHAnsi" w:hAnsiTheme="minorHAnsi" w:cs="Arial"/>
          <w:bCs/>
          <w:sz w:val="24"/>
          <w:szCs w:val="24"/>
          <w:lang w:val="en-GB"/>
        </w:rPr>
        <w:t>6</w:t>
      </w:r>
      <w:r w:rsidR="00D13596" w:rsidRPr="0052431D">
        <w:rPr>
          <w:rFonts w:asciiTheme="minorHAnsi" w:hAnsiTheme="minorHAnsi" w:cs="Arial"/>
          <w:bCs/>
          <w:sz w:val="24"/>
          <w:szCs w:val="24"/>
          <w:lang w:val="en-GB"/>
        </w:rPr>
        <w:t xml:space="preserve"> (25.</w:t>
      </w:r>
      <w:r w:rsidR="00C73C39">
        <w:rPr>
          <w:rFonts w:asciiTheme="minorHAnsi" w:hAnsiTheme="minorHAnsi" w:cs="Arial"/>
          <w:bCs/>
          <w:sz w:val="24"/>
          <w:szCs w:val="24"/>
          <w:lang w:val="en-GB"/>
        </w:rPr>
        <w:t>5</w:t>
      </w:r>
      <w:r w:rsidR="00D13596" w:rsidRPr="0052431D">
        <w:rPr>
          <w:rFonts w:asciiTheme="minorHAnsi" w:hAnsiTheme="minorHAnsi" w:cs="Arial"/>
          <w:bCs/>
          <w:sz w:val="24"/>
          <w:szCs w:val="24"/>
          <w:lang w:val="en-GB"/>
        </w:rPr>
        <w:t xml:space="preserve">%) female recreational facility workers </w:t>
      </w:r>
      <w:r w:rsidR="00AF648E" w:rsidRPr="0052431D">
        <w:rPr>
          <w:rFonts w:asciiTheme="minorHAnsi" w:hAnsiTheme="minorHAnsi" w:cs="Arial"/>
          <w:bCs/>
          <w:sz w:val="24"/>
          <w:szCs w:val="24"/>
          <w:lang w:val="en-GB"/>
        </w:rPr>
        <w:t>(</w:t>
      </w:r>
      <w:r w:rsidR="00AF648E" w:rsidRPr="007A368A">
        <w:rPr>
          <w:rFonts w:asciiTheme="minorHAnsi" w:hAnsiTheme="minorHAnsi" w:cs="Arial"/>
          <w:b/>
          <w:sz w:val="24"/>
          <w:szCs w:val="24"/>
          <w:lang w:val="en-GB"/>
        </w:rPr>
        <w:t>Table 1</w:t>
      </w:r>
      <w:r w:rsidR="00AF648E" w:rsidRPr="0052431D">
        <w:rPr>
          <w:rFonts w:asciiTheme="minorHAnsi" w:hAnsiTheme="minorHAnsi" w:cs="Arial"/>
          <w:bCs/>
          <w:sz w:val="24"/>
          <w:szCs w:val="24"/>
          <w:lang w:val="en-GB"/>
        </w:rPr>
        <w:t>)</w:t>
      </w:r>
      <w:r w:rsidR="00590DF3" w:rsidRPr="0052431D">
        <w:rPr>
          <w:rFonts w:asciiTheme="minorHAnsi" w:hAnsiTheme="minorHAnsi" w:cs="Arial"/>
          <w:bCs/>
          <w:sz w:val="24"/>
          <w:szCs w:val="24"/>
          <w:lang w:val="en-GB"/>
        </w:rPr>
        <w:t>.</w:t>
      </w:r>
      <w:r w:rsidR="003C4454">
        <w:rPr>
          <w:rFonts w:asciiTheme="minorHAnsi" w:hAnsiTheme="minorHAnsi" w:cs="Arial"/>
          <w:bCs/>
          <w:sz w:val="24"/>
          <w:szCs w:val="24"/>
          <w:lang w:val="en-GB"/>
        </w:rPr>
        <w:t xml:space="preserve">  </w:t>
      </w:r>
      <w:r w:rsidR="003C4454" w:rsidRPr="0052431D">
        <w:rPr>
          <w:rFonts w:asciiTheme="minorHAnsi" w:hAnsiTheme="minorHAnsi" w:cs="Arial"/>
          <w:bCs/>
          <w:sz w:val="24"/>
          <w:szCs w:val="24"/>
          <w:lang w:val="en-GB"/>
        </w:rPr>
        <w:t xml:space="preserve">About half </w:t>
      </w:r>
      <w:r w:rsidR="003C4454">
        <w:rPr>
          <w:rFonts w:asciiTheme="minorHAnsi" w:hAnsiTheme="minorHAnsi" w:cs="Arial"/>
          <w:bCs/>
          <w:sz w:val="24"/>
          <w:szCs w:val="24"/>
          <w:lang w:val="en-GB"/>
        </w:rPr>
        <w:t xml:space="preserve">of </w:t>
      </w:r>
      <w:r w:rsidR="003C4454" w:rsidRPr="0052431D">
        <w:rPr>
          <w:rFonts w:asciiTheme="minorHAnsi" w:hAnsiTheme="minorHAnsi" w:cs="Arial"/>
          <w:bCs/>
          <w:sz w:val="24"/>
          <w:szCs w:val="24"/>
          <w:lang w:val="en-GB"/>
        </w:rPr>
        <w:t xml:space="preserve">the study participants were male, the median age was 33 years, 80% were Christian, 56% were married or cohabiting and 86% had completed only primary education or below. </w:t>
      </w:r>
      <w:r w:rsidR="001814E2" w:rsidRPr="0052431D">
        <w:rPr>
          <w:rFonts w:asciiTheme="minorHAnsi" w:hAnsiTheme="minorHAnsi" w:cs="Arial"/>
          <w:bCs/>
          <w:sz w:val="24"/>
          <w:szCs w:val="24"/>
          <w:lang w:val="en-GB"/>
        </w:rPr>
        <w:t>The median age at first sex was 16 and 18 years for women and men respectively.</w:t>
      </w:r>
      <w:r w:rsidR="001814E2">
        <w:rPr>
          <w:rFonts w:asciiTheme="minorHAnsi" w:hAnsiTheme="minorHAnsi" w:cs="Arial"/>
          <w:bCs/>
          <w:sz w:val="24"/>
          <w:szCs w:val="24"/>
          <w:lang w:val="en-GB"/>
        </w:rPr>
        <w:t xml:space="preserve"> </w:t>
      </w:r>
      <w:r w:rsidR="003C4454" w:rsidRPr="0052431D">
        <w:rPr>
          <w:rFonts w:asciiTheme="minorHAnsi" w:hAnsiTheme="minorHAnsi" w:cs="Arial"/>
          <w:bCs/>
          <w:sz w:val="24"/>
          <w:szCs w:val="24"/>
          <w:lang w:val="en-GB"/>
        </w:rPr>
        <w:t xml:space="preserve">During the past year, about 48% reported to have three or more sex partners and </w:t>
      </w:r>
      <w:r w:rsidR="009F4821">
        <w:rPr>
          <w:rFonts w:asciiTheme="minorHAnsi" w:hAnsiTheme="minorHAnsi" w:cs="Arial"/>
          <w:bCs/>
          <w:sz w:val="24"/>
          <w:szCs w:val="24"/>
          <w:lang w:val="en-GB"/>
        </w:rPr>
        <w:t>67</w:t>
      </w:r>
      <w:r w:rsidR="003C4454" w:rsidRPr="0052431D">
        <w:rPr>
          <w:rFonts w:asciiTheme="minorHAnsi" w:hAnsiTheme="minorHAnsi" w:cs="Arial"/>
          <w:bCs/>
          <w:sz w:val="24"/>
          <w:szCs w:val="24"/>
          <w:lang w:val="en-GB"/>
        </w:rPr>
        <w:t xml:space="preserve">% reported to have received </w:t>
      </w:r>
      <w:r w:rsidR="009F4821">
        <w:rPr>
          <w:rFonts w:asciiTheme="minorHAnsi" w:hAnsiTheme="minorHAnsi" w:cs="Arial"/>
          <w:bCs/>
          <w:sz w:val="24"/>
          <w:szCs w:val="24"/>
          <w:lang w:val="en-GB"/>
        </w:rPr>
        <w:t xml:space="preserve">or given a </w:t>
      </w:r>
      <w:r w:rsidR="003C4454" w:rsidRPr="0052431D">
        <w:rPr>
          <w:rFonts w:asciiTheme="minorHAnsi" w:hAnsiTheme="minorHAnsi" w:cs="Arial"/>
          <w:bCs/>
          <w:sz w:val="24"/>
          <w:szCs w:val="24"/>
          <w:lang w:val="en-GB"/>
        </w:rPr>
        <w:t xml:space="preserve">gift in exchange for sex. About 22% reported to have experienced abnormal genital discharge during the past year and the majority of men (92%) included in the study </w:t>
      </w:r>
      <w:r w:rsidR="003C4454">
        <w:rPr>
          <w:rFonts w:asciiTheme="minorHAnsi" w:hAnsiTheme="minorHAnsi" w:cs="Arial"/>
          <w:bCs/>
          <w:sz w:val="24"/>
          <w:szCs w:val="24"/>
          <w:lang w:val="en-GB"/>
        </w:rPr>
        <w:t>reported to be</w:t>
      </w:r>
      <w:r w:rsidR="003C4454" w:rsidRPr="0052431D">
        <w:rPr>
          <w:rFonts w:asciiTheme="minorHAnsi" w:hAnsiTheme="minorHAnsi" w:cs="Arial"/>
          <w:bCs/>
          <w:sz w:val="24"/>
          <w:szCs w:val="24"/>
          <w:lang w:val="en-GB"/>
        </w:rPr>
        <w:t xml:space="preserve"> circumcised. </w:t>
      </w:r>
    </w:p>
    <w:p w14:paraId="605C3D79" w14:textId="77777777" w:rsidR="00CA1F1F" w:rsidRPr="0052431D" w:rsidRDefault="00CA1F1F" w:rsidP="00C74418">
      <w:pPr>
        <w:spacing w:after="0" w:line="360" w:lineRule="auto"/>
        <w:jc w:val="both"/>
        <w:rPr>
          <w:rFonts w:asciiTheme="minorHAnsi" w:hAnsiTheme="minorHAnsi" w:cs="Arial"/>
          <w:bCs/>
          <w:sz w:val="24"/>
          <w:szCs w:val="24"/>
          <w:lang w:val="en-GB"/>
        </w:rPr>
      </w:pPr>
    </w:p>
    <w:p w14:paraId="4DAF3F18" w14:textId="295940D9" w:rsidR="00CA1F1F" w:rsidRPr="0052431D" w:rsidRDefault="00CA1F1F"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Of note, among the total study population, 79% of participants reported having been tested previously for HIV infection: 37% in the past year, 36% between one and five years ago, and 6% more than five years ago. Among those who had previously sought HIV testing, the median reported walking time to reach the nearest testing site was between 31 and 60 minutes, and 47% reported that the nearest site was greater than one-hour walk away.</w:t>
      </w:r>
    </w:p>
    <w:p w14:paraId="45423CAB" w14:textId="77777777" w:rsidR="00CA1F1F" w:rsidRDefault="00CA1F1F" w:rsidP="00C74418">
      <w:pPr>
        <w:spacing w:after="0" w:line="360" w:lineRule="auto"/>
        <w:jc w:val="both"/>
        <w:rPr>
          <w:rFonts w:asciiTheme="minorHAnsi" w:hAnsiTheme="minorHAnsi" w:cs="Arial"/>
          <w:b/>
          <w:sz w:val="24"/>
          <w:szCs w:val="24"/>
          <w:lang w:val="en-GB"/>
        </w:rPr>
      </w:pPr>
    </w:p>
    <w:p w14:paraId="2FE71A2B" w14:textId="57146A63" w:rsidR="003C4454" w:rsidRPr="0052431D" w:rsidRDefault="003C4454" w:rsidP="00C74418">
      <w:pPr>
        <w:spacing w:after="0" w:line="360" w:lineRule="auto"/>
        <w:jc w:val="both"/>
        <w:rPr>
          <w:rFonts w:asciiTheme="minorHAnsi" w:hAnsiTheme="minorHAnsi" w:cs="Arial"/>
          <w:b/>
          <w:sz w:val="24"/>
          <w:szCs w:val="24"/>
          <w:lang w:val="en-GB"/>
        </w:rPr>
      </w:pPr>
      <w:r>
        <w:rPr>
          <w:rFonts w:asciiTheme="minorHAnsi" w:hAnsiTheme="minorHAnsi" w:cs="Arial"/>
          <w:b/>
          <w:sz w:val="24"/>
          <w:szCs w:val="24"/>
          <w:lang w:val="en-GB"/>
        </w:rPr>
        <w:t>Prevalence of HIV and syphilis and associated f</w:t>
      </w:r>
      <w:r w:rsidRPr="0052431D">
        <w:rPr>
          <w:rFonts w:asciiTheme="minorHAnsi" w:hAnsiTheme="minorHAnsi" w:cs="Arial"/>
          <w:b/>
          <w:sz w:val="24"/>
          <w:szCs w:val="24"/>
          <w:lang w:val="en-GB"/>
        </w:rPr>
        <w:t>actors</w:t>
      </w:r>
    </w:p>
    <w:p w14:paraId="62F3FACF" w14:textId="5E406CF9" w:rsidR="00623877" w:rsidRPr="0052431D" w:rsidRDefault="00590DF3"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The overall </w:t>
      </w:r>
      <w:r w:rsidR="00CD1CBD" w:rsidRPr="0052431D">
        <w:rPr>
          <w:rFonts w:asciiTheme="minorHAnsi" w:hAnsiTheme="minorHAnsi" w:cs="Arial"/>
          <w:bCs/>
          <w:sz w:val="24"/>
          <w:szCs w:val="24"/>
          <w:lang w:val="en-GB"/>
        </w:rPr>
        <w:t>proportions with</w:t>
      </w:r>
      <w:r w:rsidRPr="0052431D">
        <w:rPr>
          <w:rFonts w:asciiTheme="minorHAnsi" w:hAnsiTheme="minorHAnsi" w:cs="Arial"/>
          <w:bCs/>
          <w:sz w:val="24"/>
          <w:szCs w:val="24"/>
          <w:lang w:val="en-GB"/>
        </w:rPr>
        <w:t xml:space="preserve"> HIV and syphilis </w:t>
      </w:r>
      <w:r w:rsidR="003423F5" w:rsidRPr="0052431D">
        <w:rPr>
          <w:rFonts w:asciiTheme="minorHAnsi" w:hAnsiTheme="minorHAnsi" w:cs="Arial"/>
          <w:bCs/>
          <w:sz w:val="24"/>
          <w:szCs w:val="24"/>
          <w:lang w:val="en-GB"/>
        </w:rPr>
        <w:t xml:space="preserve">in the study sample </w:t>
      </w:r>
      <w:r w:rsidRPr="0052431D">
        <w:rPr>
          <w:rFonts w:asciiTheme="minorHAnsi" w:hAnsiTheme="minorHAnsi" w:cs="Arial"/>
          <w:bCs/>
          <w:sz w:val="24"/>
          <w:szCs w:val="24"/>
          <w:lang w:val="en-GB"/>
        </w:rPr>
        <w:t xml:space="preserve">was 14.2% </w:t>
      </w:r>
      <w:r w:rsidR="001402C2">
        <w:rPr>
          <w:rFonts w:asciiTheme="minorHAnsi" w:hAnsiTheme="minorHAnsi" w:cs="Arial"/>
          <w:bCs/>
          <w:sz w:val="24"/>
          <w:szCs w:val="24"/>
          <w:lang w:val="en-GB"/>
        </w:rPr>
        <w:t xml:space="preserve">(95% CI: 12.2-16.4) </w:t>
      </w:r>
      <w:r w:rsidRPr="0052431D">
        <w:rPr>
          <w:rFonts w:asciiTheme="minorHAnsi" w:hAnsiTheme="minorHAnsi" w:cs="Arial"/>
          <w:bCs/>
          <w:sz w:val="24"/>
          <w:szCs w:val="24"/>
          <w:lang w:val="en-GB"/>
        </w:rPr>
        <w:t xml:space="preserve">and 15.6% </w:t>
      </w:r>
      <w:r w:rsidR="001402C2">
        <w:rPr>
          <w:rFonts w:asciiTheme="minorHAnsi" w:hAnsiTheme="minorHAnsi" w:cs="Arial"/>
          <w:bCs/>
          <w:sz w:val="24"/>
          <w:szCs w:val="24"/>
          <w:lang w:val="en-GB"/>
        </w:rPr>
        <w:t xml:space="preserve">(95% CI: 13.5-17.8) </w:t>
      </w:r>
      <w:r w:rsidRPr="0052431D">
        <w:rPr>
          <w:rFonts w:asciiTheme="minorHAnsi" w:hAnsiTheme="minorHAnsi" w:cs="Arial"/>
          <w:bCs/>
          <w:sz w:val="24"/>
          <w:szCs w:val="24"/>
          <w:lang w:val="en-GB"/>
        </w:rPr>
        <w:t xml:space="preserve">respectively. </w:t>
      </w:r>
      <w:r w:rsidR="00DD7428" w:rsidRPr="0052431D">
        <w:rPr>
          <w:rFonts w:asciiTheme="minorHAnsi" w:hAnsiTheme="minorHAnsi" w:cs="Arial"/>
          <w:bCs/>
          <w:sz w:val="24"/>
          <w:szCs w:val="24"/>
          <w:lang w:val="en-GB"/>
        </w:rPr>
        <w:t xml:space="preserve">Female recreational facility workers had the highest </w:t>
      </w:r>
      <w:r w:rsidRPr="0052431D">
        <w:rPr>
          <w:rFonts w:asciiTheme="minorHAnsi" w:hAnsiTheme="minorHAnsi" w:cs="Arial"/>
          <w:bCs/>
          <w:sz w:val="24"/>
          <w:szCs w:val="24"/>
          <w:lang w:val="en-GB"/>
        </w:rPr>
        <w:t>prevalence of HIV</w:t>
      </w:r>
      <w:r w:rsidR="003C4454">
        <w:rPr>
          <w:rFonts w:asciiTheme="minorHAnsi" w:hAnsiTheme="minorHAnsi" w:cs="Arial"/>
          <w:bCs/>
          <w:sz w:val="24"/>
          <w:szCs w:val="24"/>
          <w:lang w:val="en-GB"/>
        </w:rPr>
        <w:t xml:space="preserve"> </w:t>
      </w:r>
      <w:r w:rsidR="003C4454" w:rsidRPr="0052431D">
        <w:rPr>
          <w:rFonts w:asciiTheme="minorHAnsi" w:hAnsiTheme="minorHAnsi" w:cs="Arial"/>
          <w:bCs/>
          <w:sz w:val="24"/>
          <w:szCs w:val="24"/>
          <w:lang w:val="en-GB"/>
        </w:rPr>
        <w:t>(30.4%; 95% CI: 25.1-36.1) and syphilis (24%; 95% CI: 19.2-29.4)</w:t>
      </w:r>
      <w:r w:rsidR="00D105CF">
        <w:rPr>
          <w:rFonts w:asciiTheme="minorHAnsi" w:hAnsiTheme="minorHAnsi" w:cs="Arial"/>
          <w:bCs/>
          <w:sz w:val="24"/>
          <w:szCs w:val="24"/>
          <w:lang w:val="en-GB"/>
        </w:rPr>
        <w:t xml:space="preserve"> (</w:t>
      </w:r>
      <w:r w:rsidR="00D105CF" w:rsidRPr="00D105CF">
        <w:rPr>
          <w:rFonts w:asciiTheme="minorHAnsi" w:hAnsiTheme="minorHAnsi" w:cs="Arial"/>
          <w:b/>
          <w:sz w:val="24"/>
          <w:szCs w:val="24"/>
          <w:lang w:val="en-GB"/>
        </w:rPr>
        <w:t xml:space="preserve">Table </w:t>
      </w:r>
      <w:r w:rsidR="001814E2">
        <w:rPr>
          <w:rFonts w:asciiTheme="minorHAnsi" w:hAnsiTheme="minorHAnsi" w:cs="Arial"/>
          <w:b/>
          <w:sz w:val="24"/>
          <w:szCs w:val="24"/>
          <w:lang w:val="en-GB"/>
        </w:rPr>
        <w:t>2</w:t>
      </w:r>
      <w:r w:rsidR="00D105CF">
        <w:rPr>
          <w:rFonts w:asciiTheme="minorHAnsi" w:hAnsiTheme="minorHAnsi" w:cs="Arial"/>
          <w:bCs/>
          <w:sz w:val="24"/>
          <w:szCs w:val="24"/>
          <w:lang w:val="en-GB"/>
        </w:rPr>
        <w:t>)</w:t>
      </w:r>
      <w:r w:rsidR="003C4454" w:rsidRPr="0052431D">
        <w:rPr>
          <w:rFonts w:asciiTheme="minorHAnsi" w:hAnsiTheme="minorHAnsi" w:cs="Arial"/>
          <w:bCs/>
          <w:sz w:val="24"/>
          <w:szCs w:val="24"/>
          <w:lang w:val="en-GB"/>
        </w:rPr>
        <w:t>.</w:t>
      </w:r>
      <w:r w:rsidR="00D105CF">
        <w:rPr>
          <w:rFonts w:asciiTheme="minorHAnsi" w:hAnsiTheme="minorHAnsi" w:cs="Arial"/>
          <w:bCs/>
          <w:sz w:val="24"/>
          <w:szCs w:val="24"/>
          <w:lang w:val="en-GB"/>
        </w:rPr>
        <w:t xml:space="preserve"> </w:t>
      </w:r>
      <w:r w:rsidR="00B153E7" w:rsidRPr="0052431D">
        <w:rPr>
          <w:rFonts w:asciiTheme="minorHAnsi" w:hAnsiTheme="minorHAnsi" w:cs="Arial"/>
          <w:bCs/>
          <w:sz w:val="24"/>
          <w:szCs w:val="24"/>
          <w:lang w:val="en-GB"/>
        </w:rPr>
        <w:t xml:space="preserve">The prevalence of HIV was higher among females </w:t>
      </w:r>
      <w:r w:rsidR="006517F3" w:rsidRPr="0052431D">
        <w:rPr>
          <w:rFonts w:asciiTheme="minorHAnsi" w:hAnsiTheme="minorHAnsi" w:cs="Arial"/>
          <w:bCs/>
          <w:sz w:val="24"/>
          <w:szCs w:val="24"/>
          <w:lang w:val="en-GB"/>
        </w:rPr>
        <w:t xml:space="preserve">(22%) </w:t>
      </w:r>
      <w:r w:rsidR="009A46E5" w:rsidRPr="0052431D">
        <w:rPr>
          <w:rFonts w:asciiTheme="minorHAnsi" w:hAnsiTheme="minorHAnsi" w:cs="Arial"/>
          <w:bCs/>
          <w:sz w:val="24"/>
          <w:szCs w:val="24"/>
          <w:lang w:val="en-GB"/>
        </w:rPr>
        <w:t>than males</w:t>
      </w:r>
      <w:r w:rsidR="006517F3" w:rsidRPr="0052431D">
        <w:rPr>
          <w:rFonts w:asciiTheme="minorHAnsi" w:hAnsiTheme="minorHAnsi" w:cs="Arial"/>
          <w:bCs/>
          <w:sz w:val="24"/>
          <w:szCs w:val="24"/>
          <w:lang w:val="en-GB"/>
        </w:rPr>
        <w:t xml:space="preserve"> (7%)</w:t>
      </w:r>
      <w:r w:rsidR="00B153E7" w:rsidRPr="0052431D">
        <w:rPr>
          <w:rFonts w:asciiTheme="minorHAnsi" w:hAnsiTheme="minorHAnsi" w:cs="Arial"/>
          <w:bCs/>
          <w:sz w:val="24"/>
          <w:szCs w:val="24"/>
          <w:lang w:val="en-GB"/>
        </w:rPr>
        <w:t xml:space="preserve">, </w:t>
      </w:r>
      <w:r w:rsidR="006517F3" w:rsidRPr="0052431D">
        <w:rPr>
          <w:rFonts w:asciiTheme="minorHAnsi" w:hAnsiTheme="minorHAnsi" w:cs="Arial"/>
          <w:bCs/>
          <w:sz w:val="24"/>
          <w:szCs w:val="24"/>
          <w:lang w:val="en-GB"/>
        </w:rPr>
        <w:t xml:space="preserve">driven by the very high prevalence among women working in </w:t>
      </w:r>
      <w:r w:rsidR="00D13596" w:rsidRPr="0052431D">
        <w:rPr>
          <w:rFonts w:asciiTheme="minorHAnsi" w:hAnsiTheme="minorHAnsi" w:cs="Arial"/>
          <w:bCs/>
          <w:sz w:val="24"/>
          <w:szCs w:val="24"/>
          <w:lang w:val="en-GB"/>
        </w:rPr>
        <w:t xml:space="preserve">the recreational </w:t>
      </w:r>
      <w:r w:rsidR="006517F3" w:rsidRPr="0052431D">
        <w:rPr>
          <w:rFonts w:asciiTheme="minorHAnsi" w:hAnsiTheme="minorHAnsi" w:cs="Arial"/>
          <w:bCs/>
          <w:sz w:val="24"/>
          <w:szCs w:val="24"/>
          <w:lang w:val="en-GB"/>
        </w:rPr>
        <w:t xml:space="preserve">facilities. </w:t>
      </w:r>
      <w:r w:rsidR="009A46E5" w:rsidRPr="0052431D">
        <w:rPr>
          <w:rFonts w:asciiTheme="minorHAnsi" w:hAnsiTheme="minorHAnsi" w:cs="Arial"/>
          <w:bCs/>
          <w:sz w:val="24"/>
          <w:szCs w:val="24"/>
          <w:lang w:val="en-GB"/>
        </w:rPr>
        <w:t>Muslims</w:t>
      </w:r>
      <w:r w:rsidR="006517F3" w:rsidRPr="0052431D">
        <w:rPr>
          <w:rFonts w:asciiTheme="minorHAnsi" w:hAnsiTheme="minorHAnsi" w:cs="Arial"/>
          <w:bCs/>
          <w:sz w:val="24"/>
          <w:szCs w:val="24"/>
          <w:lang w:val="en-GB"/>
        </w:rPr>
        <w:t xml:space="preserve"> (22%) and</w:t>
      </w:r>
      <w:r w:rsidR="00B153E7" w:rsidRPr="0052431D">
        <w:rPr>
          <w:rFonts w:asciiTheme="minorHAnsi" w:hAnsiTheme="minorHAnsi" w:cs="Arial"/>
          <w:bCs/>
          <w:sz w:val="24"/>
          <w:szCs w:val="24"/>
          <w:lang w:val="en-GB"/>
        </w:rPr>
        <w:t xml:space="preserve"> </w:t>
      </w:r>
      <w:r w:rsidR="009A46E5" w:rsidRPr="0052431D">
        <w:rPr>
          <w:rFonts w:asciiTheme="minorHAnsi" w:hAnsiTheme="minorHAnsi" w:cs="Arial"/>
          <w:bCs/>
          <w:sz w:val="24"/>
          <w:szCs w:val="24"/>
          <w:lang w:val="en-GB"/>
        </w:rPr>
        <w:t xml:space="preserve">those </w:t>
      </w:r>
      <w:r w:rsidR="00B153E7" w:rsidRPr="0052431D">
        <w:rPr>
          <w:rFonts w:asciiTheme="minorHAnsi" w:hAnsiTheme="minorHAnsi" w:cs="Arial"/>
          <w:bCs/>
          <w:sz w:val="24"/>
          <w:szCs w:val="24"/>
          <w:lang w:val="en-GB"/>
        </w:rPr>
        <w:t xml:space="preserve">widowed </w:t>
      </w:r>
      <w:r w:rsidR="00362553" w:rsidRPr="0052431D">
        <w:rPr>
          <w:rFonts w:asciiTheme="minorHAnsi" w:hAnsiTheme="minorHAnsi" w:cs="Arial"/>
          <w:bCs/>
          <w:sz w:val="24"/>
          <w:szCs w:val="24"/>
          <w:lang w:val="en-GB"/>
        </w:rPr>
        <w:t xml:space="preserve">(39%) </w:t>
      </w:r>
      <w:r w:rsidR="00B153E7" w:rsidRPr="0052431D">
        <w:rPr>
          <w:rFonts w:asciiTheme="minorHAnsi" w:hAnsiTheme="minorHAnsi" w:cs="Arial"/>
          <w:bCs/>
          <w:sz w:val="24"/>
          <w:szCs w:val="24"/>
          <w:lang w:val="en-GB"/>
        </w:rPr>
        <w:t>or separated</w:t>
      </w:r>
      <w:r w:rsidR="00C46D21" w:rsidRPr="0052431D">
        <w:rPr>
          <w:rFonts w:asciiTheme="minorHAnsi" w:hAnsiTheme="minorHAnsi" w:cs="Arial"/>
          <w:bCs/>
          <w:sz w:val="24"/>
          <w:szCs w:val="24"/>
          <w:lang w:val="en-GB"/>
        </w:rPr>
        <w:t xml:space="preserve">/divorced </w:t>
      </w:r>
      <w:r w:rsidR="00362553" w:rsidRPr="0052431D">
        <w:rPr>
          <w:rFonts w:asciiTheme="minorHAnsi" w:hAnsiTheme="minorHAnsi" w:cs="Arial"/>
          <w:bCs/>
          <w:sz w:val="24"/>
          <w:szCs w:val="24"/>
          <w:lang w:val="en-GB"/>
        </w:rPr>
        <w:t>(27%)</w:t>
      </w:r>
      <w:r w:rsidR="009A46E5" w:rsidRPr="0052431D">
        <w:rPr>
          <w:rFonts w:asciiTheme="minorHAnsi" w:hAnsiTheme="minorHAnsi" w:cs="Arial"/>
          <w:bCs/>
          <w:sz w:val="24"/>
          <w:szCs w:val="24"/>
          <w:lang w:val="en-GB"/>
        </w:rPr>
        <w:t>,</w:t>
      </w:r>
      <w:r w:rsidR="00B153E7" w:rsidRPr="0052431D">
        <w:rPr>
          <w:rFonts w:asciiTheme="minorHAnsi" w:hAnsiTheme="minorHAnsi" w:cs="Arial"/>
          <w:bCs/>
          <w:sz w:val="24"/>
          <w:szCs w:val="24"/>
          <w:lang w:val="en-GB"/>
        </w:rPr>
        <w:t xml:space="preserve"> and</w:t>
      </w:r>
      <w:r w:rsidR="00AA71F7" w:rsidRPr="0052431D">
        <w:rPr>
          <w:rFonts w:asciiTheme="minorHAnsi" w:hAnsiTheme="minorHAnsi" w:cs="Arial"/>
          <w:bCs/>
          <w:sz w:val="24"/>
          <w:szCs w:val="24"/>
          <w:lang w:val="en-GB"/>
        </w:rPr>
        <w:t xml:space="preserve"> </w:t>
      </w:r>
      <w:r w:rsidR="00B153E7" w:rsidRPr="0052431D">
        <w:rPr>
          <w:rFonts w:asciiTheme="minorHAnsi" w:hAnsiTheme="minorHAnsi" w:cs="Arial"/>
          <w:bCs/>
          <w:sz w:val="24"/>
          <w:szCs w:val="24"/>
          <w:lang w:val="en-GB"/>
        </w:rPr>
        <w:t xml:space="preserve">those </w:t>
      </w:r>
      <w:r w:rsidR="00E30186" w:rsidRPr="0052431D">
        <w:rPr>
          <w:rFonts w:asciiTheme="minorHAnsi" w:hAnsiTheme="minorHAnsi" w:cs="Arial"/>
          <w:bCs/>
          <w:sz w:val="24"/>
          <w:szCs w:val="24"/>
          <w:lang w:val="en-GB"/>
        </w:rPr>
        <w:t xml:space="preserve">in their late 20s and 30s also </w:t>
      </w:r>
      <w:r w:rsidR="00AA0E29">
        <w:rPr>
          <w:rFonts w:asciiTheme="minorHAnsi" w:hAnsiTheme="minorHAnsi" w:cs="Arial"/>
          <w:bCs/>
          <w:sz w:val="24"/>
          <w:szCs w:val="24"/>
          <w:lang w:val="en-GB"/>
        </w:rPr>
        <w:t>had</w:t>
      </w:r>
      <w:r w:rsidR="00631A44">
        <w:rPr>
          <w:rFonts w:asciiTheme="minorHAnsi" w:hAnsiTheme="minorHAnsi" w:cs="Arial"/>
          <w:bCs/>
          <w:sz w:val="24"/>
          <w:szCs w:val="24"/>
          <w:lang w:val="en-GB"/>
        </w:rPr>
        <w:t xml:space="preserve"> a higher observed HIV prevalence</w:t>
      </w:r>
      <w:r w:rsidR="00E30186" w:rsidRPr="0052431D">
        <w:rPr>
          <w:rFonts w:asciiTheme="minorHAnsi" w:hAnsiTheme="minorHAnsi" w:cs="Arial"/>
          <w:bCs/>
          <w:sz w:val="24"/>
          <w:szCs w:val="24"/>
          <w:lang w:val="en-GB"/>
        </w:rPr>
        <w:t xml:space="preserve">, as did those </w:t>
      </w:r>
      <w:r w:rsidR="00B153E7" w:rsidRPr="0052431D">
        <w:rPr>
          <w:rFonts w:asciiTheme="minorHAnsi" w:hAnsiTheme="minorHAnsi" w:cs="Arial"/>
          <w:bCs/>
          <w:sz w:val="24"/>
          <w:szCs w:val="24"/>
          <w:lang w:val="en-GB"/>
        </w:rPr>
        <w:t xml:space="preserve">with </w:t>
      </w:r>
      <w:r w:rsidR="00362553" w:rsidRPr="0052431D">
        <w:rPr>
          <w:rFonts w:asciiTheme="minorHAnsi" w:hAnsiTheme="minorHAnsi" w:cs="Arial"/>
          <w:bCs/>
          <w:sz w:val="24"/>
          <w:szCs w:val="24"/>
          <w:lang w:val="en-GB"/>
        </w:rPr>
        <w:t xml:space="preserve">little </w:t>
      </w:r>
      <w:r w:rsidR="00B153E7" w:rsidRPr="0052431D">
        <w:rPr>
          <w:rFonts w:asciiTheme="minorHAnsi" w:hAnsiTheme="minorHAnsi" w:cs="Arial"/>
          <w:bCs/>
          <w:sz w:val="24"/>
          <w:szCs w:val="24"/>
          <w:lang w:val="en-GB"/>
        </w:rPr>
        <w:t>formal education</w:t>
      </w:r>
      <w:r w:rsidR="00C46D21" w:rsidRPr="0052431D">
        <w:rPr>
          <w:rFonts w:asciiTheme="minorHAnsi" w:hAnsiTheme="minorHAnsi" w:cs="Arial"/>
          <w:bCs/>
          <w:sz w:val="24"/>
          <w:szCs w:val="24"/>
          <w:lang w:val="en-GB"/>
        </w:rPr>
        <w:t xml:space="preserve"> </w:t>
      </w:r>
      <w:r w:rsidR="00781D4C" w:rsidRPr="0052431D">
        <w:rPr>
          <w:rFonts w:asciiTheme="minorHAnsi" w:hAnsiTheme="minorHAnsi" w:cs="Arial"/>
          <w:bCs/>
          <w:sz w:val="24"/>
          <w:szCs w:val="24"/>
          <w:lang w:val="en-GB"/>
        </w:rPr>
        <w:t>(</w:t>
      </w:r>
      <w:r w:rsidR="00781D4C" w:rsidRPr="000A6A2A">
        <w:rPr>
          <w:rFonts w:asciiTheme="minorHAnsi" w:hAnsiTheme="minorHAnsi" w:cs="Arial"/>
          <w:b/>
          <w:sz w:val="24"/>
          <w:szCs w:val="24"/>
          <w:lang w:val="en-GB"/>
        </w:rPr>
        <w:t xml:space="preserve">Table </w:t>
      </w:r>
      <w:r w:rsidR="001814E2">
        <w:rPr>
          <w:rFonts w:asciiTheme="minorHAnsi" w:hAnsiTheme="minorHAnsi" w:cs="Arial"/>
          <w:b/>
          <w:sz w:val="24"/>
          <w:szCs w:val="24"/>
          <w:lang w:val="en-GB"/>
        </w:rPr>
        <w:t>3</w:t>
      </w:r>
      <w:r w:rsidR="00781D4C" w:rsidRPr="0052431D">
        <w:rPr>
          <w:rFonts w:asciiTheme="minorHAnsi" w:hAnsiTheme="minorHAnsi" w:cs="Arial"/>
          <w:bCs/>
          <w:sz w:val="24"/>
          <w:szCs w:val="24"/>
          <w:lang w:val="en-GB"/>
        </w:rPr>
        <w:t>)</w:t>
      </w:r>
      <w:r w:rsidR="00E30186" w:rsidRPr="0052431D">
        <w:rPr>
          <w:rFonts w:asciiTheme="minorHAnsi" w:hAnsiTheme="minorHAnsi" w:cs="Arial"/>
          <w:bCs/>
          <w:sz w:val="24"/>
          <w:szCs w:val="24"/>
          <w:lang w:val="en-GB"/>
        </w:rPr>
        <w:t>, although the effect of education was no longer evident a</w:t>
      </w:r>
      <w:r w:rsidR="00B153E7" w:rsidRPr="0052431D">
        <w:rPr>
          <w:rFonts w:asciiTheme="minorHAnsi" w:hAnsiTheme="minorHAnsi" w:cs="Arial"/>
          <w:bCs/>
          <w:sz w:val="24"/>
          <w:szCs w:val="24"/>
          <w:lang w:val="en-GB"/>
        </w:rPr>
        <w:t xml:space="preserve">fter adjusting for </w:t>
      </w:r>
      <w:r w:rsidR="00362553" w:rsidRPr="0052431D">
        <w:rPr>
          <w:rFonts w:asciiTheme="minorHAnsi" w:hAnsiTheme="minorHAnsi" w:cs="Arial"/>
          <w:bCs/>
          <w:sz w:val="24"/>
          <w:szCs w:val="24"/>
          <w:lang w:val="en-GB"/>
        </w:rPr>
        <w:t>sex, age and population group</w:t>
      </w:r>
      <w:r w:rsidR="00B153E7" w:rsidRPr="0052431D">
        <w:rPr>
          <w:rFonts w:asciiTheme="minorHAnsi" w:hAnsiTheme="minorHAnsi" w:cs="Arial"/>
          <w:bCs/>
          <w:sz w:val="24"/>
          <w:szCs w:val="24"/>
          <w:lang w:val="en-GB"/>
        </w:rPr>
        <w:t xml:space="preserve">. </w:t>
      </w:r>
      <w:r w:rsidR="00623877" w:rsidRPr="0052431D">
        <w:rPr>
          <w:rFonts w:asciiTheme="minorHAnsi" w:hAnsiTheme="minorHAnsi" w:cs="Arial"/>
          <w:bCs/>
          <w:sz w:val="24"/>
          <w:szCs w:val="24"/>
          <w:lang w:val="en-GB"/>
        </w:rPr>
        <w:t>T</w:t>
      </w:r>
      <w:r w:rsidR="00B153E7" w:rsidRPr="0052431D">
        <w:rPr>
          <w:rFonts w:asciiTheme="minorHAnsi" w:hAnsiTheme="minorHAnsi" w:cs="Arial"/>
          <w:bCs/>
          <w:sz w:val="24"/>
          <w:szCs w:val="24"/>
          <w:lang w:val="en-GB"/>
        </w:rPr>
        <w:t xml:space="preserve">he </w:t>
      </w:r>
      <w:r w:rsidR="00911ABB" w:rsidRPr="0052431D">
        <w:rPr>
          <w:rFonts w:asciiTheme="minorHAnsi" w:hAnsiTheme="minorHAnsi" w:cs="Arial"/>
          <w:bCs/>
          <w:sz w:val="24"/>
          <w:szCs w:val="24"/>
          <w:lang w:val="en-GB"/>
        </w:rPr>
        <w:t>odds</w:t>
      </w:r>
      <w:r w:rsidR="00B153E7" w:rsidRPr="0052431D">
        <w:rPr>
          <w:rFonts w:asciiTheme="minorHAnsi" w:hAnsiTheme="minorHAnsi" w:cs="Arial"/>
          <w:bCs/>
          <w:sz w:val="24"/>
          <w:szCs w:val="24"/>
          <w:lang w:val="en-GB"/>
        </w:rPr>
        <w:t xml:space="preserve"> of </w:t>
      </w:r>
      <w:r w:rsidR="00911ABB" w:rsidRPr="0052431D">
        <w:rPr>
          <w:rFonts w:asciiTheme="minorHAnsi" w:hAnsiTheme="minorHAnsi" w:cs="Arial"/>
          <w:bCs/>
          <w:sz w:val="24"/>
          <w:szCs w:val="24"/>
          <w:lang w:val="en-GB"/>
        </w:rPr>
        <w:t xml:space="preserve">being </w:t>
      </w:r>
      <w:r w:rsidR="00B153E7" w:rsidRPr="0052431D">
        <w:rPr>
          <w:rFonts w:asciiTheme="minorHAnsi" w:hAnsiTheme="minorHAnsi" w:cs="Arial"/>
          <w:bCs/>
          <w:sz w:val="24"/>
          <w:szCs w:val="24"/>
          <w:lang w:val="en-GB"/>
        </w:rPr>
        <w:t xml:space="preserve">HIV </w:t>
      </w:r>
      <w:r w:rsidR="00911ABB" w:rsidRPr="0052431D">
        <w:rPr>
          <w:rFonts w:asciiTheme="minorHAnsi" w:hAnsiTheme="minorHAnsi" w:cs="Arial"/>
          <w:bCs/>
          <w:sz w:val="24"/>
          <w:szCs w:val="24"/>
          <w:lang w:val="en-GB"/>
        </w:rPr>
        <w:t xml:space="preserve">infected </w:t>
      </w:r>
      <w:r w:rsidR="00B153E7" w:rsidRPr="0052431D">
        <w:rPr>
          <w:rFonts w:asciiTheme="minorHAnsi" w:hAnsiTheme="minorHAnsi" w:cs="Arial"/>
          <w:bCs/>
          <w:sz w:val="24"/>
          <w:szCs w:val="24"/>
          <w:lang w:val="en-GB"/>
        </w:rPr>
        <w:t>w</w:t>
      </w:r>
      <w:r w:rsidR="00911ABB" w:rsidRPr="0052431D">
        <w:rPr>
          <w:rFonts w:asciiTheme="minorHAnsi" w:hAnsiTheme="minorHAnsi" w:cs="Arial"/>
          <w:bCs/>
          <w:sz w:val="24"/>
          <w:szCs w:val="24"/>
          <w:lang w:val="en-GB"/>
        </w:rPr>
        <w:t>ere</w:t>
      </w:r>
      <w:r w:rsidR="00B153E7" w:rsidRPr="0052431D">
        <w:rPr>
          <w:rFonts w:asciiTheme="minorHAnsi" w:hAnsiTheme="minorHAnsi" w:cs="Arial"/>
          <w:bCs/>
          <w:sz w:val="24"/>
          <w:szCs w:val="24"/>
          <w:lang w:val="en-GB"/>
        </w:rPr>
        <w:t xml:space="preserve"> generally higher in all </w:t>
      </w:r>
      <w:r w:rsidR="00623877" w:rsidRPr="0052431D">
        <w:rPr>
          <w:rFonts w:asciiTheme="minorHAnsi" w:hAnsiTheme="minorHAnsi" w:cs="Arial"/>
          <w:bCs/>
          <w:sz w:val="24"/>
          <w:szCs w:val="24"/>
          <w:lang w:val="en-GB"/>
        </w:rPr>
        <w:t xml:space="preserve">age categories when compared to those age 18-24 years. </w:t>
      </w:r>
    </w:p>
    <w:p w14:paraId="69D32F69" w14:textId="77777777" w:rsidR="00E077D9" w:rsidRPr="0052431D" w:rsidRDefault="00E077D9" w:rsidP="00C74418">
      <w:pPr>
        <w:spacing w:after="0" w:line="360" w:lineRule="auto"/>
        <w:jc w:val="both"/>
        <w:rPr>
          <w:rFonts w:asciiTheme="minorHAnsi" w:hAnsiTheme="minorHAnsi" w:cs="Arial"/>
          <w:bCs/>
          <w:sz w:val="24"/>
          <w:szCs w:val="24"/>
          <w:lang w:val="en-GB"/>
        </w:rPr>
      </w:pPr>
    </w:p>
    <w:p w14:paraId="67217120" w14:textId="2158B427" w:rsidR="00AE6C13" w:rsidRDefault="00FA79CD"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Generally, t</w:t>
      </w:r>
      <w:r w:rsidR="00E077D9" w:rsidRPr="0052431D">
        <w:rPr>
          <w:rFonts w:asciiTheme="minorHAnsi" w:hAnsiTheme="minorHAnsi" w:cs="Arial"/>
          <w:bCs/>
          <w:sz w:val="24"/>
          <w:szCs w:val="24"/>
          <w:lang w:val="en-GB"/>
        </w:rPr>
        <w:t xml:space="preserve">he risk of HIV </w:t>
      </w:r>
      <w:r w:rsidR="00AE6C13">
        <w:rPr>
          <w:rFonts w:asciiTheme="minorHAnsi" w:hAnsiTheme="minorHAnsi" w:cs="Arial"/>
          <w:bCs/>
          <w:sz w:val="24"/>
          <w:szCs w:val="24"/>
          <w:lang w:val="en-GB"/>
        </w:rPr>
        <w:t xml:space="preserve">infection </w:t>
      </w:r>
      <w:r w:rsidR="00D105CF">
        <w:rPr>
          <w:rFonts w:asciiTheme="minorHAnsi" w:hAnsiTheme="minorHAnsi" w:cs="Arial"/>
          <w:bCs/>
          <w:sz w:val="24"/>
          <w:szCs w:val="24"/>
          <w:lang w:val="en-GB"/>
        </w:rPr>
        <w:t>decreased with age at first sex and increased with the number of sexual partners</w:t>
      </w:r>
      <w:r w:rsidR="00B848D8" w:rsidRPr="0052431D">
        <w:rPr>
          <w:rFonts w:asciiTheme="minorHAnsi" w:hAnsiTheme="minorHAnsi" w:cs="Arial"/>
          <w:bCs/>
          <w:sz w:val="24"/>
          <w:szCs w:val="24"/>
          <w:lang w:val="en-GB"/>
        </w:rPr>
        <w:t xml:space="preserve">, however neither </w:t>
      </w:r>
      <w:r w:rsidR="00CA1F1F">
        <w:rPr>
          <w:rFonts w:asciiTheme="minorHAnsi" w:hAnsiTheme="minorHAnsi" w:cs="Arial"/>
          <w:bCs/>
          <w:sz w:val="24"/>
          <w:szCs w:val="24"/>
          <w:lang w:val="en-GB"/>
        </w:rPr>
        <w:t xml:space="preserve">of these </w:t>
      </w:r>
      <w:r w:rsidR="00AE6C13">
        <w:rPr>
          <w:rFonts w:asciiTheme="minorHAnsi" w:hAnsiTheme="minorHAnsi" w:cs="Arial"/>
          <w:bCs/>
          <w:sz w:val="24"/>
          <w:szCs w:val="24"/>
          <w:lang w:val="en-GB"/>
        </w:rPr>
        <w:t>factor</w:t>
      </w:r>
      <w:r w:rsidR="00CA1F1F">
        <w:rPr>
          <w:rFonts w:asciiTheme="minorHAnsi" w:hAnsiTheme="minorHAnsi" w:cs="Arial"/>
          <w:bCs/>
          <w:sz w:val="24"/>
          <w:szCs w:val="24"/>
          <w:lang w:val="en-GB"/>
        </w:rPr>
        <w:t>s</w:t>
      </w:r>
      <w:r w:rsidR="00AE6C13">
        <w:rPr>
          <w:rFonts w:asciiTheme="minorHAnsi" w:hAnsiTheme="minorHAnsi" w:cs="Arial"/>
          <w:bCs/>
          <w:sz w:val="24"/>
          <w:szCs w:val="24"/>
          <w:lang w:val="en-GB"/>
        </w:rPr>
        <w:t xml:space="preserve"> </w:t>
      </w:r>
      <w:r w:rsidR="00B848D8" w:rsidRPr="0052431D">
        <w:rPr>
          <w:rFonts w:asciiTheme="minorHAnsi" w:hAnsiTheme="minorHAnsi" w:cs="Arial"/>
          <w:bCs/>
          <w:sz w:val="24"/>
          <w:szCs w:val="24"/>
          <w:lang w:val="en-GB"/>
        </w:rPr>
        <w:t>remained independently associated with HIV after adjusting for sex, age and population group</w:t>
      </w:r>
      <w:r w:rsidR="004A687A" w:rsidRPr="0052431D">
        <w:rPr>
          <w:rFonts w:asciiTheme="minorHAnsi" w:hAnsiTheme="minorHAnsi" w:cs="Arial"/>
          <w:bCs/>
          <w:sz w:val="24"/>
          <w:szCs w:val="24"/>
          <w:lang w:val="en-GB"/>
        </w:rPr>
        <w:t>.</w:t>
      </w:r>
      <w:r w:rsidR="00935FEB" w:rsidRPr="0052431D">
        <w:rPr>
          <w:rFonts w:asciiTheme="minorHAnsi" w:hAnsiTheme="minorHAnsi" w:cs="Arial"/>
          <w:bCs/>
          <w:sz w:val="24"/>
          <w:szCs w:val="24"/>
          <w:lang w:val="en-GB"/>
        </w:rPr>
        <w:t xml:space="preserve"> Transactional sex (as measured by </w:t>
      </w:r>
      <w:r w:rsidR="00B13987">
        <w:rPr>
          <w:rFonts w:asciiTheme="minorHAnsi" w:hAnsiTheme="minorHAnsi" w:cs="Arial"/>
          <w:bCs/>
          <w:sz w:val="24"/>
          <w:szCs w:val="24"/>
          <w:lang w:val="en-GB"/>
        </w:rPr>
        <w:t xml:space="preserve">self-report of </w:t>
      </w:r>
      <w:r w:rsidR="00935FEB" w:rsidRPr="0052431D">
        <w:rPr>
          <w:rFonts w:asciiTheme="minorHAnsi" w:hAnsiTheme="minorHAnsi" w:cs="Arial"/>
          <w:bCs/>
          <w:sz w:val="24"/>
          <w:szCs w:val="24"/>
          <w:lang w:val="en-GB"/>
        </w:rPr>
        <w:t>whether participants had received or given</w:t>
      </w:r>
      <w:r w:rsidR="008A59CE" w:rsidRPr="0052431D">
        <w:rPr>
          <w:rFonts w:asciiTheme="minorHAnsi" w:hAnsiTheme="minorHAnsi" w:cs="Arial"/>
          <w:bCs/>
          <w:sz w:val="24"/>
          <w:szCs w:val="24"/>
          <w:lang w:val="en-GB"/>
        </w:rPr>
        <w:t xml:space="preserve"> gifts for sex in the last year) was commonly reported and receiving gifts </w:t>
      </w:r>
      <w:r w:rsidR="00AE6C13">
        <w:rPr>
          <w:rFonts w:asciiTheme="minorHAnsi" w:hAnsiTheme="minorHAnsi" w:cs="Arial"/>
          <w:bCs/>
          <w:sz w:val="24"/>
          <w:szCs w:val="24"/>
          <w:lang w:val="en-GB"/>
        </w:rPr>
        <w:t xml:space="preserve">was </w:t>
      </w:r>
      <w:r w:rsidR="008A59CE" w:rsidRPr="0052431D">
        <w:rPr>
          <w:rFonts w:asciiTheme="minorHAnsi" w:hAnsiTheme="minorHAnsi" w:cs="Arial"/>
          <w:bCs/>
          <w:sz w:val="24"/>
          <w:szCs w:val="24"/>
          <w:lang w:val="en-GB"/>
        </w:rPr>
        <w:t xml:space="preserve">especially found to be strongly associated </w:t>
      </w:r>
      <w:r w:rsidR="00153693" w:rsidRPr="0052431D">
        <w:rPr>
          <w:rFonts w:asciiTheme="minorHAnsi" w:hAnsiTheme="minorHAnsi" w:cs="Arial"/>
          <w:bCs/>
          <w:sz w:val="24"/>
          <w:szCs w:val="24"/>
          <w:lang w:val="en-GB"/>
        </w:rPr>
        <w:t xml:space="preserve">with </w:t>
      </w:r>
      <w:r w:rsidR="008A59CE" w:rsidRPr="0052431D">
        <w:rPr>
          <w:rFonts w:asciiTheme="minorHAnsi" w:hAnsiTheme="minorHAnsi" w:cs="Arial"/>
          <w:bCs/>
          <w:sz w:val="24"/>
          <w:szCs w:val="24"/>
          <w:lang w:val="en-GB"/>
        </w:rPr>
        <w:t>HIV</w:t>
      </w:r>
      <w:r w:rsidR="00495E92" w:rsidRPr="0052431D">
        <w:rPr>
          <w:rFonts w:asciiTheme="minorHAnsi" w:hAnsiTheme="minorHAnsi" w:cs="Arial"/>
          <w:bCs/>
          <w:sz w:val="24"/>
          <w:szCs w:val="24"/>
          <w:lang w:val="en-GB"/>
        </w:rPr>
        <w:t>, including in the adjusted model</w:t>
      </w:r>
      <w:r w:rsidR="00220D76">
        <w:rPr>
          <w:rFonts w:asciiTheme="minorHAnsi" w:hAnsiTheme="minorHAnsi" w:cs="Arial"/>
          <w:bCs/>
          <w:sz w:val="24"/>
          <w:szCs w:val="24"/>
          <w:lang w:val="en-GB"/>
        </w:rPr>
        <w:t xml:space="preserve"> </w:t>
      </w:r>
      <w:r w:rsidR="00220D76" w:rsidRPr="0052431D">
        <w:rPr>
          <w:rFonts w:asciiTheme="minorHAnsi" w:hAnsiTheme="minorHAnsi" w:cs="Arial"/>
          <w:bCs/>
          <w:sz w:val="24"/>
          <w:szCs w:val="24"/>
          <w:lang w:val="en-GB"/>
        </w:rPr>
        <w:t>(</w:t>
      </w:r>
      <w:r w:rsidR="00220D76">
        <w:rPr>
          <w:rFonts w:asciiTheme="minorHAnsi" w:hAnsiTheme="minorHAnsi" w:cs="Arial"/>
          <w:bCs/>
          <w:sz w:val="24"/>
          <w:szCs w:val="24"/>
          <w:lang w:val="en-GB"/>
        </w:rPr>
        <w:t xml:space="preserve">adjusted </w:t>
      </w:r>
      <w:r w:rsidR="00220D76" w:rsidRPr="0052431D">
        <w:rPr>
          <w:rFonts w:asciiTheme="minorHAnsi" w:hAnsiTheme="minorHAnsi" w:cs="Arial"/>
          <w:bCs/>
          <w:sz w:val="24"/>
          <w:szCs w:val="24"/>
          <w:lang w:val="en-GB"/>
        </w:rPr>
        <w:t xml:space="preserve">OR = </w:t>
      </w:r>
      <w:r w:rsidR="00220D76">
        <w:rPr>
          <w:rFonts w:asciiTheme="minorHAnsi" w:hAnsiTheme="minorHAnsi" w:cs="Arial"/>
          <w:bCs/>
          <w:sz w:val="24"/>
          <w:szCs w:val="24"/>
          <w:lang w:val="en-GB"/>
        </w:rPr>
        <w:t xml:space="preserve">2.50; </w:t>
      </w:r>
      <w:r w:rsidR="00220D76" w:rsidRPr="0052431D">
        <w:rPr>
          <w:rFonts w:asciiTheme="minorHAnsi" w:hAnsiTheme="minorHAnsi" w:cs="Arial"/>
          <w:bCs/>
          <w:sz w:val="24"/>
          <w:szCs w:val="24"/>
          <w:lang w:val="en-GB"/>
        </w:rPr>
        <w:t>95% CI: 1.</w:t>
      </w:r>
      <w:r w:rsidR="00220D76">
        <w:rPr>
          <w:rFonts w:asciiTheme="minorHAnsi" w:hAnsiTheme="minorHAnsi" w:cs="Arial"/>
          <w:bCs/>
          <w:sz w:val="24"/>
          <w:szCs w:val="24"/>
          <w:lang w:val="en-GB"/>
        </w:rPr>
        <w:t>44-4.34, p=0.008)</w:t>
      </w:r>
      <w:r w:rsidR="008A59CE" w:rsidRPr="0052431D">
        <w:rPr>
          <w:rFonts w:asciiTheme="minorHAnsi" w:hAnsiTheme="minorHAnsi" w:cs="Arial"/>
          <w:bCs/>
          <w:sz w:val="24"/>
          <w:szCs w:val="24"/>
          <w:lang w:val="en-GB"/>
        </w:rPr>
        <w:t xml:space="preserve">. </w:t>
      </w:r>
      <w:r w:rsidR="00AE6C13">
        <w:rPr>
          <w:rFonts w:asciiTheme="minorHAnsi" w:hAnsiTheme="minorHAnsi" w:cs="Arial"/>
          <w:bCs/>
          <w:sz w:val="24"/>
          <w:szCs w:val="24"/>
          <w:lang w:val="en-GB"/>
        </w:rPr>
        <w:t>W</w:t>
      </w:r>
      <w:r w:rsidR="00AE6C13" w:rsidRPr="0052431D">
        <w:rPr>
          <w:rFonts w:asciiTheme="minorHAnsi" w:hAnsiTheme="minorHAnsi" w:cs="Arial"/>
          <w:bCs/>
          <w:sz w:val="24"/>
          <w:szCs w:val="24"/>
          <w:lang w:val="en-GB"/>
        </w:rPr>
        <w:t>e found a strong association in the unadjusted analysis between frequent condom use and HIV infection</w:t>
      </w:r>
      <w:r w:rsidR="00AE6C13">
        <w:rPr>
          <w:rFonts w:asciiTheme="minorHAnsi" w:hAnsiTheme="minorHAnsi" w:cs="Arial"/>
          <w:bCs/>
          <w:sz w:val="24"/>
          <w:szCs w:val="24"/>
          <w:lang w:val="en-GB"/>
        </w:rPr>
        <w:t xml:space="preserve">, but this was </w:t>
      </w:r>
      <w:r w:rsidR="00AE6C13" w:rsidRPr="0052431D">
        <w:rPr>
          <w:rFonts w:asciiTheme="minorHAnsi" w:hAnsiTheme="minorHAnsi" w:cs="Arial"/>
          <w:bCs/>
          <w:sz w:val="24"/>
          <w:szCs w:val="24"/>
          <w:lang w:val="en-GB"/>
        </w:rPr>
        <w:t>no longer associated with HIV after adjusting for sex, age and population group.</w:t>
      </w:r>
    </w:p>
    <w:p w14:paraId="68F29E5D" w14:textId="77777777" w:rsidR="00CA1F1F" w:rsidRPr="0052431D" w:rsidRDefault="00CA1F1F" w:rsidP="00C74418">
      <w:pPr>
        <w:spacing w:after="0" w:line="360" w:lineRule="auto"/>
        <w:jc w:val="both"/>
        <w:rPr>
          <w:rFonts w:asciiTheme="minorHAnsi" w:hAnsiTheme="minorHAnsi" w:cs="Arial"/>
          <w:bCs/>
          <w:sz w:val="24"/>
          <w:szCs w:val="24"/>
          <w:lang w:val="en-GB"/>
        </w:rPr>
      </w:pPr>
    </w:p>
    <w:p w14:paraId="179679DE" w14:textId="42DEF68D" w:rsidR="00405B73" w:rsidRPr="0052431D" w:rsidRDefault="00220D76" w:rsidP="00C74418">
      <w:pPr>
        <w:spacing w:after="0" w:line="360" w:lineRule="auto"/>
        <w:jc w:val="both"/>
        <w:rPr>
          <w:rFonts w:asciiTheme="minorHAnsi" w:hAnsiTheme="minorHAnsi" w:cs="Arial"/>
          <w:bCs/>
          <w:sz w:val="24"/>
          <w:szCs w:val="24"/>
          <w:lang w:val="en-GB"/>
        </w:rPr>
      </w:pPr>
      <w:r>
        <w:rPr>
          <w:rFonts w:asciiTheme="minorHAnsi" w:hAnsiTheme="minorHAnsi" w:cs="Arial"/>
          <w:bCs/>
          <w:sz w:val="24"/>
          <w:szCs w:val="24"/>
          <w:lang w:val="en-GB"/>
        </w:rPr>
        <w:t>T</w:t>
      </w:r>
      <w:r w:rsidR="00495E92" w:rsidRPr="0052431D">
        <w:rPr>
          <w:rFonts w:asciiTheme="minorHAnsi" w:hAnsiTheme="minorHAnsi" w:cs="Arial"/>
          <w:bCs/>
          <w:sz w:val="24"/>
          <w:szCs w:val="24"/>
          <w:lang w:val="en-GB"/>
        </w:rPr>
        <w:t xml:space="preserve">he </w:t>
      </w:r>
      <w:r w:rsidR="006910DC" w:rsidRPr="0052431D">
        <w:rPr>
          <w:rFonts w:asciiTheme="minorHAnsi" w:hAnsiTheme="minorHAnsi" w:cs="Arial"/>
          <w:bCs/>
          <w:sz w:val="24"/>
          <w:szCs w:val="24"/>
          <w:lang w:val="en-GB"/>
        </w:rPr>
        <w:t xml:space="preserve">prevalence of HIV was </w:t>
      </w:r>
      <w:r>
        <w:rPr>
          <w:rFonts w:asciiTheme="minorHAnsi" w:hAnsiTheme="minorHAnsi" w:cs="Arial"/>
          <w:bCs/>
          <w:sz w:val="24"/>
          <w:szCs w:val="24"/>
          <w:lang w:val="en-GB"/>
        </w:rPr>
        <w:t>not associated with reported circumcision status among men</w:t>
      </w:r>
      <w:r w:rsidR="006910DC" w:rsidRPr="0052431D">
        <w:rPr>
          <w:rFonts w:asciiTheme="minorHAnsi" w:hAnsiTheme="minorHAnsi" w:cs="Arial"/>
          <w:bCs/>
          <w:sz w:val="24"/>
          <w:szCs w:val="24"/>
          <w:lang w:val="en-GB"/>
        </w:rPr>
        <w:t xml:space="preserve">. </w:t>
      </w:r>
      <w:r w:rsidR="00284978" w:rsidRPr="0052431D">
        <w:rPr>
          <w:rFonts w:asciiTheme="minorHAnsi" w:hAnsiTheme="minorHAnsi" w:cs="Arial"/>
          <w:bCs/>
          <w:sz w:val="24"/>
          <w:szCs w:val="24"/>
          <w:lang w:val="en-GB"/>
        </w:rPr>
        <w:t>Combined, 49% (547/1121)</w:t>
      </w:r>
      <w:r w:rsidR="006910DC" w:rsidRPr="0052431D">
        <w:rPr>
          <w:rFonts w:asciiTheme="minorHAnsi" w:hAnsiTheme="minorHAnsi" w:cs="Arial"/>
          <w:bCs/>
          <w:sz w:val="24"/>
          <w:szCs w:val="24"/>
          <w:lang w:val="en-GB"/>
        </w:rPr>
        <w:t xml:space="preserve"> </w:t>
      </w:r>
      <w:r>
        <w:rPr>
          <w:rFonts w:asciiTheme="minorHAnsi" w:hAnsiTheme="minorHAnsi" w:cs="Arial"/>
          <w:bCs/>
          <w:sz w:val="24"/>
          <w:szCs w:val="24"/>
          <w:lang w:val="en-GB"/>
        </w:rPr>
        <w:t xml:space="preserve">of volunteers </w:t>
      </w:r>
      <w:r w:rsidR="006910DC" w:rsidRPr="0052431D">
        <w:rPr>
          <w:rFonts w:asciiTheme="minorHAnsi" w:hAnsiTheme="minorHAnsi" w:cs="Arial"/>
          <w:bCs/>
          <w:sz w:val="24"/>
          <w:szCs w:val="24"/>
          <w:lang w:val="en-GB"/>
        </w:rPr>
        <w:t xml:space="preserve">had experienced symptoms related to genital infections </w:t>
      </w:r>
      <w:r w:rsidR="00405B73" w:rsidRPr="0052431D">
        <w:rPr>
          <w:rFonts w:asciiTheme="minorHAnsi" w:hAnsiTheme="minorHAnsi" w:cs="Arial"/>
          <w:bCs/>
          <w:sz w:val="24"/>
          <w:szCs w:val="24"/>
          <w:lang w:val="en-GB"/>
        </w:rPr>
        <w:t>and/o</w:t>
      </w:r>
      <w:r w:rsidR="006910DC" w:rsidRPr="0052431D">
        <w:rPr>
          <w:rFonts w:asciiTheme="minorHAnsi" w:hAnsiTheme="minorHAnsi" w:cs="Arial"/>
          <w:bCs/>
          <w:sz w:val="24"/>
          <w:szCs w:val="24"/>
          <w:lang w:val="en-GB"/>
        </w:rPr>
        <w:t xml:space="preserve">r </w:t>
      </w:r>
      <w:r w:rsidR="00405B73" w:rsidRPr="0052431D">
        <w:rPr>
          <w:rFonts w:asciiTheme="minorHAnsi" w:hAnsiTheme="minorHAnsi" w:cs="Arial"/>
          <w:bCs/>
          <w:sz w:val="24"/>
          <w:szCs w:val="24"/>
          <w:lang w:val="en-GB"/>
        </w:rPr>
        <w:t>were diagnosed to have an STI during the past</w:t>
      </w:r>
      <w:r w:rsidR="00615EA3" w:rsidRPr="0052431D">
        <w:rPr>
          <w:rFonts w:asciiTheme="minorHAnsi" w:hAnsiTheme="minorHAnsi" w:cs="Arial"/>
          <w:bCs/>
          <w:sz w:val="24"/>
          <w:szCs w:val="24"/>
          <w:lang w:val="en-GB"/>
        </w:rPr>
        <w:t xml:space="preserve"> year</w:t>
      </w:r>
      <w:r w:rsidR="00EA3A12" w:rsidRPr="0052431D">
        <w:rPr>
          <w:rFonts w:asciiTheme="minorHAnsi" w:hAnsiTheme="minorHAnsi" w:cs="Arial"/>
          <w:bCs/>
          <w:sz w:val="24"/>
          <w:szCs w:val="24"/>
          <w:lang w:val="en-GB"/>
        </w:rPr>
        <w:t xml:space="preserve">, however despite evidence of univariate associations with HIV, only syphilis remained strongly </w:t>
      </w:r>
      <w:r w:rsidR="007340FF" w:rsidRPr="0052431D">
        <w:rPr>
          <w:rFonts w:asciiTheme="minorHAnsi" w:hAnsiTheme="minorHAnsi" w:cs="Arial"/>
          <w:bCs/>
          <w:sz w:val="24"/>
          <w:szCs w:val="24"/>
          <w:lang w:val="en-GB"/>
        </w:rPr>
        <w:t>associated after adjusting for demographic and behavioural factors</w:t>
      </w:r>
      <w:r w:rsidR="00405B73" w:rsidRPr="0052431D">
        <w:rPr>
          <w:rFonts w:asciiTheme="minorHAnsi" w:hAnsiTheme="minorHAnsi" w:cs="Arial"/>
          <w:bCs/>
          <w:sz w:val="24"/>
          <w:szCs w:val="24"/>
          <w:lang w:val="en-GB"/>
        </w:rPr>
        <w:t>.</w:t>
      </w:r>
      <w:r w:rsidR="006910DC" w:rsidRPr="0052431D">
        <w:rPr>
          <w:rFonts w:asciiTheme="minorHAnsi" w:hAnsiTheme="minorHAnsi" w:cs="Arial"/>
          <w:bCs/>
          <w:sz w:val="24"/>
          <w:szCs w:val="24"/>
          <w:lang w:val="en-GB"/>
        </w:rPr>
        <w:t xml:space="preserve"> </w:t>
      </w:r>
      <w:r w:rsidR="00911ABB" w:rsidRPr="0052431D">
        <w:rPr>
          <w:rFonts w:asciiTheme="minorHAnsi" w:hAnsiTheme="minorHAnsi" w:cs="Arial"/>
          <w:bCs/>
          <w:sz w:val="24"/>
          <w:szCs w:val="24"/>
          <w:lang w:val="en-GB"/>
        </w:rPr>
        <w:t>Confirmed</w:t>
      </w:r>
      <w:r w:rsidR="006910DC" w:rsidRPr="0052431D">
        <w:rPr>
          <w:rFonts w:asciiTheme="minorHAnsi" w:hAnsiTheme="minorHAnsi" w:cs="Arial"/>
          <w:bCs/>
          <w:sz w:val="24"/>
          <w:szCs w:val="24"/>
          <w:lang w:val="en-GB"/>
        </w:rPr>
        <w:t xml:space="preserve"> </w:t>
      </w:r>
      <w:r w:rsidR="00B60D84">
        <w:rPr>
          <w:rFonts w:asciiTheme="minorHAnsi" w:hAnsiTheme="minorHAnsi" w:cs="Arial"/>
          <w:bCs/>
          <w:sz w:val="24"/>
          <w:szCs w:val="24"/>
          <w:lang w:val="en-GB"/>
        </w:rPr>
        <w:t xml:space="preserve">serological </w:t>
      </w:r>
      <w:r w:rsidR="006910DC" w:rsidRPr="0052431D">
        <w:rPr>
          <w:rFonts w:asciiTheme="minorHAnsi" w:hAnsiTheme="minorHAnsi" w:cs="Arial"/>
          <w:bCs/>
          <w:sz w:val="24"/>
          <w:szCs w:val="24"/>
          <w:lang w:val="en-GB"/>
        </w:rPr>
        <w:t xml:space="preserve">syphilis was associated with </w:t>
      </w:r>
      <w:r w:rsidR="00EC1445">
        <w:rPr>
          <w:rFonts w:asciiTheme="minorHAnsi" w:hAnsiTheme="minorHAnsi" w:cs="Arial"/>
          <w:bCs/>
          <w:sz w:val="24"/>
          <w:szCs w:val="24"/>
          <w:lang w:val="en-GB"/>
        </w:rPr>
        <w:t xml:space="preserve">more than </w:t>
      </w:r>
      <w:r w:rsidR="00196A67" w:rsidRPr="0052431D">
        <w:rPr>
          <w:rFonts w:asciiTheme="minorHAnsi" w:hAnsiTheme="minorHAnsi" w:cs="Arial"/>
          <w:bCs/>
          <w:sz w:val="24"/>
          <w:szCs w:val="24"/>
          <w:lang w:val="en-GB"/>
        </w:rPr>
        <w:t xml:space="preserve">doubling of the risk of </w:t>
      </w:r>
      <w:r w:rsidR="00C87A78">
        <w:rPr>
          <w:rFonts w:asciiTheme="minorHAnsi" w:hAnsiTheme="minorHAnsi" w:cs="Arial"/>
          <w:bCs/>
          <w:sz w:val="24"/>
          <w:szCs w:val="24"/>
          <w:lang w:val="en-GB"/>
        </w:rPr>
        <w:t xml:space="preserve">the odds of having </w:t>
      </w:r>
      <w:r w:rsidR="00196A67" w:rsidRPr="0052431D">
        <w:rPr>
          <w:rFonts w:asciiTheme="minorHAnsi" w:hAnsiTheme="minorHAnsi" w:cs="Arial"/>
          <w:bCs/>
          <w:sz w:val="24"/>
          <w:szCs w:val="24"/>
          <w:lang w:val="en-GB"/>
        </w:rPr>
        <w:t xml:space="preserve">HIV </w:t>
      </w:r>
      <w:r w:rsidR="00C87A78">
        <w:rPr>
          <w:rFonts w:asciiTheme="minorHAnsi" w:hAnsiTheme="minorHAnsi" w:cs="Arial"/>
          <w:bCs/>
          <w:sz w:val="24"/>
          <w:szCs w:val="24"/>
          <w:lang w:val="en-GB"/>
        </w:rPr>
        <w:t xml:space="preserve">infection with an </w:t>
      </w:r>
      <w:r w:rsidR="00196A67" w:rsidRPr="0052431D">
        <w:rPr>
          <w:rFonts w:asciiTheme="minorHAnsi" w:hAnsiTheme="minorHAnsi" w:cs="Arial"/>
          <w:bCs/>
          <w:sz w:val="24"/>
          <w:szCs w:val="24"/>
          <w:lang w:val="en-GB"/>
        </w:rPr>
        <w:t xml:space="preserve">adjusted odds ratio of </w:t>
      </w:r>
      <w:r w:rsidR="007340FF" w:rsidRPr="0052431D">
        <w:rPr>
          <w:rFonts w:asciiTheme="minorHAnsi" w:hAnsiTheme="minorHAnsi" w:cs="Arial"/>
          <w:bCs/>
          <w:sz w:val="24"/>
          <w:szCs w:val="24"/>
          <w:lang w:val="en-GB"/>
        </w:rPr>
        <w:t>2.38</w:t>
      </w:r>
      <w:r w:rsidR="00196A67" w:rsidRPr="0052431D">
        <w:rPr>
          <w:rFonts w:asciiTheme="minorHAnsi" w:hAnsiTheme="minorHAnsi" w:cs="Arial"/>
          <w:bCs/>
          <w:sz w:val="24"/>
          <w:szCs w:val="24"/>
          <w:lang w:val="en-GB"/>
        </w:rPr>
        <w:t xml:space="preserve"> (95% CI</w:t>
      </w:r>
      <w:r w:rsidR="00EC1445">
        <w:rPr>
          <w:rFonts w:asciiTheme="minorHAnsi" w:hAnsiTheme="minorHAnsi" w:cs="Arial"/>
          <w:bCs/>
          <w:sz w:val="24"/>
          <w:szCs w:val="24"/>
          <w:lang w:val="en-GB"/>
        </w:rPr>
        <w:t>:</w:t>
      </w:r>
      <w:r w:rsidR="00196A67" w:rsidRPr="0052431D">
        <w:rPr>
          <w:rFonts w:asciiTheme="minorHAnsi" w:hAnsiTheme="minorHAnsi" w:cs="Arial"/>
          <w:bCs/>
          <w:sz w:val="24"/>
          <w:szCs w:val="24"/>
          <w:lang w:val="en-GB"/>
        </w:rPr>
        <w:t xml:space="preserve"> </w:t>
      </w:r>
      <w:r w:rsidR="007340FF" w:rsidRPr="0052431D">
        <w:rPr>
          <w:rFonts w:asciiTheme="minorHAnsi" w:hAnsiTheme="minorHAnsi" w:cs="Arial"/>
          <w:bCs/>
          <w:sz w:val="24"/>
          <w:szCs w:val="24"/>
          <w:lang w:val="en-GB"/>
        </w:rPr>
        <w:t>1.34</w:t>
      </w:r>
      <w:r w:rsidR="00EC1445">
        <w:rPr>
          <w:rFonts w:asciiTheme="minorHAnsi" w:hAnsiTheme="minorHAnsi" w:cs="Arial"/>
          <w:bCs/>
          <w:sz w:val="24"/>
          <w:szCs w:val="24"/>
          <w:lang w:val="en-GB"/>
        </w:rPr>
        <w:t>-</w:t>
      </w:r>
      <w:r w:rsidR="007340FF" w:rsidRPr="0052431D">
        <w:rPr>
          <w:rFonts w:asciiTheme="minorHAnsi" w:hAnsiTheme="minorHAnsi" w:cs="Arial"/>
          <w:bCs/>
          <w:sz w:val="24"/>
          <w:szCs w:val="24"/>
          <w:lang w:val="en-GB"/>
        </w:rPr>
        <w:t>4.22</w:t>
      </w:r>
      <w:r w:rsidR="00196A67" w:rsidRPr="0052431D">
        <w:rPr>
          <w:rFonts w:asciiTheme="minorHAnsi" w:hAnsiTheme="minorHAnsi" w:cs="Arial"/>
          <w:bCs/>
          <w:sz w:val="24"/>
          <w:szCs w:val="24"/>
          <w:lang w:val="en-GB"/>
        </w:rPr>
        <w:t>)</w:t>
      </w:r>
      <w:r w:rsidR="006910DC" w:rsidRPr="0052431D">
        <w:rPr>
          <w:rFonts w:asciiTheme="minorHAnsi" w:hAnsiTheme="minorHAnsi" w:cs="Arial"/>
          <w:bCs/>
          <w:sz w:val="24"/>
          <w:szCs w:val="24"/>
          <w:lang w:val="en-GB"/>
        </w:rPr>
        <w:t>.</w:t>
      </w:r>
    </w:p>
    <w:p w14:paraId="56FF97AD" w14:textId="32D9BD94" w:rsidR="00781D4C" w:rsidRPr="0052431D" w:rsidRDefault="00781D4C" w:rsidP="00C74418">
      <w:pPr>
        <w:spacing w:after="0" w:line="360" w:lineRule="auto"/>
        <w:jc w:val="both"/>
        <w:rPr>
          <w:rFonts w:asciiTheme="minorHAnsi" w:hAnsiTheme="minorHAnsi" w:cs="Arial"/>
          <w:bCs/>
          <w:sz w:val="24"/>
          <w:szCs w:val="24"/>
          <w:lang w:val="en-GB"/>
        </w:rPr>
      </w:pPr>
    </w:p>
    <w:p w14:paraId="664A987A" w14:textId="7D090C42" w:rsidR="00781D4C" w:rsidRPr="0052431D" w:rsidRDefault="00781D4C" w:rsidP="00C74418">
      <w:pPr>
        <w:spacing w:after="0" w:line="360" w:lineRule="auto"/>
        <w:jc w:val="both"/>
        <w:rPr>
          <w:rFonts w:asciiTheme="minorHAnsi" w:hAnsiTheme="minorHAnsi" w:cs="Arial"/>
          <w:b/>
          <w:sz w:val="24"/>
          <w:szCs w:val="24"/>
          <w:lang w:val="en-GB"/>
        </w:rPr>
      </w:pPr>
      <w:r w:rsidRPr="0052431D">
        <w:rPr>
          <w:rFonts w:asciiTheme="minorHAnsi" w:hAnsiTheme="minorHAnsi" w:cs="Arial"/>
          <w:b/>
          <w:sz w:val="24"/>
          <w:szCs w:val="24"/>
          <w:lang w:val="en-GB"/>
        </w:rPr>
        <w:t>Prevalence of schistosome infection and association with HIV</w:t>
      </w:r>
    </w:p>
    <w:p w14:paraId="5850B3BB" w14:textId="55F310AC" w:rsidR="002C4380" w:rsidRPr="0052431D" w:rsidRDefault="00916141"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Schistosome infection was detected in 924</w:t>
      </w:r>
      <w:r w:rsidR="00C92B28">
        <w:rPr>
          <w:rFonts w:asciiTheme="minorHAnsi" w:hAnsiTheme="minorHAnsi" w:cs="Arial"/>
          <w:bCs/>
          <w:sz w:val="24"/>
          <w:szCs w:val="24"/>
          <w:lang w:val="en-GB"/>
        </w:rPr>
        <w:t xml:space="preserve"> out of 1112</w:t>
      </w:r>
      <w:r w:rsidRPr="0052431D">
        <w:rPr>
          <w:rFonts w:asciiTheme="minorHAnsi" w:hAnsiTheme="minorHAnsi" w:cs="Arial"/>
          <w:bCs/>
          <w:sz w:val="24"/>
          <w:szCs w:val="24"/>
          <w:lang w:val="en-GB"/>
        </w:rPr>
        <w:t xml:space="preserve"> (83.1%</w:t>
      </w:r>
      <w:r w:rsidR="00A10AD2">
        <w:rPr>
          <w:rFonts w:asciiTheme="minorHAnsi" w:hAnsiTheme="minorHAnsi" w:cs="Arial"/>
          <w:bCs/>
          <w:sz w:val="24"/>
          <w:szCs w:val="24"/>
          <w:lang w:val="en-GB"/>
        </w:rPr>
        <w:t>; 95% CI: 80.8-85.3</w:t>
      </w:r>
      <w:r w:rsidRPr="0052431D">
        <w:rPr>
          <w:rFonts w:asciiTheme="minorHAnsi" w:hAnsiTheme="minorHAnsi" w:cs="Arial"/>
          <w:bCs/>
          <w:sz w:val="24"/>
          <w:szCs w:val="24"/>
          <w:lang w:val="en-GB"/>
        </w:rPr>
        <w:t>) people</w:t>
      </w:r>
      <w:r w:rsidR="00C92B28">
        <w:rPr>
          <w:rFonts w:asciiTheme="minorHAnsi" w:hAnsiTheme="minorHAnsi" w:cs="Arial"/>
          <w:bCs/>
          <w:sz w:val="24"/>
          <w:szCs w:val="24"/>
          <w:lang w:val="en-GB"/>
        </w:rPr>
        <w:t xml:space="preserve"> tested (</w:t>
      </w:r>
      <w:r w:rsidR="00C92B28" w:rsidRPr="00C92B28">
        <w:rPr>
          <w:rFonts w:asciiTheme="minorHAnsi" w:hAnsiTheme="minorHAnsi" w:cs="Arial"/>
          <w:b/>
          <w:sz w:val="24"/>
          <w:szCs w:val="24"/>
          <w:lang w:val="en-GB"/>
        </w:rPr>
        <w:t xml:space="preserve">Table </w:t>
      </w:r>
      <w:r w:rsidR="001814E2">
        <w:rPr>
          <w:rFonts w:asciiTheme="minorHAnsi" w:hAnsiTheme="minorHAnsi" w:cs="Arial"/>
          <w:b/>
          <w:sz w:val="24"/>
          <w:szCs w:val="24"/>
          <w:lang w:val="en-GB"/>
        </w:rPr>
        <w:t>2</w:t>
      </w:r>
      <w:r w:rsidR="00C92B28">
        <w:rPr>
          <w:rFonts w:asciiTheme="minorHAnsi" w:hAnsiTheme="minorHAnsi" w:cs="Arial"/>
          <w:bCs/>
          <w:sz w:val="24"/>
          <w:szCs w:val="24"/>
          <w:lang w:val="en-GB"/>
        </w:rPr>
        <w:t>)</w:t>
      </w:r>
      <w:r w:rsidRPr="0052431D">
        <w:rPr>
          <w:rFonts w:asciiTheme="minorHAnsi" w:hAnsiTheme="minorHAnsi" w:cs="Arial"/>
          <w:bCs/>
          <w:sz w:val="24"/>
          <w:szCs w:val="24"/>
          <w:lang w:val="en-GB"/>
        </w:rPr>
        <w:t xml:space="preserve">. The prevalence of schistosome infection ranged from 77% among female recreational facility workers to 90% among fishermen or boat crew. </w:t>
      </w:r>
      <w:r w:rsidR="00AA47B1" w:rsidRPr="0052431D">
        <w:rPr>
          <w:rFonts w:asciiTheme="minorHAnsi" w:hAnsiTheme="minorHAnsi" w:cs="Arial"/>
          <w:bCs/>
          <w:sz w:val="24"/>
          <w:szCs w:val="24"/>
          <w:lang w:val="en-GB"/>
        </w:rPr>
        <w:t>T</w:t>
      </w:r>
      <w:r w:rsidR="00781D4C" w:rsidRPr="0052431D">
        <w:rPr>
          <w:rFonts w:asciiTheme="minorHAnsi" w:hAnsiTheme="minorHAnsi" w:cs="Arial"/>
          <w:bCs/>
          <w:sz w:val="24"/>
          <w:szCs w:val="24"/>
          <w:lang w:val="en-GB"/>
        </w:rPr>
        <w:t>he prevalence of schistosome infection was</w:t>
      </w:r>
      <w:r w:rsidR="00AF5330" w:rsidRPr="0052431D">
        <w:rPr>
          <w:rFonts w:asciiTheme="minorHAnsi" w:hAnsiTheme="minorHAnsi" w:cs="Arial"/>
          <w:bCs/>
          <w:sz w:val="24"/>
          <w:szCs w:val="24"/>
          <w:lang w:val="en-GB"/>
        </w:rPr>
        <w:t xml:space="preserve"> </w:t>
      </w:r>
      <w:r w:rsidR="00405B73" w:rsidRPr="0052431D">
        <w:rPr>
          <w:rFonts w:asciiTheme="minorHAnsi" w:hAnsiTheme="minorHAnsi" w:cs="Arial"/>
          <w:bCs/>
          <w:sz w:val="24"/>
          <w:szCs w:val="24"/>
          <w:lang w:val="en-GB"/>
        </w:rPr>
        <w:t xml:space="preserve">higher in males than females (85% vs. 80%). </w:t>
      </w:r>
      <w:r w:rsidR="00AA47B1" w:rsidRPr="0052431D">
        <w:rPr>
          <w:rFonts w:asciiTheme="minorHAnsi" w:hAnsiTheme="minorHAnsi" w:cs="Arial"/>
          <w:bCs/>
          <w:sz w:val="24"/>
          <w:szCs w:val="24"/>
          <w:lang w:val="en-GB"/>
        </w:rPr>
        <w:t>Study participants who were age</w:t>
      </w:r>
      <w:r w:rsidR="006700CC" w:rsidRPr="0052431D">
        <w:rPr>
          <w:rFonts w:asciiTheme="minorHAnsi" w:hAnsiTheme="minorHAnsi" w:cs="Arial"/>
          <w:bCs/>
          <w:sz w:val="24"/>
          <w:szCs w:val="24"/>
          <w:lang w:val="en-GB"/>
        </w:rPr>
        <w:t>d</w:t>
      </w:r>
      <w:r w:rsidR="00AA47B1" w:rsidRPr="0052431D">
        <w:rPr>
          <w:rFonts w:asciiTheme="minorHAnsi" w:hAnsiTheme="minorHAnsi" w:cs="Arial"/>
          <w:bCs/>
          <w:sz w:val="24"/>
          <w:szCs w:val="24"/>
          <w:lang w:val="en-GB"/>
        </w:rPr>
        <w:t xml:space="preserve"> 50 years and above, and those with </w:t>
      </w:r>
      <w:r w:rsidR="00AA71F7" w:rsidRPr="0052431D">
        <w:rPr>
          <w:rFonts w:asciiTheme="minorHAnsi" w:hAnsiTheme="minorHAnsi" w:cs="Arial"/>
          <w:bCs/>
          <w:sz w:val="24"/>
          <w:szCs w:val="24"/>
          <w:lang w:val="en-GB"/>
        </w:rPr>
        <w:t xml:space="preserve">the </w:t>
      </w:r>
      <w:r w:rsidR="00AA47B1" w:rsidRPr="0052431D">
        <w:rPr>
          <w:rFonts w:asciiTheme="minorHAnsi" w:hAnsiTheme="minorHAnsi" w:cs="Arial"/>
          <w:bCs/>
          <w:sz w:val="24"/>
          <w:szCs w:val="24"/>
          <w:lang w:val="en-GB"/>
        </w:rPr>
        <w:t>highest monthly income</w:t>
      </w:r>
      <w:r w:rsidR="006700CC" w:rsidRPr="0052431D">
        <w:rPr>
          <w:rFonts w:asciiTheme="minorHAnsi" w:hAnsiTheme="minorHAnsi" w:cs="Arial"/>
          <w:bCs/>
          <w:sz w:val="24"/>
          <w:szCs w:val="24"/>
          <w:lang w:val="en-GB"/>
        </w:rPr>
        <w:t>,</w:t>
      </w:r>
      <w:r w:rsidR="00AA47B1" w:rsidRPr="0052431D">
        <w:rPr>
          <w:rFonts w:asciiTheme="minorHAnsi" w:hAnsiTheme="minorHAnsi" w:cs="Arial"/>
          <w:bCs/>
          <w:sz w:val="24"/>
          <w:szCs w:val="24"/>
          <w:lang w:val="en-GB"/>
        </w:rPr>
        <w:t xml:space="preserve"> had relatively lower prevalence of schistosome infection when compared to other study participants</w:t>
      </w:r>
      <w:r w:rsidR="00C87A78">
        <w:rPr>
          <w:rFonts w:asciiTheme="minorHAnsi" w:hAnsiTheme="minorHAnsi" w:cs="Arial"/>
          <w:bCs/>
          <w:sz w:val="24"/>
          <w:szCs w:val="24"/>
          <w:lang w:val="en-GB"/>
        </w:rPr>
        <w:t xml:space="preserve"> (data not shown)</w:t>
      </w:r>
      <w:r w:rsidR="00AA47B1" w:rsidRPr="0052431D">
        <w:rPr>
          <w:rFonts w:asciiTheme="minorHAnsi" w:hAnsiTheme="minorHAnsi" w:cs="Arial"/>
          <w:bCs/>
          <w:sz w:val="24"/>
          <w:szCs w:val="24"/>
          <w:lang w:val="en-GB"/>
        </w:rPr>
        <w:t xml:space="preserve">. </w:t>
      </w:r>
      <w:r w:rsidR="002C4380" w:rsidRPr="0052431D">
        <w:rPr>
          <w:rFonts w:asciiTheme="minorHAnsi" w:hAnsiTheme="minorHAnsi" w:cs="Arial"/>
          <w:bCs/>
          <w:sz w:val="24"/>
          <w:szCs w:val="24"/>
          <w:lang w:val="en-GB"/>
        </w:rPr>
        <w:t xml:space="preserve">In </w:t>
      </w:r>
      <w:r w:rsidR="00AA47B1" w:rsidRPr="00EC1445">
        <w:rPr>
          <w:rFonts w:asciiTheme="minorHAnsi" w:hAnsiTheme="minorHAnsi" w:cs="Arial"/>
          <w:b/>
          <w:sz w:val="24"/>
          <w:szCs w:val="24"/>
          <w:lang w:val="en-GB"/>
        </w:rPr>
        <w:t xml:space="preserve">Table </w:t>
      </w:r>
      <w:r w:rsidR="001814E2">
        <w:rPr>
          <w:rFonts w:asciiTheme="minorHAnsi" w:hAnsiTheme="minorHAnsi" w:cs="Arial"/>
          <w:b/>
          <w:sz w:val="24"/>
          <w:szCs w:val="24"/>
          <w:lang w:val="en-GB"/>
        </w:rPr>
        <w:t>3</w:t>
      </w:r>
      <w:r w:rsidR="00AA47B1" w:rsidRPr="0052431D">
        <w:rPr>
          <w:rFonts w:asciiTheme="minorHAnsi" w:hAnsiTheme="minorHAnsi" w:cs="Arial"/>
          <w:bCs/>
          <w:sz w:val="24"/>
          <w:szCs w:val="24"/>
          <w:lang w:val="en-GB"/>
        </w:rPr>
        <w:t xml:space="preserve">, we present the associations between HIV and intensity of schistosome infection. In </w:t>
      </w:r>
      <w:r w:rsidR="002C4380" w:rsidRPr="0052431D">
        <w:rPr>
          <w:rFonts w:asciiTheme="minorHAnsi" w:hAnsiTheme="minorHAnsi" w:cs="Arial"/>
          <w:bCs/>
          <w:sz w:val="24"/>
          <w:szCs w:val="24"/>
          <w:lang w:val="en-GB"/>
        </w:rPr>
        <w:t>general</w:t>
      </w:r>
      <w:r w:rsidR="00AA47B1" w:rsidRPr="0052431D">
        <w:rPr>
          <w:rFonts w:asciiTheme="minorHAnsi" w:hAnsiTheme="minorHAnsi" w:cs="Arial"/>
          <w:bCs/>
          <w:sz w:val="24"/>
          <w:szCs w:val="24"/>
          <w:lang w:val="en-GB"/>
        </w:rPr>
        <w:t>,</w:t>
      </w:r>
      <w:r w:rsidR="002C4380" w:rsidRPr="0052431D">
        <w:rPr>
          <w:rFonts w:asciiTheme="minorHAnsi" w:hAnsiTheme="minorHAnsi" w:cs="Arial"/>
          <w:bCs/>
          <w:sz w:val="24"/>
          <w:szCs w:val="24"/>
          <w:lang w:val="en-GB"/>
        </w:rPr>
        <w:t xml:space="preserve"> </w:t>
      </w:r>
      <w:r w:rsidR="002922DC">
        <w:rPr>
          <w:rFonts w:asciiTheme="minorHAnsi" w:hAnsiTheme="minorHAnsi" w:cs="Arial"/>
          <w:bCs/>
          <w:sz w:val="24"/>
          <w:szCs w:val="24"/>
          <w:lang w:val="en-GB"/>
        </w:rPr>
        <w:t>a consistent trend towards a higher HIV prevalence among those with higher intensity of schistosome infection was observed</w:t>
      </w:r>
      <w:r w:rsidR="00AF5330" w:rsidRPr="0052431D">
        <w:rPr>
          <w:rFonts w:asciiTheme="minorHAnsi" w:hAnsiTheme="minorHAnsi" w:cs="Arial"/>
          <w:bCs/>
          <w:sz w:val="24"/>
          <w:szCs w:val="24"/>
          <w:lang w:val="en-GB"/>
        </w:rPr>
        <w:t xml:space="preserve"> when we examined this in a combined </w:t>
      </w:r>
      <w:r w:rsidR="002C4380" w:rsidRPr="0052431D">
        <w:rPr>
          <w:rFonts w:asciiTheme="minorHAnsi" w:hAnsiTheme="minorHAnsi" w:cs="Arial"/>
          <w:bCs/>
          <w:sz w:val="24"/>
          <w:szCs w:val="24"/>
          <w:lang w:val="en-GB"/>
        </w:rPr>
        <w:t>dataset of women and men, and when we examined this separately for men and women alone.</w:t>
      </w:r>
      <w:r w:rsidR="006700CC" w:rsidRPr="0052431D">
        <w:rPr>
          <w:rFonts w:asciiTheme="minorHAnsi" w:hAnsiTheme="minorHAnsi" w:cs="Arial"/>
          <w:bCs/>
          <w:sz w:val="24"/>
          <w:szCs w:val="24"/>
          <w:lang w:val="en-GB"/>
        </w:rPr>
        <w:t xml:space="preserve"> </w:t>
      </w:r>
      <w:r w:rsidR="002922DC">
        <w:rPr>
          <w:rFonts w:asciiTheme="minorHAnsi" w:hAnsiTheme="minorHAnsi" w:cs="Arial"/>
          <w:bCs/>
          <w:sz w:val="24"/>
          <w:szCs w:val="24"/>
          <w:lang w:val="en-GB"/>
        </w:rPr>
        <w:t xml:space="preserve">However, none of this was statistically significant after we adjusted for </w:t>
      </w:r>
      <w:r w:rsidR="00A14E38" w:rsidRPr="0052431D">
        <w:rPr>
          <w:rFonts w:asciiTheme="minorHAnsi" w:hAnsiTheme="minorHAnsi" w:cs="Arial"/>
          <w:bCs/>
          <w:sz w:val="24"/>
          <w:szCs w:val="24"/>
          <w:lang w:val="en-GB"/>
        </w:rPr>
        <w:t>demographic and behavioural factors</w:t>
      </w:r>
      <w:r w:rsidR="00A14E38">
        <w:rPr>
          <w:rFonts w:asciiTheme="minorHAnsi" w:hAnsiTheme="minorHAnsi" w:cs="Arial"/>
          <w:bCs/>
          <w:sz w:val="24"/>
          <w:szCs w:val="24"/>
          <w:lang w:val="en-GB"/>
        </w:rPr>
        <w:t>.</w:t>
      </w:r>
      <w:r w:rsidR="002922DC">
        <w:rPr>
          <w:rFonts w:asciiTheme="minorHAnsi" w:hAnsiTheme="minorHAnsi" w:cs="Arial"/>
          <w:bCs/>
          <w:sz w:val="24"/>
          <w:szCs w:val="24"/>
          <w:lang w:val="en-GB"/>
        </w:rPr>
        <w:t xml:space="preserve"> </w:t>
      </w:r>
      <w:r w:rsidR="00A14E38">
        <w:rPr>
          <w:rFonts w:asciiTheme="minorHAnsi" w:hAnsiTheme="minorHAnsi" w:cs="Arial"/>
          <w:bCs/>
          <w:sz w:val="24"/>
          <w:szCs w:val="24"/>
          <w:lang w:val="en-GB"/>
        </w:rPr>
        <w:t xml:space="preserve"> </w:t>
      </w:r>
      <w:r w:rsidR="006700CC" w:rsidRPr="0052431D">
        <w:rPr>
          <w:rFonts w:asciiTheme="minorHAnsi" w:hAnsiTheme="minorHAnsi" w:cs="Arial"/>
          <w:bCs/>
          <w:sz w:val="24"/>
          <w:szCs w:val="24"/>
          <w:lang w:val="en-GB"/>
        </w:rPr>
        <w:t>In addition, schistosome infection was not significantly associated with a history of genital discharge, genital sore, or a diagnosis of STI in the past 12 months, nor was it associated with current genital itch</w:t>
      </w:r>
      <w:r w:rsidR="0006108B" w:rsidRPr="0052431D">
        <w:rPr>
          <w:rFonts w:asciiTheme="minorHAnsi" w:hAnsiTheme="minorHAnsi" w:cs="Arial"/>
          <w:bCs/>
          <w:sz w:val="24"/>
          <w:szCs w:val="24"/>
          <w:lang w:val="en-GB"/>
        </w:rPr>
        <w:t xml:space="preserve"> (data not shown)</w:t>
      </w:r>
      <w:r w:rsidR="006700CC" w:rsidRPr="0052431D">
        <w:rPr>
          <w:rFonts w:asciiTheme="minorHAnsi" w:hAnsiTheme="minorHAnsi" w:cs="Arial"/>
          <w:bCs/>
          <w:sz w:val="24"/>
          <w:szCs w:val="24"/>
          <w:lang w:val="en-GB"/>
        </w:rPr>
        <w:t>.</w:t>
      </w:r>
    </w:p>
    <w:p w14:paraId="4FFA1793" w14:textId="77777777" w:rsidR="00A662E5" w:rsidRPr="0052431D" w:rsidRDefault="00A662E5" w:rsidP="00C74418">
      <w:pPr>
        <w:spacing w:after="0" w:line="360" w:lineRule="auto"/>
        <w:jc w:val="both"/>
        <w:rPr>
          <w:rFonts w:asciiTheme="minorHAnsi" w:hAnsiTheme="minorHAnsi" w:cs="Arial"/>
          <w:bCs/>
          <w:sz w:val="24"/>
          <w:szCs w:val="24"/>
          <w:lang w:val="en-GB"/>
        </w:rPr>
      </w:pPr>
    </w:p>
    <w:p w14:paraId="4564E464" w14:textId="60DD25D2" w:rsidR="00A662E5" w:rsidRPr="0052431D" w:rsidRDefault="00A662E5"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In a</w:t>
      </w:r>
      <w:r w:rsidR="00C87A78">
        <w:rPr>
          <w:rFonts w:asciiTheme="minorHAnsi" w:hAnsiTheme="minorHAnsi" w:cs="Arial"/>
          <w:bCs/>
          <w:sz w:val="24"/>
          <w:szCs w:val="24"/>
          <w:lang w:val="en-GB"/>
        </w:rPr>
        <w:t xml:space="preserve">n </w:t>
      </w:r>
      <w:r w:rsidR="0006108B" w:rsidRPr="0052431D">
        <w:rPr>
          <w:rFonts w:asciiTheme="minorHAnsi" w:hAnsiTheme="minorHAnsi" w:cs="Arial"/>
          <w:bCs/>
          <w:sz w:val="24"/>
          <w:szCs w:val="24"/>
          <w:lang w:val="en-GB"/>
        </w:rPr>
        <w:t xml:space="preserve">exploratory </w:t>
      </w:r>
      <w:r w:rsidRPr="0052431D">
        <w:rPr>
          <w:rFonts w:asciiTheme="minorHAnsi" w:hAnsiTheme="minorHAnsi" w:cs="Arial"/>
          <w:bCs/>
          <w:sz w:val="24"/>
          <w:szCs w:val="24"/>
          <w:lang w:val="en-GB"/>
        </w:rPr>
        <w:t xml:space="preserve">analysis restricted to male participants only, we </w:t>
      </w:r>
      <w:r w:rsidR="00AB1D3B" w:rsidRPr="0052431D">
        <w:rPr>
          <w:rFonts w:asciiTheme="minorHAnsi" w:hAnsiTheme="minorHAnsi" w:cs="Arial"/>
          <w:bCs/>
          <w:sz w:val="24"/>
          <w:szCs w:val="24"/>
          <w:lang w:val="en-GB"/>
        </w:rPr>
        <w:t>found a significant association between CAA and HIV infection</w:t>
      </w:r>
      <w:r w:rsidRPr="0052431D">
        <w:rPr>
          <w:rFonts w:asciiTheme="minorHAnsi" w:hAnsiTheme="minorHAnsi" w:cs="Arial"/>
          <w:bCs/>
          <w:sz w:val="24"/>
          <w:szCs w:val="24"/>
          <w:lang w:val="en-GB"/>
        </w:rPr>
        <w:t xml:space="preserve"> (OR = 1.12</w:t>
      </w:r>
      <w:r w:rsidR="00EC1445">
        <w:rPr>
          <w:rFonts w:asciiTheme="minorHAnsi" w:hAnsiTheme="minorHAnsi" w:cs="Arial"/>
          <w:bCs/>
          <w:sz w:val="24"/>
          <w:szCs w:val="24"/>
          <w:lang w:val="en-GB"/>
        </w:rPr>
        <w:t xml:space="preserve">; </w:t>
      </w:r>
      <w:r w:rsidRPr="0052431D">
        <w:rPr>
          <w:rFonts w:asciiTheme="minorHAnsi" w:hAnsiTheme="minorHAnsi" w:cs="Arial"/>
          <w:bCs/>
          <w:sz w:val="24"/>
          <w:szCs w:val="24"/>
          <w:lang w:val="en-GB"/>
        </w:rPr>
        <w:t>95% CI: 1.01</w:t>
      </w:r>
      <w:r w:rsidR="00EC1445">
        <w:rPr>
          <w:rFonts w:asciiTheme="minorHAnsi" w:hAnsiTheme="minorHAnsi" w:cs="Arial"/>
          <w:bCs/>
          <w:sz w:val="24"/>
          <w:szCs w:val="24"/>
          <w:lang w:val="en-GB"/>
        </w:rPr>
        <w:t>-</w:t>
      </w:r>
      <w:r w:rsidRPr="0052431D">
        <w:rPr>
          <w:rFonts w:asciiTheme="minorHAnsi" w:hAnsiTheme="minorHAnsi" w:cs="Arial"/>
          <w:bCs/>
          <w:sz w:val="24"/>
          <w:szCs w:val="24"/>
          <w:lang w:val="en-GB"/>
        </w:rPr>
        <w:t>1.24</w:t>
      </w:r>
      <w:r w:rsidR="00EC1445">
        <w:rPr>
          <w:rFonts w:asciiTheme="minorHAnsi" w:hAnsiTheme="minorHAnsi" w:cs="Arial"/>
          <w:bCs/>
          <w:sz w:val="24"/>
          <w:szCs w:val="24"/>
          <w:lang w:val="en-GB"/>
        </w:rPr>
        <w:t>, p=0.035)</w:t>
      </w:r>
      <w:r w:rsidRPr="0052431D">
        <w:rPr>
          <w:rFonts w:asciiTheme="minorHAnsi" w:hAnsiTheme="minorHAnsi" w:cs="Arial"/>
          <w:bCs/>
          <w:sz w:val="24"/>
          <w:szCs w:val="24"/>
          <w:lang w:val="en-GB"/>
        </w:rPr>
        <w:t xml:space="preserve"> for each unit increase in (log) CAA</w:t>
      </w:r>
      <w:r w:rsidR="00060440">
        <w:rPr>
          <w:rFonts w:asciiTheme="minorHAnsi" w:hAnsiTheme="minorHAnsi" w:cs="Arial"/>
          <w:bCs/>
          <w:sz w:val="24"/>
          <w:szCs w:val="24"/>
          <w:lang w:val="en-GB"/>
        </w:rPr>
        <w:t xml:space="preserve"> (Supplementary Figure 1)</w:t>
      </w:r>
      <w:r w:rsidRPr="0052431D">
        <w:rPr>
          <w:rFonts w:asciiTheme="minorHAnsi" w:hAnsiTheme="minorHAnsi" w:cs="Arial"/>
          <w:bCs/>
          <w:sz w:val="24"/>
          <w:szCs w:val="24"/>
          <w:lang w:val="en-GB"/>
        </w:rPr>
        <w:t xml:space="preserve">. </w:t>
      </w:r>
      <w:r w:rsidR="00DF435A" w:rsidRPr="0052431D">
        <w:rPr>
          <w:rFonts w:asciiTheme="minorHAnsi" w:hAnsiTheme="minorHAnsi" w:cs="Arial"/>
          <w:bCs/>
          <w:sz w:val="24"/>
          <w:szCs w:val="24"/>
          <w:lang w:val="en-GB"/>
        </w:rPr>
        <w:t>However,</w:t>
      </w:r>
      <w:r w:rsidR="00EC1445">
        <w:rPr>
          <w:rFonts w:asciiTheme="minorHAnsi" w:hAnsiTheme="minorHAnsi" w:cs="Arial"/>
          <w:bCs/>
          <w:sz w:val="24"/>
          <w:szCs w:val="24"/>
          <w:lang w:val="en-GB"/>
        </w:rPr>
        <w:t xml:space="preserve"> </w:t>
      </w:r>
      <w:r w:rsidR="00E26CF1">
        <w:rPr>
          <w:rFonts w:asciiTheme="minorHAnsi" w:hAnsiTheme="minorHAnsi" w:cs="Arial"/>
          <w:bCs/>
          <w:sz w:val="24"/>
          <w:szCs w:val="24"/>
          <w:lang w:val="en-GB"/>
        </w:rPr>
        <w:t>among</w:t>
      </w:r>
      <w:r w:rsidRPr="0052431D">
        <w:rPr>
          <w:rFonts w:asciiTheme="minorHAnsi" w:hAnsiTheme="minorHAnsi" w:cs="Arial"/>
          <w:bCs/>
          <w:sz w:val="24"/>
          <w:szCs w:val="24"/>
          <w:lang w:val="en-GB"/>
        </w:rPr>
        <w:t xml:space="preserve"> female participants we found no evidence of an association be</w:t>
      </w:r>
      <w:r w:rsidR="003F773B" w:rsidRPr="0052431D">
        <w:rPr>
          <w:rFonts w:asciiTheme="minorHAnsi" w:hAnsiTheme="minorHAnsi" w:cs="Arial"/>
          <w:bCs/>
          <w:sz w:val="24"/>
          <w:szCs w:val="24"/>
          <w:lang w:val="en-GB"/>
        </w:rPr>
        <w:t>tween CAA and HIV (OR=1.00; 95%</w:t>
      </w:r>
      <w:r w:rsidRPr="0052431D">
        <w:rPr>
          <w:rFonts w:asciiTheme="minorHAnsi" w:hAnsiTheme="minorHAnsi" w:cs="Arial"/>
          <w:bCs/>
          <w:sz w:val="24"/>
          <w:szCs w:val="24"/>
          <w:lang w:val="en-GB"/>
        </w:rPr>
        <w:t xml:space="preserve"> CI: 0.94</w:t>
      </w:r>
      <w:r w:rsidR="00EC1445">
        <w:rPr>
          <w:rFonts w:asciiTheme="minorHAnsi" w:hAnsiTheme="minorHAnsi" w:cs="Arial"/>
          <w:bCs/>
          <w:sz w:val="24"/>
          <w:szCs w:val="24"/>
          <w:lang w:val="en-GB"/>
        </w:rPr>
        <w:t>-</w:t>
      </w:r>
      <w:r w:rsidRPr="0052431D">
        <w:rPr>
          <w:rFonts w:asciiTheme="minorHAnsi" w:hAnsiTheme="minorHAnsi" w:cs="Arial"/>
          <w:bCs/>
          <w:sz w:val="24"/>
          <w:szCs w:val="24"/>
          <w:lang w:val="en-GB"/>
        </w:rPr>
        <w:t>1.07</w:t>
      </w:r>
      <w:r w:rsidR="00EC1445">
        <w:rPr>
          <w:rFonts w:asciiTheme="minorHAnsi" w:hAnsiTheme="minorHAnsi" w:cs="Arial"/>
          <w:bCs/>
          <w:sz w:val="24"/>
          <w:szCs w:val="24"/>
          <w:lang w:val="en-GB"/>
        </w:rPr>
        <w:t xml:space="preserve">, </w:t>
      </w:r>
      <w:r w:rsidRPr="0052431D">
        <w:rPr>
          <w:rFonts w:asciiTheme="minorHAnsi" w:hAnsiTheme="minorHAnsi" w:cs="Arial"/>
          <w:bCs/>
          <w:sz w:val="24"/>
          <w:szCs w:val="24"/>
          <w:lang w:val="en-GB"/>
        </w:rPr>
        <w:t>p=0.939).</w:t>
      </w:r>
    </w:p>
    <w:p w14:paraId="04F6F0B5" w14:textId="547B82FF" w:rsidR="002C4380" w:rsidRPr="0052431D" w:rsidRDefault="002C4380" w:rsidP="00C74418">
      <w:pPr>
        <w:spacing w:after="0" w:line="360" w:lineRule="auto"/>
        <w:jc w:val="both"/>
        <w:rPr>
          <w:rFonts w:asciiTheme="minorHAnsi" w:hAnsiTheme="minorHAnsi" w:cs="Arial"/>
          <w:bCs/>
          <w:sz w:val="24"/>
          <w:szCs w:val="24"/>
          <w:lang w:val="en-GB"/>
        </w:rPr>
      </w:pPr>
    </w:p>
    <w:p w14:paraId="215D629B" w14:textId="00AE3F61" w:rsidR="00AA47B1" w:rsidRPr="0052431D" w:rsidRDefault="00931B00"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
          <w:bCs/>
          <w:sz w:val="24"/>
          <w:szCs w:val="24"/>
          <w:lang w:val="en-GB"/>
        </w:rPr>
        <w:t>DISCUSSION</w:t>
      </w:r>
    </w:p>
    <w:p w14:paraId="37C221D0" w14:textId="77777777" w:rsidR="00931B00" w:rsidRPr="0052431D" w:rsidRDefault="00931B00" w:rsidP="00C74418">
      <w:pPr>
        <w:spacing w:after="0" w:line="360" w:lineRule="auto"/>
        <w:jc w:val="both"/>
        <w:rPr>
          <w:rFonts w:asciiTheme="minorHAnsi" w:hAnsiTheme="minorHAnsi" w:cs="Arial"/>
          <w:bCs/>
          <w:sz w:val="24"/>
          <w:szCs w:val="24"/>
          <w:lang w:val="en-GB"/>
        </w:rPr>
      </w:pPr>
    </w:p>
    <w:p w14:paraId="2D97FD89" w14:textId="2FE8997B" w:rsidR="00931B00" w:rsidRPr="0052431D" w:rsidRDefault="00931B00"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Our results </w:t>
      </w:r>
      <w:r w:rsidR="006B1558" w:rsidRPr="0052431D">
        <w:rPr>
          <w:rFonts w:asciiTheme="minorHAnsi" w:hAnsiTheme="minorHAnsi" w:cs="Arial"/>
          <w:bCs/>
          <w:sz w:val="24"/>
          <w:szCs w:val="24"/>
          <w:lang w:val="en-GB"/>
        </w:rPr>
        <w:t xml:space="preserve">indicate the enormous burden of treatable infections currently afflicting residents of the rural fishing </w:t>
      </w:r>
      <w:r w:rsidR="006B1558">
        <w:rPr>
          <w:rFonts w:asciiTheme="minorHAnsi" w:hAnsiTheme="minorHAnsi" w:cs="Arial"/>
          <w:bCs/>
          <w:sz w:val="24"/>
          <w:szCs w:val="24"/>
          <w:lang w:val="en-GB"/>
        </w:rPr>
        <w:t>communities</w:t>
      </w:r>
      <w:r w:rsidR="006B1558" w:rsidRPr="0052431D">
        <w:rPr>
          <w:rFonts w:asciiTheme="minorHAnsi" w:hAnsiTheme="minorHAnsi" w:cs="Arial"/>
          <w:bCs/>
          <w:sz w:val="24"/>
          <w:szCs w:val="24"/>
          <w:lang w:val="en-GB"/>
        </w:rPr>
        <w:t xml:space="preserve"> surrounding Lake Victoria in Tanzania.</w:t>
      </w:r>
      <w:r w:rsidR="006B1558">
        <w:rPr>
          <w:rFonts w:asciiTheme="minorHAnsi" w:hAnsiTheme="minorHAnsi" w:cs="Arial"/>
          <w:bCs/>
          <w:sz w:val="24"/>
          <w:szCs w:val="24"/>
          <w:lang w:val="en-GB"/>
        </w:rPr>
        <w:t xml:space="preserve"> We </w:t>
      </w:r>
      <w:r w:rsidRPr="0052431D">
        <w:rPr>
          <w:rFonts w:asciiTheme="minorHAnsi" w:hAnsiTheme="minorHAnsi" w:cs="Arial"/>
          <w:bCs/>
          <w:sz w:val="24"/>
          <w:szCs w:val="24"/>
          <w:lang w:val="en-GB"/>
        </w:rPr>
        <w:t xml:space="preserve">document rates of HIV infection in fishing </w:t>
      </w:r>
      <w:r w:rsidR="000A3D80">
        <w:rPr>
          <w:rFonts w:asciiTheme="minorHAnsi" w:hAnsiTheme="minorHAnsi" w:cs="Arial"/>
          <w:bCs/>
          <w:sz w:val="24"/>
          <w:szCs w:val="24"/>
          <w:lang w:val="en-GB"/>
        </w:rPr>
        <w:t>communities</w:t>
      </w:r>
      <w:r w:rsidRPr="0052431D">
        <w:rPr>
          <w:rFonts w:asciiTheme="minorHAnsi" w:hAnsiTheme="minorHAnsi" w:cs="Arial"/>
          <w:bCs/>
          <w:sz w:val="24"/>
          <w:szCs w:val="24"/>
          <w:lang w:val="en-GB"/>
        </w:rPr>
        <w:t xml:space="preserve"> that are over six times </w:t>
      </w:r>
      <w:r w:rsidR="00700EED" w:rsidRPr="0052431D">
        <w:rPr>
          <w:rFonts w:asciiTheme="minorHAnsi" w:hAnsiTheme="minorHAnsi" w:cs="Arial"/>
          <w:bCs/>
          <w:sz w:val="24"/>
          <w:szCs w:val="24"/>
          <w:lang w:val="en-GB"/>
        </w:rPr>
        <w:t xml:space="preserve">higher than </w:t>
      </w:r>
      <w:r w:rsidRPr="0052431D">
        <w:rPr>
          <w:rFonts w:asciiTheme="minorHAnsi" w:hAnsiTheme="minorHAnsi" w:cs="Arial"/>
          <w:bCs/>
          <w:sz w:val="24"/>
          <w:szCs w:val="24"/>
          <w:lang w:val="en-GB"/>
        </w:rPr>
        <w:t>the national HIV prevalence of 4.6% for women working in recreational facilities</w:t>
      </w:r>
      <w:r w:rsidR="00C579DB" w:rsidRPr="0052431D">
        <w:rPr>
          <w:rFonts w:asciiTheme="minorHAnsi" w:hAnsiTheme="minorHAnsi" w:cs="Arial"/>
          <w:bCs/>
          <w:sz w:val="24"/>
          <w:szCs w:val="24"/>
          <w:lang w:val="en-GB"/>
        </w:rPr>
        <w:t xml:space="preserve"> </w:t>
      </w:r>
      <w:r w:rsidR="00C579DB" w:rsidRPr="0052431D">
        <w:rPr>
          <w:rFonts w:asciiTheme="minorHAnsi" w:hAnsiTheme="minorHAnsi" w:cs="Arial"/>
          <w:bCs/>
          <w:sz w:val="24"/>
          <w:szCs w:val="24"/>
          <w:lang w:val="en-GB"/>
        </w:rPr>
        <w:fldChar w:fldCharType="begin" w:fldLock="1"/>
      </w:r>
      <w:r w:rsidR="00315AFC" w:rsidRPr="0052431D">
        <w:rPr>
          <w:rFonts w:asciiTheme="minorHAnsi" w:hAnsiTheme="minorHAnsi" w:cs="Arial"/>
          <w:bCs/>
          <w:sz w:val="24"/>
          <w:szCs w:val="24"/>
          <w:lang w:val="en-GB"/>
        </w:rPr>
        <w:instrText>ADDIN CSL_CITATION {"citationItems":[{"id":"ITEM-1","itemData":{"URL":"https://www.unaids.org/en/regionscountries/countries/unitedrepublicoftanzania","accessed":{"date-parts":[["2019","12","31"]]},"author":[{"dropping-particle":"","family":"UN AIDS","given":"","non-dropping-particle":"","parse-names":false,"suffix":""}],"id":"ITEM-1","issued":{"date-parts":[["2018"]]},"title":"United Republic of Tanzania","type":"webpage"},"uris":["http://www.mendeley.com/documents/?uuid=b78dbb63-253b-4bb2-91a3-5a69d0bf4604"]}],"mendeley":{"formattedCitation":"[16]","plainTextFormattedCitation":"[16]","previouslyFormattedCitation":"[16]"},"properties":{"noteIndex":0},"schema":"https://github.com/citation-style-language/schema/raw/master/csl-citation.json"}</w:instrText>
      </w:r>
      <w:r w:rsidR="00C579DB" w:rsidRPr="0052431D">
        <w:rPr>
          <w:rFonts w:asciiTheme="minorHAnsi" w:hAnsiTheme="minorHAnsi" w:cs="Arial"/>
          <w:bCs/>
          <w:sz w:val="24"/>
          <w:szCs w:val="24"/>
          <w:lang w:val="en-GB"/>
        </w:rPr>
        <w:fldChar w:fldCharType="separate"/>
      </w:r>
      <w:r w:rsidR="00315AFC" w:rsidRPr="0052431D">
        <w:rPr>
          <w:rFonts w:asciiTheme="minorHAnsi" w:hAnsiTheme="minorHAnsi" w:cs="Arial"/>
          <w:bCs/>
          <w:noProof/>
          <w:sz w:val="24"/>
          <w:szCs w:val="24"/>
          <w:lang w:val="en-GB"/>
        </w:rPr>
        <w:t>[16]</w:t>
      </w:r>
      <w:r w:rsidR="00C579DB"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Pr="0052431D">
        <w:rPr>
          <w:rFonts w:asciiTheme="minorHAnsi" w:hAnsiTheme="minorHAnsi" w:cs="Arial"/>
          <w:bCs/>
          <w:sz w:val="24"/>
          <w:szCs w:val="24"/>
          <w:lang w:val="en-GB"/>
        </w:rPr>
        <w:t xml:space="preserve"> and double the national prevalence for other community members including fishermen, </w:t>
      </w:r>
      <w:r w:rsidR="00EC1445">
        <w:rPr>
          <w:rFonts w:asciiTheme="minorHAnsi" w:hAnsiTheme="minorHAnsi" w:cs="Arial"/>
          <w:bCs/>
          <w:sz w:val="24"/>
          <w:szCs w:val="24"/>
          <w:lang w:val="en-GB"/>
        </w:rPr>
        <w:t>fish processors or traders</w:t>
      </w:r>
      <w:r w:rsidRPr="0052431D">
        <w:rPr>
          <w:rFonts w:asciiTheme="minorHAnsi" w:hAnsiTheme="minorHAnsi" w:cs="Arial"/>
          <w:bCs/>
          <w:sz w:val="24"/>
          <w:szCs w:val="24"/>
          <w:lang w:val="en-GB"/>
        </w:rPr>
        <w:t xml:space="preserve">, and local residents.  </w:t>
      </w:r>
      <w:r w:rsidR="00137E31" w:rsidRPr="0052431D">
        <w:rPr>
          <w:rFonts w:asciiTheme="minorHAnsi" w:hAnsiTheme="minorHAnsi" w:cs="Arial"/>
          <w:bCs/>
          <w:sz w:val="24"/>
          <w:szCs w:val="24"/>
          <w:lang w:val="en-GB"/>
        </w:rPr>
        <w:t>Syphilis prevalence</w:t>
      </w:r>
      <w:r w:rsidRPr="0052431D">
        <w:rPr>
          <w:rFonts w:asciiTheme="minorHAnsi" w:hAnsiTheme="minorHAnsi" w:cs="Arial"/>
          <w:bCs/>
          <w:sz w:val="24"/>
          <w:szCs w:val="24"/>
          <w:lang w:val="en-GB"/>
        </w:rPr>
        <w:t xml:space="preserve"> in</w:t>
      </w:r>
      <w:r w:rsidR="00137E31" w:rsidRPr="0052431D">
        <w:rPr>
          <w:rFonts w:asciiTheme="minorHAnsi" w:hAnsiTheme="minorHAnsi" w:cs="Arial"/>
          <w:bCs/>
          <w:sz w:val="24"/>
          <w:szCs w:val="24"/>
          <w:lang w:val="en-GB"/>
        </w:rPr>
        <w:t xml:space="preserve"> all occupation groups was</w:t>
      </w:r>
      <w:r w:rsidRPr="0052431D">
        <w:rPr>
          <w:rFonts w:asciiTheme="minorHAnsi" w:hAnsiTheme="minorHAnsi" w:cs="Arial"/>
          <w:bCs/>
          <w:sz w:val="24"/>
          <w:szCs w:val="24"/>
          <w:lang w:val="en-GB"/>
        </w:rPr>
        <w:t xml:space="preserve"> also </w:t>
      </w:r>
      <w:r w:rsidR="00137E31" w:rsidRPr="0052431D">
        <w:rPr>
          <w:rFonts w:asciiTheme="minorHAnsi" w:hAnsiTheme="minorHAnsi" w:cs="Arial"/>
          <w:bCs/>
          <w:sz w:val="24"/>
          <w:szCs w:val="24"/>
          <w:lang w:val="en-GB"/>
        </w:rPr>
        <w:t>markedly higher than the prevalence of 2.5% to 5.4% reported from antenatal clinics</w:t>
      </w:r>
      <w:r w:rsidR="00C579DB" w:rsidRPr="0052431D">
        <w:rPr>
          <w:rFonts w:asciiTheme="minorHAnsi" w:hAnsiTheme="minorHAnsi" w:cs="Arial"/>
          <w:bCs/>
          <w:sz w:val="24"/>
          <w:szCs w:val="24"/>
          <w:lang w:val="en-GB"/>
        </w:rPr>
        <w:t xml:space="preserve"> </w:t>
      </w:r>
      <w:r w:rsidR="00C579DB" w:rsidRPr="0052431D">
        <w:rPr>
          <w:rFonts w:asciiTheme="minorHAnsi" w:hAnsiTheme="minorHAnsi" w:cs="Arial"/>
          <w:bCs/>
          <w:sz w:val="24"/>
          <w:szCs w:val="24"/>
          <w:lang w:val="en-GB"/>
        </w:rPr>
        <w:fldChar w:fldCharType="begin" w:fldLock="1"/>
      </w:r>
      <w:r w:rsidR="00315AFC" w:rsidRPr="0052431D">
        <w:rPr>
          <w:rFonts w:asciiTheme="minorHAnsi" w:hAnsiTheme="minorHAnsi" w:cs="Arial"/>
          <w:bCs/>
          <w:sz w:val="24"/>
          <w:szCs w:val="24"/>
          <w:lang w:val="en-GB"/>
        </w:rPr>
        <w:instrText>ADDIN CSL_CITATION {"citationItems":[{"id":"ITEM-1","itemData":{"DOI":"10.1186/s12889-015-1848-5","ISSN":"1471-2458","PMID":"25994129","abstract":"BACKGROUND The occurrence of HIV-1 and syphilis infections during pregnancy poses major health risks to the foetus due to mother-to-child transmission. We conducted surveillance of HIV and syphilis infections among pregnant women attending antenatal clinics (ANCs) in Mainland Tanzania in 2011. METHODS This surveillance was carried out in 133 ANCs selected from 21 regions in Tanzania. In each region, six ANC sites were selected, with urban, semi-urban, and rural areas contributing two each. All pregnant women who were attending selected sentinel ANC sites for the first time at any pregnancy between September and December 2011 were enrolled. Serial ELISA assays were performed to detect HIV infection in an unlinked anonymous manner using dried blood spot (DBS) after routine syphilis testing. Data analysis was conducted using Stata v.12 software. RESULTS A total of 39,698 pregnant women representing 2.4 % of all pregnant women (1.68 million) attending ANCs in the Mainland Tanzania were enrolled. The overall HIV prevalence was found to be 5.6 % (95 % CI: 5.4-5.8 %). The risk for HIV infection was significantly higher among women aged 25-34 (cOR = 1.97, 95 % CI: 1.79-2.16; p &lt; 0.05), older than 35 years (cOR = 1.88, 95 % CI: 1.62-2.17; p &lt; 0.05) and those having 1-2 and 3-4 previous pregnancies. HIV infection was less prevalent among women attending rural ANC clinics (cOR = 0.46, 95 % CI 0.4-0.52; p &lt; 0.05). The overall syphilis prevalence was 2.5 % (95 % CI: 2.3, 3.6). The risk for syphilis infection was significantly higher among women attending semi-urban and rural clinics and those having 3-4, and 5 previous pregnancies (p &lt; 0.05). Marital status and level of education were not statistically significant with either of the two infections. HIV and syphilis co-infections occurred in 109 of 38,928 (0.3 %). CONCLUSION The overall prevalence of HIV infection (5.6 %) and syphilis (2.5 %) found among pregnant women attending ANC clinics in Tanzania calls for further strengthening of current intervention measures, which include scaling up the integration of prevention of mother to child transmission (PMTCT) services in Reproductive and Child Health (RCH) clinics.","author":[{"dropping-particle":"","family":"Manyahi","given":"Joel","non-dropping-particle":"","parse-names":false,"suffix":""},{"dropping-particle":"","family":"Jullu","given":"Boniphace S","non-dropping-particle":"","parse-names":false,"suffix":""},{"dropping-particle":"","family":"Abuya","given":"Mathias I","non-dropping-particle":"","parse-names":false,"suffix":""},{"dropping-particle":"","family":"Juma","given":"James","non-dropping-particle":"","parse-names":false,"suffix":""},{"dropping-particle":"","family":"Ndayongeje","given":"Joel","non-dropping-particle":"","parse-names":false,"suffix":""},{"dropping-particle":"","family":"Kilama","given":"Bonita","non-dropping-particle":"","parse-names":false,"suffix":""},{"dropping-particle":"","family":"Sambu","given":"Veryeh","non-dropping-particle":"","parse-names":false,"suffix":""},{"dropping-particle":"","family":"Nondi","given":"Josef","non-dropping-particle":"","parse-names":false,"suffix":""},{"dropping-particle":"","family":"Rabiel","given":"Bernard","non-dropping-particle":"","parse-names":false,"suffix":""},{"dropping-particle":"","family":"Somi","given":"Geoffrey","non-dropping-particle":"","parse-names":false,"suffix":""},{"dropping-particle":"","family":"Matee","given":"Mecky I","non-dropping-particle":"","parse-names":false,"suffix":""}],"container-title":"BMC Public Health","id":"ITEM-1","issue":"1","issued":{"date-parts":[["2015","5","22"]]},"page":"501","title":"Prevalence of HIV and syphilis infections among pregnant women attending antenatal clinics in Tanzania, 2011.","type":"article-journal","volume":"15"},"uris":["http://www.mendeley.com/documents/?uuid=e506a0d2-c1ab-33f9-b2a9-eeb1d3ba1aff"]},{"id":"ITEM-2","itemData":{"DOI":"10.1136/sextrans-2014-051952","author":[{"dropping-particle":"","family":"Hokororo","given":"Adolfine","non-dropping-particle":"","parse-names":false,"suffix":""},{"dropping-particle":"","family":"Kihunrwa","given":"Albert F","non-dropping-particle":"","parse-names":false,"suffix":""},{"dropping-particle":"","family":"Hoekstra","given":"Pytsje","non-dropping-particle":"","parse-names":false,"suffix":""},{"dropping-particle":"","family":"Kalluvya","given":"Samuel E","non-dropping-particle":"","parse-names":false,"suffix":""},{"dropping-particle":"","family":"Changalucha","given":"J","non-dropping-particle":"","parse-names":false,"suffix":""},{"dropping-particle":"","family":"Fitzgerald","given":"DW","non-dropping-particle":"","parse-names":false,"suffix":""},{"dropping-particle":"","family":"Downs","given":"JA","non-dropping-particle":"","parse-names":false,"suffix":""}],"container-title":"Sex Transm Infect","id":"ITEM-2","issue":"7","issued":{"date-parts":[["2015"]]},"page":"473-8","title":"High prevalence of sexually transmitted infections in pregnant adolescent girls in Tanzania: a multi-community cross-sectional study.","type":"article-journal","volume":"91"},"uris":["http://www.mendeley.com/documents/?uuid=2d7e073b-f67c-46ea-a46a-96f2854d6ea1"]}],"mendeley":{"formattedCitation":"[17,18]","plainTextFormattedCitation":"[17,18]","previouslyFormattedCitation":"[17,18]"},"properties":{"noteIndex":0},"schema":"https://github.com/citation-style-language/schema/raw/master/csl-citation.json"}</w:instrText>
      </w:r>
      <w:r w:rsidR="00C579DB" w:rsidRPr="0052431D">
        <w:rPr>
          <w:rFonts w:asciiTheme="minorHAnsi" w:hAnsiTheme="minorHAnsi" w:cs="Arial"/>
          <w:bCs/>
          <w:sz w:val="24"/>
          <w:szCs w:val="24"/>
          <w:lang w:val="en-GB"/>
        </w:rPr>
        <w:fldChar w:fldCharType="separate"/>
      </w:r>
      <w:r w:rsidR="00315AFC" w:rsidRPr="0052431D">
        <w:rPr>
          <w:rFonts w:asciiTheme="minorHAnsi" w:hAnsiTheme="minorHAnsi" w:cs="Arial"/>
          <w:bCs/>
          <w:noProof/>
          <w:sz w:val="24"/>
          <w:szCs w:val="24"/>
          <w:lang w:val="en-GB"/>
        </w:rPr>
        <w:t>[17,18]</w:t>
      </w:r>
      <w:r w:rsidR="00C579DB"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00137E31" w:rsidRPr="0052431D">
        <w:rPr>
          <w:rFonts w:asciiTheme="minorHAnsi" w:hAnsiTheme="minorHAnsi" w:cs="Arial"/>
          <w:bCs/>
          <w:sz w:val="24"/>
          <w:szCs w:val="24"/>
          <w:lang w:val="en-GB"/>
        </w:rPr>
        <w:t xml:space="preserve"> </w:t>
      </w:r>
      <w:r w:rsidR="00984A57" w:rsidRPr="0052431D">
        <w:rPr>
          <w:rFonts w:asciiTheme="minorHAnsi" w:hAnsiTheme="minorHAnsi" w:cs="Arial"/>
          <w:bCs/>
          <w:sz w:val="24"/>
          <w:szCs w:val="24"/>
          <w:lang w:val="en-GB"/>
        </w:rPr>
        <w:t>Additionally, t</w:t>
      </w:r>
      <w:r w:rsidR="00137E31" w:rsidRPr="0052431D">
        <w:rPr>
          <w:rFonts w:asciiTheme="minorHAnsi" w:hAnsiTheme="minorHAnsi" w:cs="Arial"/>
          <w:bCs/>
          <w:sz w:val="24"/>
          <w:szCs w:val="24"/>
          <w:lang w:val="en-GB"/>
        </w:rPr>
        <w:t xml:space="preserve">he </w:t>
      </w:r>
      <w:r w:rsidR="00984A57" w:rsidRPr="0052431D">
        <w:rPr>
          <w:rFonts w:asciiTheme="minorHAnsi" w:hAnsiTheme="minorHAnsi" w:cs="Arial"/>
          <w:bCs/>
          <w:sz w:val="24"/>
          <w:szCs w:val="24"/>
          <w:lang w:val="en-GB"/>
        </w:rPr>
        <w:t xml:space="preserve">observed </w:t>
      </w:r>
      <w:r w:rsidR="00D03CE9" w:rsidRPr="0052431D">
        <w:rPr>
          <w:rFonts w:asciiTheme="minorHAnsi" w:hAnsiTheme="minorHAnsi" w:cs="Arial"/>
          <w:bCs/>
          <w:sz w:val="24"/>
          <w:szCs w:val="24"/>
          <w:lang w:val="en-GB"/>
        </w:rPr>
        <w:t xml:space="preserve">community </w:t>
      </w:r>
      <w:r w:rsidR="00137E31" w:rsidRPr="0052431D">
        <w:rPr>
          <w:rFonts w:asciiTheme="minorHAnsi" w:hAnsiTheme="minorHAnsi" w:cs="Arial"/>
          <w:bCs/>
          <w:sz w:val="24"/>
          <w:szCs w:val="24"/>
          <w:lang w:val="en-GB"/>
        </w:rPr>
        <w:t>prevalence of schistosome infection of 83% is</w:t>
      </w:r>
      <w:r w:rsidR="00D03CE9" w:rsidRPr="0052431D">
        <w:rPr>
          <w:rFonts w:asciiTheme="minorHAnsi" w:hAnsiTheme="minorHAnsi" w:cs="Arial"/>
          <w:bCs/>
          <w:sz w:val="24"/>
          <w:szCs w:val="24"/>
          <w:lang w:val="en-GB"/>
        </w:rPr>
        <w:t xml:space="preserve"> among the </w:t>
      </w:r>
      <w:r w:rsidR="00137E31" w:rsidRPr="0052431D">
        <w:rPr>
          <w:rFonts w:asciiTheme="minorHAnsi" w:hAnsiTheme="minorHAnsi" w:cs="Arial"/>
          <w:bCs/>
          <w:sz w:val="24"/>
          <w:szCs w:val="24"/>
          <w:lang w:val="en-GB"/>
        </w:rPr>
        <w:t>highest reported</w:t>
      </w:r>
      <w:r w:rsidR="00D03CE9" w:rsidRPr="0052431D">
        <w:rPr>
          <w:rFonts w:asciiTheme="minorHAnsi" w:hAnsiTheme="minorHAnsi" w:cs="Arial"/>
          <w:bCs/>
          <w:sz w:val="24"/>
          <w:szCs w:val="24"/>
          <w:lang w:val="en-GB"/>
        </w:rPr>
        <w:t xml:space="preserve"> globally</w:t>
      </w:r>
      <w:r w:rsidR="00137E31" w:rsidRPr="0052431D">
        <w:rPr>
          <w:rFonts w:asciiTheme="minorHAnsi" w:hAnsiTheme="minorHAnsi" w:cs="Arial"/>
          <w:bCs/>
          <w:sz w:val="24"/>
          <w:szCs w:val="24"/>
          <w:lang w:val="en-GB"/>
        </w:rPr>
        <w:t xml:space="preserve">. </w:t>
      </w:r>
    </w:p>
    <w:p w14:paraId="65A0A80F" w14:textId="77777777" w:rsidR="00137E31" w:rsidRPr="0052431D" w:rsidRDefault="00137E31" w:rsidP="00C74418">
      <w:pPr>
        <w:spacing w:after="0" w:line="360" w:lineRule="auto"/>
        <w:jc w:val="both"/>
        <w:rPr>
          <w:rFonts w:asciiTheme="minorHAnsi" w:hAnsiTheme="minorHAnsi" w:cs="Arial"/>
          <w:bCs/>
          <w:sz w:val="24"/>
          <w:szCs w:val="24"/>
          <w:lang w:val="en-GB"/>
        </w:rPr>
      </w:pPr>
    </w:p>
    <w:p w14:paraId="44455B28" w14:textId="2044B99B" w:rsidR="00FF6075" w:rsidRDefault="008A2ACD"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We report </w:t>
      </w:r>
      <w:r w:rsidR="00E51EF3">
        <w:rPr>
          <w:rFonts w:asciiTheme="minorHAnsi" w:hAnsiTheme="minorHAnsi" w:cs="Arial"/>
          <w:bCs/>
          <w:sz w:val="24"/>
          <w:szCs w:val="24"/>
          <w:lang w:val="en-GB"/>
        </w:rPr>
        <w:t xml:space="preserve">the alarming finding </w:t>
      </w:r>
      <w:r w:rsidRPr="0052431D">
        <w:rPr>
          <w:rFonts w:asciiTheme="minorHAnsi" w:hAnsiTheme="minorHAnsi" w:cs="Arial"/>
          <w:bCs/>
          <w:sz w:val="24"/>
          <w:szCs w:val="24"/>
          <w:lang w:val="en-GB"/>
        </w:rPr>
        <w:t xml:space="preserve">that more than 15% of adults residing in Tanzanian fishing </w:t>
      </w:r>
      <w:r w:rsidR="000A3D80">
        <w:rPr>
          <w:rFonts w:asciiTheme="minorHAnsi" w:hAnsiTheme="minorHAnsi" w:cs="Arial"/>
          <w:bCs/>
          <w:sz w:val="24"/>
          <w:szCs w:val="24"/>
          <w:lang w:val="en-GB"/>
        </w:rPr>
        <w:t>communities</w:t>
      </w:r>
      <w:r w:rsidRPr="0052431D">
        <w:rPr>
          <w:rFonts w:asciiTheme="minorHAnsi" w:hAnsiTheme="minorHAnsi" w:cs="Arial"/>
          <w:bCs/>
          <w:sz w:val="24"/>
          <w:szCs w:val="24"/>
          <w:lang w:val="en-GB"/>
        </w:rPr>
        <w:t xml:space="preserve"> on Lake Victoria have syphilis infection,</w:t>
      </w:r>
      <w:r w:rsidR="00E51EF3">
        <w:rPr>
          <w:rFonts w:asciiTheme="minorHAnsi" w:hAnsiTheme="minorHAnsi" w:cs="Arial"/>
          <w:bCs/>
          <w:sz w:val="24"/>
          <w:szCs w:val="24"/>
          <w:lang w:val="en-GB"/>
        </w:rPr>
        <w:t xml:space="preserve"> </w:t>
      </w:r>
      <w:r w:rsidR="00E51EF3" w:rsidRPr="0052431D">
        <w:rPr>
          <w:rFonts w:asciiTheme="minorHAnsi" w:hAnsiTheme="minorHAnsi" w:cs="Arial"/>
          <w:bCs/>
          <w:sz w:val="24"/>
          <w:szCs w:val="24"/>
          <w:lang w:val="en-GB"/>
        </w:rPr>
        <w:t>a treatable STI that poses major risks for neonatal mortality and is associated with a</w:t>
      </w:r>
      <w:r w:rsidR="00E51EF3">
        <w:rPr>
          <w:rFonts w:asciiTheme="minorHAnsi" w:hAnsiTheme="minorHAnsi" w:cs="Arial"/>
          <w:bCs/>
          <w:sz w:val="24"/>
          <w:szCs w:val="24"/>
          <w:lang w:val="en-GB"/>
        </w:rPr>
        <w:t xml:space="preserve">n </w:t>
      </w:r>
      <w:r w:rsidR="00E51EF3" w:rsidRPr="0052431D">
        <w:rPr>
          <w:rFonts w:asciiTheme="minorHAnsi" w:hAnsiTheme="minorHAnsi" w:cs="Arial"/>
          <w:bCs/>
          <w:sz w:val="24"/>
          <w:szCs w:val="24"/>
          <w:lang w:val="en-GB"/>
        </w:rPr>
        <w:t xml:space="preserve">increased risk of HIV acquisition </w:t>
      </w:r>
      <w:r w:rsidR="00E51EF3" w:rsidRPr="0052431D">
        <w:rPr>
          <w:rFonts w:asciiTheme="minorHAnsi" w:hAnsiTheme="minorHAnsi" w:cs="Arial"/>
          <w:bCs/>
          <w:sz w:val="24"/>
          <w:szCs w:val="24"/>
          <w:lang w:val="en-GB"/>
        </w:rPr>
        <w:fldChar w:fldCharType="begin" w:fldLock="1"/>
      </w:r>
      <w:r w:rsidR="00E51EF3" w:rsidRPr="0052431D">
        <w:rPr>
          <w:rFonts w:asciiTheme="minorHAnsi" w:hAnsiTheme="minorHAnsi" w:cs="Arial"/>
          <w:bCs/>
          <w:sz w:val="24"/>
          <w:szCs w:val="24"/>
          <w:lang w:val="en-GB"/>
        </w:rPr>
        <w:instrText>ADDIN CSL_CITATION {"citationItems":[{"id":"ITEM-1","itemData":{"DOI":"10.1097/01.qai.0000200662.40215.34","ISSN":"1525-4135","PMID":"16763500","abstract":"OBJECTIVES We identified risks for HIV seroconversion among public sexually transmitted disease (STD) clinic patients. DESIGN This was a retrospective cohort study conducted January 1993 through October 2002 of STD clinic attendees aged &gt; or =12 years in Baltimore, Maryland. METHODS A negative HIV enzyme immunoassay (EIA) test was required for staggered cohort entry. Observation time was 30 days to 3 years. The outcome for multivariate Poisson regression was HIV seroconversion (positive EIA and/or Western blot test) compared among patients with or without sexual risk behaviors, drug use, an STD diagnosis, and signs and symptoms at an initial HIV test. RESULTS One hundred twenty-five HIV seroconversions occurred among 10,535 individuals and 13,693 person-years of observation, for an incidence of 0.91 HIV seroconversions per 100 person-years (95% confidence interval [CI]: 0.76 to 1.09). Median time to HIV seroconversion was 1.54 years (95% CI: 1.11 to 1.73). In multivariate analysis, increased HIV seroconversion risk was associated with older age, drug use, a sexual partner with syphilis or HIV, genital ulcers, and gonorrhea. HIV incidence per 100 person-years was 4.86 for subjects with an HIV-positive sexual partner, 3.06 for those with injection drug use, and 2.40 for those with genital ulcers. CONCLUSIONS We found a high rate of HIV seroconversion among STD clinic patients with specific risks. Algorithms with HIV RNA testing targeted to patients at the highest risk for seroconversion may optimize prevention and resource utilization.","author":[{"dropping-particle":"","family":"Mehta","given":"Supriya D.","non-dropping-particle":"","parse-names":false,"suffix":""},{"dropping-particle":"","family":"Ghanem","given":"Khalil G.","non-dropping-particle":"","parse-names":false,"suffix":""},{"dropping-particle":"","family":"Rompalo","given":"Anne M.","non-dropping-particle":"","parse-names":false,"suffix":""},{"dropping-particle":"","family":"Erbelding","given":"Emily J.","non-dropping-particle":"","parse-names":false,"suffix":""}],"container-title":"J Acquir Immun Defic Syn","id":"ITEM-1","issue":"1","issued":{"date-parts":[["2006","5"]]},"page":"116-122","title":"HIV Seroconversion Among Public Sexually Transmitted Disease Clinic Patients","type":"article-journal","volume":"42"},"uris":["http://www.mendeley.com/documents/?uuid=377355ed-5692-36c5-9bb1-ec6cee38de6c"]}],"mendeley":{"formattedCitation":"[19]","plainTextFormattedCitation":"[19]","previouslyFormattedCitation":"[19]"},"properties":{"noteIndex":0},"schema":"https://github.com/citation-style-language/schema/raw/master/csl-citation.json"}</w:instrText>
      </w:r>
      <w:r w:rsidR="00E51EF3" w:rsidRPr="0052431D">
        <w:rPr>
          <w:rFonts w:asciiTheme="minorHAnsi" w:hAnsiTheme="minorHAnsi" w:cs="Arial"/>
          <w:bCs/>
          <w:sz w:val="24"/>
          <w:szCs w:val="24"/>
          <w:lang w:val="en-GB"/>
        </w:rPr>
        <w:fldChar w:fldCharType="separate"/>
      </w:r>
      <w:r w:rsidR="00E51EF3" w:rsidRPr="0052431D">
        <w:rPr>
          <w:rFonts w:asciiTheme="minorHAnsi" w:hAnsiTheme="minorHAnsi" w:cs="Arial"/>
          <w:bCs/>
          <w:noProof/>
          <w:sz w:val="24"/>
          <w:szCs w:val="24"/>
          <w:lang w:val="en-GB"/>
        </w:rPr>
        <w:t>[19]</w:t>
      </w:r>
      <w:r w:rsidR="00E51EF3" w:rsidRPr="0052431D">
        <w:rPr>
          <w:rFonts w:asciiTheme="minorHAnsi" w:hAnsiTheme="minorHAnsi" w:cs="Arial"/>
          <w:bCs/>
          <w:sz w:val="24"/>
          <w:szCs w:val="24"/>
          <w:lang w:val="en-GB"/>
        </w:rPr>
        <w:fldChar w:fldCharType="end"/>
      </w:r>
      <w:r w:rsidR="00E51EF3">
        <w:rPr>
          <w:rFonts w:asciiTheme="minorHAnsi" w:hAnsiTheme="minorHAnsi" w:cs="Arial"/>
          <w:bCs/>
          <w:sz w:val="24"/>
          <w:szCs w:val="24"/>
          <w:lang w:val="en-GB"/>
        </w:rPr>
        <w:t>.</w:t>
      </w:r>
      <w:r w:rsidR="00E51EF3" w:rsidRPr="0052431D">
        <w:rPr>
          <w:rFonts w:asciiTheme="minorHAnsi" w:hAnsiTheme="minorHAnsi" w:cs="Arial"/>
          <w:bCs/>
          <w:sz w:val="24"/>
          <w:szCs w:val="24"/>
          <w:lang w:val="en-GB"/>
        </w:rPr>
        <w:t xml:space="preserve"> </w:t>
      </w:r>
      <w:r w:rsidR="00E51EF3">
        <w:rPr>
          <w:rFonts w:asciiTheme="minorHAnsi" w:hAnsiTheme="minorHAnsi" w:cs="Arial"/>
          <w:bCs/>
          <w:sz w:val="24"/>
          <w:szCs w:val="24"/>
          <w:lang w:val="en-GB"/>
        </w:rPr>
        <w:t>Syphilis was documented in</w:t>
      </w:r>
      <w:r w:rsidRPr="0052431D">
        <w:rPr>
          <w:rFonts w:asciiTheme="minorHAnsi" w:hAnsiTheme="minorHAnsi" w:cs="Arial"/>
          <w:bCs/>
          <w:sz w:val="24"/>
          <w:szCs w:val="24"/>
          <w:lang w:val="en-GB"/>
        </w:rPr>
        <w:t xml:space="preserve"> </w:t>
      </w:r>
      <w:r w:rsidR="00B46DD0" w:rsidRPr="0052431D">
        <w:rPr>
          <w:rFonts w:asciiTheme="minorHAnsi" w:hAnsiTheme="minorHAnsi" w:cs="Arial"/>
          <w:bCs/>
          <w:sz w:val="24"/>
          <w:szCs w:val="24"/>
          <w:lang w:val="en-GB"/>
        </w:rPr>
        <w:t xml:space="preserve">approximately 1 in 10 community members and 1 in 4 female recreational facility workers. </w:t>
      </w:r>
      <w:r w:rsidR="00E563C8" w:rsidRPr="0052431D">
        <w:rPr>
          <w:rFonts w:asciiTheme="minorHAnsi" w:hAnsiTheme="minorHAnsi" w:cs="Arial"/>
          <w:bCs/>
          <w:sz w:val="24"/>
          <w:szCs w:val="24"/>
          <w:lang w:val="en-GB"/>
        </w:rPr>
        <w:t xml:space="preserve">Primary syphilis, during which a genital ulcer is present, is likely the time of greatest risk </w:t>
      </w:r>
      <w:r w:rsidR="005A01D3" w:rsidRPr="0052431D">
        <w:rPr>
          <w:rFonts w:asciiTheme="minorHAnsi" w:hAnsiTheme="minorHAnsi" w:cs="Arial"/>
          <w:bCs/>
          <w:sz w:val="24"/>
          <w:szCs w:val="24"/>
          <w:lang w:val="en-GB"/>
        </w:rPr>
        <w:t xml:space="preserve">of </w:t>
      </w:r>
      <w:r w:rsidR="00E563C8" w:rsidRPr="0052431D">
        <w:rPr>
          <w:rFonts w:asciiTheme="minorHAnsi" w:hAnsiTheme="minorHAnsi" w:cs="Arial"/>
          <w:bCs/>
          <w:sz w:val="24"/>
          <w:szCs w:val="24"/>
          <w:lang w:val="en-GB"/>
        </w:rPr>
        <w:t>HIV acquisition and</w:t>
      </w:r>
      <w:r w:rsidR="004C45E6" w:rsidRPr="0052431D">
        <w:rPr>
          <w:rFonts w:asciiTheme="minorHAnsi" w:hAnsiTheme="minorHAnsi" w:cs="Arial"/>
          <w:bCs/>
          <w:sz w:val="24"/>
          <w:szCs w:val="24"/>
          <w:lang w:val="en-GB"/>
        </w:rPr>
        <w:t xml:space="preserve"> also of</w:t>
      </w:r>
      <w:r w:rsidR="00E563C8" w:rsidRPr="0052431D">
        <w:rPr>
          <w:rFonts w:asciiTheme="minorHAnsi" w:hAnsiTheme="minorHAnsi" w:cs="Arial"/>
          <w:bCs/>
          <w:sz w:val="24"/>
          <w:szCs w:val="24"/>
          <w:lang w:val="en-GB"/>
        </w:rPr>
        <w:t xml:space="preserve"> onward HIV transmission due to increased HIV-1 genital viral shedding </w:t>
      </w:r>
      <w:r w:rsidR="00A0277B">
        <w:rPr>
          <w:rFonts w:asciiTheme="minorHAnsi" w:hAnsiTheme="minorHAnsi" w:cs="Arial"/>
          <w:bCs/>
          <w:sz w:val="24"/>
          <w:szCs w:val="24"/>
          <w:lang w:val="en-GB"/>
        </w:rPr>
        <w:t xml:space="preserve">and the compromised mucosal barrier </w:t>
      </w:r>
      <w:r w:rsidR="00E563C8" w:rsidRPr="0052431D">
        <w:rPr>
          <w:rFonts w:asciiTheme="minorHAnsi" w:hAnsiTheme="minorHAnsi" w:cs="Arial"/>
          <w:bCs/>
          <w:sz w:val="24"/>
          <w:szCs w:val="24"/>
          <w:lang w:val="en-GB"/>
        </w:rPr>
        <w:fldChar w:fldCharType="begin" w:fldLock="1"/>
      </w:r>
      <w:r w:rsidR="002520E8" w:rsidRPr="0052431D">
        <w:rPr>
          <w:rFonts w:asciiTheme="minorHAnsi" w:hAnsiTheme="minorHAnsi" w:cs="Arial"/>
          <w:bCs/>
          <w:sz w:val="24"/>
          <w:szCs w:val="24"/>
          <w:lang w:val="en-GB"/>
        </w:rPr>
        <w:instrText>ADDIN CSL_CITATION {"citationItems":[{"id":"ITEM-1","itemData":{"DOI":"10.1093/infdis/jir747","ISSN":"1537-6613","PMID":"22241800","abstract":"BACKGROUND: Knowledge of factors that affect per-act infectivity of human immunodeficiency virus type 1 (HIV-1) is important for designing HIV-1 prevention interventions and for the mathematical modeling of the spread of HIV-1. METHODS: We analyzed data from a prospective study of African HIV-1-serodiscordant couples. We assessed transmissions for linkage within the study partnership, based on HIV-1 sequencing. The primary exposure measure was the HIV-1-seropositive partners' reports of number of sex acts and condom use with their study partner. RESULTS: Of 3297 couples experiencing 86 linked HIV-1 transmissions, the unadjusted per-act risks of unprotected male-to-female (MTF) and female-to-male (FTM) transmission were 0.0019 (95% confidence interval [CI], .0010-.0037) and 0.0010 (95% CI, .00060-.0017), respectively. After adjusting for plasma HIV-1 RNA of the HIV-1-infected partner and herpes simplex virus type 2 serostatus and age of the HIV-1-uninfected partner, we calculated the relative risk (RR) for MTF versus FTM transmission to be 1.03 (P = .93). Each log(10) increase in plasma HIV-1 RNA increased the per-act risk of transmission by 2.9-fold (95% CI, 2.2-3.8). Self-reported condom use reduced the per-act risk by 78% (RR = 0.22 [95% CI, .11-.42]). CONCLUSIONS: Modifiable risk factors for HIV-1 transmission were plasma HIV-1 RNA level and condom use, and, in HIV-1-uninfected partners, herpes simplex virus 2 infection, genital ulcers, Trichomonas vaginalis, vaginitis or cervicitis, and male circumcision.","author":[{"dropping-particle":"","family":"Hughes","given":"James P","non-dropping-particle":"","parse-names":false,"suffix":""},{"dropping-particle":"","family":"Baeten","given":"Jared M","non-dropping-particle":"","parse-names":false,"suffix":""},{"dropping-particle":"","family":"Lingappa","given":"Jairam R","non-dropping-particle":"","parse-names":false,"suffix":""},{"dropping-particle":"","family":"Magaret","given":"Amalia S","non-dropping-particle":"","parse-names":false,"suffix":""},{"dropping-particle":"","family":"Wald","given":"Anna","non-dropping-particle":"","parse-names":false,"suffix":""},{"dropping-particle":"","family":"Bruyn","given":"Guy","non-dropping-particle":"de","parse-names":false,"suffix":""},{"dropping-particle":"","family":"Kiarie","given":"James","non-dropping-particle":"","parse-names":false,"suffix":""},{"dropping-particle":"","family":"Inambao","given":"Mubiana","non-dropping-particle":"","parse-names":false,"suffix":""},{"dropping-particle":"","family":"Kilembe","given":"William","non-dropping-particle":"","parse-names":false,"suffix":""},{"dropping-particle":"","family":"Farquhar","given":"Carey","non-dropping-particle":"","parse-names":false,"suffix":""},{"dropping-particle":"","family":"Celum","given":"Connie","non-dropping-particle":"","parse-names":false,"suffix":""}],"container-title":"J Infect Dis","id":"ITEM-1","issue":"3","issued":{"date-parts":[["2012","2","1"]]},"page":"358-65","title":"Determinants of per-coital-act HIV-1 infectivity among African HIV-1-serodiscordant couples.","type":"article-journal","volume":"205"},"uris":["http://www.mendeley.com/documents/?uuid=4ae7755e-40ab-43cc-8282-c56e56cac03c"]},{"id":"ITEM-2","itemData":{"DOI":"10.1097/OLQ.0b013e3181812d15","ISSN":"1537-4521","PMID":"18685546","abstract":"This article reviews the effect of genital tract infections and associated clinical conditions on the detection and concentration of HIV-1 shedding in the genital tract. A search of the PubMed, Embase, and AIDSearch databases was conducted. Meta-analysis was performed on those studies that reported the effect of genital tract infections on the detection of HIV-1 shedding. Thirty-nine studies met the inclusion criteria. The odds of HIV-1 detection in the genital tract were increased most substantially by urethritis (OR 3.1, 95% CI: 1.1-8.6) and cervicitis (OR 2.7, 95% CI: 1.4-5.2). The odds of HIV-1 detection were also increased significantly in the presence of cervical discharge or mucopus (OR 1.8, 95% CI: 1.2-2.7), gonorrhoea (OR 1.8, 95% CI: 1.2-2.7), chlamydial infection (OR 1.8, 95% CI: 1.1-3.1), and vulvovaginal candidiasis (OR 1.8, 95% CI: 1.3-2.4). Other infections and clinical conditions were found to have no significant effect on the detection of HIV-1, although HSV-2 shedding was found to increase the concentration of HIV-1 shedding, and genital ulcer disease was found to increase the odds of HIV-1 detection significantly after excluding one biased study (OR 2.4, 95% CI: 1.2-4.9). This analysis shows that infections that are associated with significant increases in leukocyte concentrations in the genital tract are also associated with significant increases in HIV-1 shedding. These infections are likely to be particularly important in promoting the sexual transmission and mother-to-child intrapartum transmission of HIV-1, and should therefore be the focus of HIV prevention strategies.","author":[{"dropping-particle":"","family":"Johnson","given":"Leigh F","non-dropping-particle":"","parse-names":false,"suffix":""},{"dropping-particle":"","family":"Lewis","given":"David A","non-dropping-particle":"","parse-names":false,"suffix":""}],"container-title":"Sex Transm Dis","id":"ITEM-2","issue":"11","issued":{"date-parts":[["2008","11"]]},"page":"946-59","title":"The effect of genital tract infections on HIV-1 shedding in the genital tract: a systematic review and meta-analysis.","type":"article-journal","volume":"35"},"uris":["http://www.mendeley.com/documents/?uuid=545ce11e-08fc-3f7b-876c-d6d76d6220f4"]}],"mendeley":{"formattedCitation":"[20,21]","plainTextFormattedCitation":"[20,21]","previouslyFormattedCitation":"[20,21]"},"properties":{"noteIndex":0},"schema":"https://github.com/citation-style-language/schema/raw/master/csl-citation.json"}</w:instrText>
      </w:r>
      <w:r w:rsidR="00E563C8" w:rsidRPr="0052431D">
        <w:rPr>
          <w:rFonts w:asciiTheme="minorHAnsi" w:hAnsiTheme="minorHAnsi" w:cs="Arial"/>
          <w:bCs/>
          <w:sz w:val="24"/>
          <w:szCs w:val="24"/>
          <w:lang w:val="en-GB"/>
        </w:rPr>
        <w:fldChar w:fldCharType="separate"/>
      </w:r>
      <w:r w:rsidR="004C45E6" w:rsidRPr="0052431D">
        <w:rPr>
          <w:rFonts w:asciiTheme="minorHAnsi" w:hAnsiTheme="minorHAnsi" w:cs="Arial"/>
          <w:bCs/>
          <w:noProof/>
          <w:sz w:val="24"/>
          <w:szCs w:val="24"/>
          <w:lang w:val="en-GB"/>
        </w:rPr>
        <w:t>[20,21]</w:t>
      </w:r>
      <w:r w:rsidR="00E563C8"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00E563C8" w:rsidRPr="0052431D">
        <w:rPr>
          <w:rFonts w:asciiTheme="minorHAnsi" w:hAnsiTheme="minorHAnsi" w:cs="Arial"/>
          <w:bCs/>
          <w:sz w:val="24"/>
          <w:szCs w:val="24"/>
          <w:lang w:val="en-GB"/>
        </w:rPr>
        <w:t xml:space="preserve"> Although we did not collect data about </w:t>
      </w:r>
      <w:r w:rsidR="00ED578E">
        <w:rPr>
          <w:rFonts w:asciiTheme="minorHAnsi" w:hAnsiTheme="minorHAnsi" w:cs="Arial"/>
          <w:bCs/>
          <w:sz w:val="24"/>
          <w:szCs w:val="24"/>
          <w:lang w:val="en-GB"/>
        </w:rPr>
        <w:t xml:space="preserve">the </w:t>
      </w:r>
      <w:r w:rsidR="00E563C8" w:rsidRPr="0052431D">
        <w:rPr>
          <w:rFonts w:asciiTheme="minorHAnsi" w:hAnsiTheme="minorHAnsi" w:cs="Arial"/>
          <w:bCs/>
          <w:sz w:val="24"/>
          <w:szCs w:val="24"/>
          <w:lang w:val="en-GB"/>
        </w:rPr>
        <w:t xml:space="preserve">history of treatment, </w:t>
      </w:r>
      <w:r w:rsidR="00FF6075" w:rsidRPr="0052431D">
        <w:rPr>
          <w:rFonts w:asciiTheme="minorHAnsi" w:hAnsiTheme="minorHAnsi" w:cs="Arial"/>
          <w:bCs/>
          <w:sz w:val="24"/>
          <w:szCs w:val="24"/>
          <w:lang w:val="en-GB"/>
        </w:rPr>
        <w:t xml:space="preserve">a </w:t>
      </w:r>
      <w:r w:rsidR="00C5141D" w:rsidRPr="0052431D">
        <w:rPr>
          <w:rFonts w:asciiTheme="minorHAnsi" w:hAnsiTheme="minorHAnsi" w:cs="Arial"/>
          <w:bCs/>
          <w:sz w:val="24"/>
          <w:szCs w:val="24"/>
          <w:lang w:val="en-GB"/>
        </w:rPr>
        <w:t>meta-analysis suggests that a</w:t>
      </w:r>
      <w:r w:rsidR="00FF6075" w:rsidRPr="0052431D">
        <w:rPr>
          <w:rFonts w:asciiTheme="minorHAnsi" w:hAnsiTheme="minorHAnsi" w:cs="Arial"/>
          <w:bCs/>
          <w:sz w:val="24"/>
          <w:szCs w:val="24"/>
          <w:lang w:val="en-GB"/>
        </w:rPr>
        <w:t xml:space="preserve"> majority of East Africans with syphilis</w:t>
      </w:r>
      <w:r w:rsidR="00715CA4" w:rsidRPr="0052431D">
        <w:rPr>
          <w:rFonts w:asciiTheme="minorHAnsi" w:hAnsiTheme="minorHAnsi" w:cs="Arial"/>
          <w:bCs/>
          <w:sz w:val="24"/>
          <w:szCs w:val="24"/>
          <w:lang w:val="en-GB"/>
        </w:rPr>
        <w:t xml:space="preserve"> remain untreated</w:t>
      </w:r>
      <w:r w:rsidRPr="0052431D">
        <w:rPr>
          <w:rFonts w:asciiTheme="minorHAnsi" w:hAnsiTheme="minorHAnsi" w:cs="Arial"/>
          <w:bCs/>
          <w:sz w:val="24"/>
          <w:szCs w:val="24"/>
          <w:lang w:val="en-GB"/>
        </w:rPr>
        <w:t xml:space="preserve"> thereby remaining with </w:t>
      </w:r>
      <w:r w:rsidR="00FF6075" w:rsidRPr="0052431D">
        <w:rPr>
          <w:rFonts w:asciiTheme="minorHAnsi" w:hAnsiTheme="minorHAnsi" w:cs="Arial"/>
          <w:bCs/>
          <w:sz w:val="24"/>
          <w:szCs w:val="24"/>
          <w:lang w:val="en-GB"/>
        </w:rPr>
        <w:t>high-</w:t>
      </w:r>
      <w:proofErr w:type="spellStart"/>
      <w:r w:rsidR="00FF6075" w:rsidRPr="0052431D">
        <w:rPr>
          <w:rFonts w:asciiTheme="minorHAnsi" w:hAnsiTheme="minorHAnsi" w:cs="Arial"/>
          <w:bCs/>
          <w:sz w:val="24"/>
          <w:szCs w:val="24"/>
          <w:lang w:val="en-GB"/>
        </w:rPr>
        <w:t>titer</w:t>
      </w:r>
      <w:proofErr w:type="spellEnd"/>
      <w:r w:rsidR="003D11F9">
        <w:rPr>
          <w:rFonts w:asciiTheme="minorHAnsi" w:hAnsiTheme="minorHAnsi" w:cs="Arial"/>
          <w:bCs/>
          <w:sz w:val="24"/>
          <w:szCs w:val="24"/>
          <w:lang w:val="en-GB"/>
        </w:rPr>
        <w:t xml:space="preserve">, ongoing </w:t>
      </w:r>
      <w:r w:rsidRPr="0052431D">
        <w:rPr>
          <w:rFonts w:asciiTheme="minorHAnsi" w:hAnsiTheme="minorHAnsi" w:cs="Arial"/>
          <w:bCs/>
          <w:sz w:val="24"/>
          <w:szCs w:val="24"/>
          <w:lang w:val="en-GB"/>
        </w:rPr>
        <w:t>disease</w:t>
      </w:r>
      <w:r w:rsidR="002520E8" w:rsidRPr="0052431D">
        <w:rPr>
          <w:rFonts w:asciiTheme="minorHAnsi" w:hAnsiTheme="minorHAnsi" w:cs="Arial"/>
          <w:bCs/>
          <w:sz w:val="24"/>
          <w:szCs w:val="24"/>
          <w:lang w:val="en-GB"/>
        </w:rPr>
        <w:t xml:space="preserve"> </w:t>
      </w:r>
      <w:r w:rsidR="002520E8" w:rsidRPr="0052431D">
        <w:rPr>
          <w:rFonts w:asciiTheme="minorHAnsi" w:hAnsiTheme="minorHAnsi" w:cs="Arial"/>
          <w:bCs/>
          <w:sz w:val="24"/>
          <w:szCs w:val="24"/>
          <w:lang w:val="en-GB"/>
        </w:rPr>
        <w:fldChar w:fldCharType="begin" w:fldLock="1"/>
      </w:r>
      <w:r w:rsidR="002520E8" w:rsidRPr="0052431D">
        <w:rPr>
          <w:rFonts w:asciiTheme="minorHAnsi" w:hAnsiTheme="minorHAnsi" w:cs="Arial"/>
          <w:bCs/>
          <w:sz w:val="24"/>
          <w:szCs w:val="24"/>
          <w:lang w:val="en-GB"/>
        </w:rPr>
        <w:instrText>ADDIN CSL_CITATION {"citationItems":[{"id":"ITEM-1","itemData":{"DOI":"10.1371/journal.pmed.1002511","ISSN":"1549-1676","author":[{"dropping-particle":"","family":"Torrone","given":"Elizabeth A.","non-dropping-particle":"","parse-names":false,"suffix":""},{"dropping-particle":"","family":"Morrison","given":"Charles S.","non-dropping-particle":"","parse-names":false,"suffix":""},{"dropping-particle":"","family":"Chen","given":"Pai-Lien","non-dropping-particle":"","parse-names":false,"suffix":""},{"dropping-particle":"","family":"Kwok","given":"Cynthia","non-dropping-particle":"","parse-names":false,"suffix":""},{"dropping-particle":"","family":"Francis","given":"Suzanna C.","non-dropping-particle":"","parse-names":false,"suffix":""},{"dropping-particle":"","family":"Hayes","given":"Richard J.","non-dropping-particle":"","parse-names":false,"suffix":""},{"dropping-particle":"","family":"Looker","given":"Katharine J.","non-dropping-particle":"","parse-names":false,"suffix":""},{"dropping-particle":"","family":"McCormack","given":"Sheena","non-dropping-particle":"","parse-names":false,"suffix":""},{"dropping-particle":"","family":"McGrath","given":"Nuala","non-dropping-particle":"","parse-names":false,"suffix":""},{"dropping-particle":"","family":"Wijgert","given":"Janneke H. H. M.","non-dropping-particle":"van de","parse-names":false,"suffix":""},{"dropping-particle":"","family":"Watson-Jones","given":"Deborah","non-dropping-particle":"","parse-names":false,"suffix":""},{"dropping-particle":"","family":"Low","given":"Nicola","non-dropping-particle":"","parse-names":false,"suffix":""},{"dropping-particle":"","family":"Gottlieb","given":"Sami L.","non-dropping-particle":"","parse-names":false,"suffix":""}],"container-title":"PLoS Med","editor":[{"dropping-particle":"","family":"Byass","given":"Peter","non-dropping-particle":"","parse-names":false,"suffix":""}],"id":"ITEM-1","issue":"2","issued":{"date-parts":[["2018","2","27"]]},"page":"e1002511","title":"Prevalence of sexually transmitted infections and bacterial vaginosis among women in sub-Saharan Africa: An individual participant data meta-analysis of 18 HIV prevention studies","type":"article-journal","volume":"15"},"uris":["http://www.mendeley.com/documents/?uuid=6bcd0cc7-51f7-312b-8330-ffd29177aba2"]}],"mendeley":{"formattedCitation":"[22]","plainTextFormattedCitation":"[22]","previouslyFormattedCitation":"[22]"},"properties":{"noteIndex":0},"schema":"https://github.com/citation-style-language/schema/raw/master/csl-citation.json"}</w:instrText>
      </w:r>
      <w:r w:rsidR="002520E8" w:rsidRPr="0052431D">
        <w:rPr>
          <w:rFonts w:asciiTheme="minorHAnsi" w:hAnsiTheme="minorHAnsi" w:cs="Arial"/>
          <w:bCs/>
          <w:sz w:val="24"/>
          <w:szCs w:val="24"/>
          <w:lang w:val="en-GB"/>
        </w:rPr>
        <w:fldChar w:fldCharType="separate"/>
      </w:r>
      <w:r w:rsidR="002520E8" w:rsidRPr="0052431D">
        <w:rPr>
          <w:rFonts w:asciiTheme="minorHAnsi" w:hAnsiTheme="minorHAnsi" w:cs="Arial"/>
          <w:bCs/>
          <w:noProof/>
          <w:sz w:val="24"/>
          <w:szCs w:val="24"/>
          <w:lang w:val="en-GB"/>
        </w:rPr>
        <w:t>[22]</w:t>
      </w:r>
      <w:r w:rsidR="002520E8"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00C5141D" w:rsidRPr="0052431D">
        <w:rPr>
          <w:rFonts w:asciiTheme="minorHAnsi" w:hAnsiTheme="minorHAnsi" w:cs="Arial"/>
          <w:bCs/>
          <w:sz w:val="24"/>
          <w:szCs w:val="24"/>
          <w:lang w:val="en-GB"/>
        </w:rPr>
        <w:t xml:space="preserve"> </w:t>
      </w:r>
      <w:r w:rsidR="00FE27BC" w:rsidRPr="0052431D">
        <w:rPr>
          <w:rFonts w:asciiTheme="minorHAnsi" w:hAnsiTheme="minorHAnsi" w:cs="Arial"/>
          <w:bCs/>
          <w:sz w:val="24"/>
          <w:szCs w:val="24"/>
          <w:lang w:val="en-GB"/>
        </w:rPr>
        <w:t>Prophylactic doxycycline i</w:t>
      </w:r>
      <w:r w:rsidR="00715CA4" w:rsidRPr="0052431D">
        <w:rPr>
          <w:rFonts w:asciiTheme="minorHAnsi" w:hAnsiTheme="minorHAnsi" w:cs="Arial"/>
          <w:bCs/>
          <w:sz w:val="24"/>
          <w:szCs w:val="24"/>
          <w:lang w:val="en-GB"/>
        </w:rPr>
        <w:t xml:space="preserve">n high-risk populations, either daily or used as post-exposure prophylaxis, </w:t>
      </w:r>
      <w:r w:rsidR="00FE27BC" w:rsidRPr="0052431D">
        <w:rPr>
          <w:rFonts w:asciiTheme="minorHAnsi" w:hAnsiTheme="minorHAnsi" w:cs="Arial"/>
          <w:bCs/>
          <w:sz w:val="24"/>
          <w:szCs w:val="24"/>
          <w:lang w:val="en-GB"/>
        </w:rPr>
        <w:t xml:space="preserve">has been reported to </w:t>
      </w:r>
      <w:r w:rsidR="00E51EF3">
        <w:rPr>
          <w:rFonts w:asciiTheme="minorHAnsi" w:hAnsiTheme="minorHAnsi" w:cs="Arial"/>
          <w:bCs/>
          <w:sz w:val="24"/>
          <w:szCs w:val="24"/>
          <w:lang w:val="en-GB"/>
        </w:rPr>
        <w:t xml:space="preserve">have </w:t>
      </w:r>
      <w:r w:rsidR="00715CA4" w:rsidRPr="0052431D">
        <w:rPr>
          <w:rFonts w:asciiTheme="minorHAnsi" w:hAnsiTheme="minorHAnsi" w:cs="Arial"/>
          <w:bCs/>
          <w:sz w:val="24"/>
          <w:szCs w:val="24"/>
          <w:lang w:val="en-GB"/>
        </w:rPr>
        <w:t xml:space="preserve">significantly decreased the incidence of syphilis and other bacterial STIs </w:t>
      </w:r>
      <w:r w:rsidR="001E6D17" w:rsidRPr="0052431D">
        <w:rPr>
          <w:rFonts w:asciiTheme="minorHAnsi" w:hAnsiTheme="minorHAnsi" w:cs="Arial"/>
          <w:bCs/>
          <w:sz w:val="24"/>
          <w:szCs w:val="24"/>
          <w:lang w:val="en-GB"/>
        </w:rPr>
        <w:fldChar w:fldCharType="begin" w:fldLock="1"/>
      </w:r>
      <w:r w:rsidR="00E073B1" w:rsidRPr="0052431D">
        <w:rPr>
          <w:rFonts w:asciiTheme="minorHAnsi" w:hAnsiTheme="minorHAnsi" w:cs="Arial"/>
          <w:bCs/>
          <w:sz w:val="24"/>
          <w:szCs w:val="24"/>
          <w:lang w:val="en-GB"/>
        </w:rPr>
        <w:instrText>ADDIN CSL_CITATION {"citationItems":[{"id":"ITEM-1","itemData":{"DOI":"10.1097/OLQ.0000000000000216","ISSN":"0148-5717","PMID":"25585069","abstract":"BACKGROUND Incident syphilis infections continue to be especially prevalent among a core group of HIV-infected men who have sex with men (MSM). Because of synergy between syphilis and HIV infections, innovative means for controlling incident syphilis infections are needed. METHODS Thirty MSM who had syphilis twice or more since their HIV diagnosis were randomized to receive either daily doxycycline prophylaxis or contingency management (CM) with incentive payments for remaining free of sexually transmitted diseases (STDs). Participants were tested for the bacterial STDs gonorrhea (Neisseria gonorrhoeae), chlamydia (Chlamydia trachomatis) and syphilis at weeks 12, 24, 36, and 48 and completed a behavioral risk questionnaire during each visit to assess number of partners, condom use, and drug use since the last visit. Generalized linear mixed models were used to analyze differences between arms in STD incidence and risk behaviors at follow-up. RESULTS Doxycycline arm participants were significantly less likely to test positive for any selected bacterial STD during 48 weeks of follow-up (odds ratio, 0.27; confidence interval, 0.09-0.83) compared with CM arm participants (P = 0.02).There were no significant self-reported risk behavior differences between the doxycycline and CM arms at follow-up. CONCLUSIONS Daily doxycycline taken prophylactically was associated with a decreased incidence of N. gonorrhoeae, C. trachomatis, or syphilis incident infections among a core group of HIV-infected MSM at high risk for these infections. Safe and effective biomedical tools should be included in the efforts to control transmission of syphilis, especially in this population. A randomized clinical trial should be conducted to confirm and extend these findings.","author":[{"dropping-particle":"","family":"Bolan","given":"Robert K.","non-dropping-particle":"","parse-names":false,"suffix":""},{"dropping-particle":"","family":"Beymer","given":"Matthew R.","non-dropping-particle":"","parse-names":false,"suffix":""},{"dropping-particle":"","family":"Weiss","given":"Robert E.","non-dropping-particle":"","parse-names":false,"suffix":""},{"dropping-particle":"","family":"Flynn","given":"Risa P.","non-dropping-particle":"","parse-names":false,"suffix":""},{"dropping-particle":"","family":"Leibowitz","given":"Arleen A.","non-dropping-particle":"","parse-names":false,"suffix":""},{"dropping-particle":"","family":"Klausner","given":"Jeffrey D.","non-dropping-particle":"","parse-names":false,"suffix":""}],"container-title":"Sex Transm Dis","id":"ITEM-1","issue":"2","issued":{"date-parts":[["2015","2"]]},"page":"98-103","title":"Doxycycline Prophylaxis to Reduce Incident Syphilis among HIV-Infected Men Who Have Sex With Men Who Continue to Engage in High-Risk Sex","type":"article-journal","volume":"42"},"uris":["http://www.mendeley.com/documents/?uuid=eac79f2c-36d0-38bb-a2fd-aff998ba7028"]},{"id":"ITEM-2","itemData":{"DOI":"10.1016/S1473-3099(17)30725-9","ISSN":"14733099","PMID":"29229440","abstract":"BACKGROUND Increased rates of sexually transmitted infections (STIs) have been reported among men who have sex with men. We aimed to assess whether post-exposure prophylaxis (PEP) with doxycycline could reduce the incidence of STIs. METHODS All participants attending their scheduled visit in the open-label extension of the ANRS IPERGAY trial in France (men aged 18 years or older having condomless sex with men and using pre-exposure prophylaxis for HIV with tenofovir disoproxil fumarate plus emtricitabine) were eligible for inclusion in this open-label randomised study. Participants were randomly assigned (1:1) at a central site to take a single oral dose of 200 mg doxycycline PEP within 24 h after sex or no prophylaxis. The primary endpoint was the occurrence of a first STI (gonorrhoea, chlamydia, or syphilis) during the 10-month follow-up. The cumulative probability of occurrence of the primary endpoint was estimated in each group with the Kaplan-Meier method and compared with the log-rank test. The primary efficacy analysis was done on the intention-to-treat population, comprising all randomised participants. All participants received risk-reduction counselling and condoms, and were tested regularly for HIV. This trial is registered with ClinicalTrials.gov number, NCT01473472. FINDINGS Between July 20, 2015, and Jan 21, 2016, we randomly assigned 232 participants (n=116 in the doxycycline PEP group and n=116 in the no-PEP group) who were followed up for a median of 8·7 months (IQR 7·8-9·7). Participants in the PEP group used a median of 680 mg doxycycline per month (IQR 280-1450). 73 participants presented with a new STI during follow-up, 28 in the PEP group (9-month probability 22%, 95% CI 15-32) and 45 in the no-PEP group (42%, 33-53; log-rank test p=0·007). The occurrence of a first STI in participants taking PEP was lower than in those not taking PEP (hazard ratio [HR] 0·53; 95% CI 0·33-0·85; p=0·008). Similar results were observed for the occurrence of a first episode of chlamydia (HR 0·30; 95% CI 0·13-0·70; p=0·006) and of syphilis (0·27; 0·07-0·98; p=0·047); for a first episode of gonorrhoea the results did not differ significantly (HR 0·83; 0·47-1·47; p=0·52). No HIV seroconversion was observed, and 72 (71%) of all 102 STIs were asymptomatic. Rates of serious adverse events were similar in the two study groups. Gastrointestinal adverse events were reported in 62 (53%) participants in the PEP group and 47 (41%) in the no-PEP group (p=0·05). INT…","author":[{"dropping-particle":"","family":"Molina","given":"Jean-Michel","non-dropping-particle":"","parse-names":false,"suffix":""},{"dropping-particle":"","family":"Charreau","given":"Isabelle","non-dropping-particle":"","parse-names":false,"suffix":""},{"dropping-particle":"","family":"Chidiac","given":"Christian","non-dropping-particle":"","parse-names":false,"suffix":""},{"dropping-particle":"","family":"Pialoux","given":"Gilles","non-dropping-particle":"","parse-names":false,"suffix":""},{"dropping-particle":"","family":"Cua","given":"Eric","non-dropping-particle":"","parse-names":false,"suffix":""},{"dropping-particle":"","family":"Delaugerre","given":"Constance","non-dropping-particle":"","parse-names":false,"suffix":""},{"dropping-particle":"","family":"Capitant","given":"Catherine","non-dropping-particle":"","parse-names":false,"suffix":""},{"dropping-particle":"","family":"Rojas-Castro","given":"Daniela","non-dropping-particle":"","parse-names":false,"suffix":""},{"dropping-particle":"","family":"Fonsart","given":"Julien","non-dropping-particle":"","parse-names":false,"suffix":""},{"dropping-particle":"","family":"Bercot","given":"Béatrice","non-dropping-particle":"","parse-names":false,"suffix":""},{"dropping-particle":"","family":"Bébéar","given":"Cécile","non-dropping-particle":"","parse-names":false,"suffix":""},{"dropping-particle":"","family":"Cotte","given":"Laurent","non-dropping-particle":"","parse-names":false,"suffix":""},{"dropping-particle":"","family":"Robineau","given":"Olivier","non-dropping-particle":"","parse-names":false,"suffix":""},{"dropping-particle":"","family":"Raffi","given":"François","non-dropping-particle":"","parse-names":false,"suffix":""},{"dropping-particle":"","family":"Charbonneau","given":"Pierre","non-dropping-particle":"","parse-names":false,"suffix":""},{"dropping-particle":"","family":"Aslan","given":"Alexandre","non-dropping-particle":"","parse-names":false,"suffix":""},{"dropping-particle":"","family":"Chas","given":"Julie","non-dropping-particle":"","parse-names":false,"suffix":""},{"dropping-particle":"","family":"Niedbalski","given":"Laurence","non-dropping-particle":"","parse-names":false,"suffix":""},{"dropping-particle":"","family":"Spire","given":"Bruno","non-dropping-particle":"","parse-names":false,"suffix":""},{"dropping-particle":"","family":"Sagaon-Teyssier","given":"Luis","non-dropping-particle":"","parse-names":false,"suffix":""},{"dropping-particle":"","family":"Carette","given":"Diane","non-dropping-particle":"","parse-names":false,"suffix":""},{"dropping-particle":"Le","family":"Mestre","given":"Soizic","non-dropping-particle":"","parse-names":false,"suffix":""},{"dropping-particle":"","family":"Doré","given":"Veronique","non-dropping-particle":"","parse-names":false,"suffix":""},{"dropping-particle":"","family":"Meyer","given":"Laurence","non-dropping-particle":"","parse-names":false,"suffix":""},{"dropping-particle":"","family":"Pintado","given":"C.","non-dropping-particle":"","parse-names":false,"suffix":""},{"dropping-particle":"","family":"Loze","given":"B.","non-dropping-particle":"","parse-names":false,"suffix":""},{"dropping-particle":"","family":"Gatey","given":"C.","non-dropping-particle":"","parse-names":false,"suffix":""},{"dropping-particle":"","family":"Ponscarme","given":"D.","non-dropping-particle":"","parse-names":false,"suffix":""},{"dropping-particle":"","family":"Penot","given":"P.","non-dropping-particle":"","parse-names":false,"suffix":""},{"dropping-particle":"","family":"Veron","given":"R.","non-dropping-particle":"","parse-names":false,"suffix":""},{"dropping-particle":"","family":"Delgado","given":"J.","non-dropping-particle":"","parse-names":false,"suffix":""},{"dropping-particle":"","family":"Dalle","given":"E.","non-dropping-particle":"","parse-names":false,"suffix":""},{"dropping-particle":"","family":"Parlier","given":"S.","non-dropping-particle":"","parse-names":false,"suffix":""},{"dropping-particle":"","family":"Madelaine","given":"I.","non-dropping-particle":"","parse-names":false,"suffix":""},{"dropping-particle":"","family":"Danet","given":"M.","non-dropping-particle":"","parse-names":false,"suffix":""},{"dropping-particle":"","family":"Mahjoub","given":"N.","non-dropping-particle":"","parse-names":false,"suffix":""},{"dropping-particle":"","family":"Mezreb","given":"N.","non-dropping-particle":"","parse-names":false,"suffix":""},{"dropping-particle":"","family":"Moudachirou","given":"K.","non-dropping-particle":"","parse-names":false,"suffix":""},{"dropping-particle":"","family":"Morel","given":"S.","non-dropping-particle":"","parse-names":false,"suffix":""},{"dropping-particle":"","family":"Conort","given":"G.","non-dropping-particle":"","parse-names":false,"suffix":""},{"dropping-particle":"","family":"Lorho","given":"F.","non-dropping-particle":"","parse-names":false,"suffix":""},{"dropping-particle":"","family":"Meunier","given":"M.","non-dropping-particle":"","parse-names":false,"suffix":""},{"dropping-particle":"","family":"Rozenbaum","given":"W.","non-dropping-particle":"","parse-names":false,"suffix":""},{"dropping-particle":"","family":"Monfort","given":"C.","non-dropping-particle":"","parse-names":false,"suffix":""},{"dropping-particle":"","family":"Foucoin","given":"J.","non-dropping-particle":"","parse-names":false,"suffix":""},{"dropping-particle":"","family":"Boissavy","given":"B.","non-dropping-particle":"","parse-names":false,"suffix":""},{"dropping-particle":"","family":"Cousseau","given":"S.","non-dropping-particle":"","parse-names":false,"suffix":""},{"dropping-particle":"","family":"Huon","given":"S.","non-dropping-particle":"","parse-names":false,"suffix":""},{"dropping-particle":"","family":"Danet","given":"M.","non-dropping-particle":"","parse-names":false,"suffix":""},{"dropping-particle":"","family":"Djessima","given":"A.","non-dropping-particle":"","parse-names":false,"suffix":""},{"dropping-particle":"","family":"Berrebi","given":"V.","non-dropping-particle":"","parse-names":false,"suffix":""},{"dropping-particle":"","family":"Adda","given":"A.","non-dropping-particle":"","parse-names":false,"suffix":""},{"dropping-particle":"","family":"Nagat","given":"S.","non-dropping-particle":"le","parse-names":false,"suffix":""},{"dropping-particle":"","family":"Zarka","given":"L.","non-dropping-particle":"","parse-names":false,"suffix":""},{"dropping-particle":"","family":"Berdougo","given":"J.","non-dropping-particle":"","parse-names":false,"suffix":""},{"dropping-particle":"","family":"Mzoughi","given":"N.","non-dropping-particle":"","parse-names":false,"suffix":""},{"dropping-particle":"","family":"Clement","given":"F.","non-dropping-particle":"","parse-names":false,"suffix":""},{"dropping-particle":"","family":"Decouty","given":"A.","non-dropping-particle":"","parse-names":false,"suffix":""},{"dropping-particle":"","family":"Chapolard","given":"C.","non-dropping-particle":"","parse-names":false,"suffix":""},{"dropping-particle":"","family":"Godinot","given":"M.","non-dropping-particle":"","parse-names":false,"suffix":""},{"dropping-particle":"","family":"Adouard-groslafeige","given":"C.","non-dropping-particle":"","parse-names":false,"suffix":""},{"dropping-particle":"","family":"Koffi","given":"J.","non-dropping-particle":"","parse-names":false,"suffix":""},{"dropping-particle":"","family":"Pansu","given":"A.","non-dropping-particle":"","parse-names":false,"suffix":""},{"dropping-particle":"","family":"Becker","given":"A.","non-dropping-particle":"","parse-names":false,"suffix":""},{"dropping-particle":"","family":"Pailhes","given":"S.","non-dropping-particle":"","parse-names":false,"suffix":""},{"dropping-particle":"","family":"Bonnet","given":"F.","non-dropping-particle":"","parse-names":false,"suffix":""},{"dropping-particle":"","family":"Jeanblanc","given":"F.","non-dropping-particle":"","parse-names":false,"suffix":""},{"dropping-particle":"","family":"Brochier","given":"C.","non-dropping-particle":"","parse-names":false,"suffix":""},{"dropping-particle":"","family":"Teruin","given":"X.","non-dropping-particle":"","parse-names":false,"suffix":""},{"dropping-particle":"","family":"Rouby","given":"S.","non-dropping-particle":"","parse-names":false,"suffix":""},{"dropping-particle":"","family":"Gilly","given":"L.","non-dropping-particle":"","parse-names":false,"suffix":""},{"dropping-particle":"","family":"Etienne","given":"C.","non-dropping-particle":"","parse-names":false,"suffix":""},{"dropping-particle":"","family":"Tolonin","given":"F.","non-dropping-particle":"","parse-names":false,"suffix":""},{"dropping-particle":"","family":"Breaud","given":"S.","non-dropping-particle":"","parse-names":false,"suffix":""},{"dropping-particle":"","family":"Péchenot","given":"V.","non-dropping-particle":"","parse-names":false,"suffix":""},{"dropping-particle":"","family":"Bagge","given":"S.","non-dropping-particle":"","parse-names":false,"suffix":""},{"dropping-particle":"","family":"Cepitelli","given":"T.","non-dropping-particle":"","parse-names":false,"suffix":""},{"dropping-particle":"","family":"Roger","given":"PM.","non-dropping-particle":"","parse-names":false,"suffix":""},{"dropping-particle":"","family":"Rosenthal","given":"E.","non-dropping-particle":"","parse-names":false,"suffix":""},{"dropping-particle":"","family":"Cheret","given":"A.","non-dropping-particle":"","parse-names":false,"suffix":""},{"dropping-particle":"","family":"Cornavin","given":"P.","non-dropping-particle":"","parse-names":false,"suffix":""},{"dropping-particle":"","family":"Vandamme","given":"S.","non-dropping-particle":"","parse-names":false,"suffix":""},{"dropping-particle":"","family":"Lambec","given":"J.","non-dropping-particle":"","parse-names":false,"suffix":""},{"dropping-particle":"","family":"Dumon","given":"N.","non-dropping-particle":"","parse-names":false,"suffix":""},{"dropping-particle":"","family":"Leclanche","given":"O.","non-dropping-particle":"","parse-names":false,"suffix":""},{"dropping-particle":"","family":"Huleux","given":"T.","non-dropping-particle":"","parse-names":false,"suffix":""},{"dropping-particle":"","family":"Biekre","given":"R.","non-dropping-particle":"","parse-names":false,"suffix":""},{"dropping-particle":"","family":"Melliez","given":"H.","non-dropping-particle":"","parse-names":false,"suffix":""},{"dropping-particle":"","family":"Bazus","given":"H.","non-dropping-particle":"","parse-names":false,"suffix":""},{"dropping-particle":"","family":"Pasquet","given":"A.","non-dropping-particle":"","parse-names":false,"suffix":""},{"dropping-particle":"","family":"Bernaud","given":"C.","non-dropping-particle":"","parse-names":false,"suffix":""},{"dropping-particle":"","family":"Besnier","given":"M.","non-dropping-particle":"","parse-names":false,"suffix":""},{"dropping-particle":"","family":"Bonnet","given":"B.","non-dropping-particle":"","parse-names":false,"suffix":""},{"dropping-particle":"","family":"Hall","given":"N.","non-dropping-particle":"","parse-names":false,"suffix":""},{"dropping-particle":"","family":"Cavellec","given":"M.","non-dropping-particle":"","parse-names":false,"suffix":""},{"dropping-particle":"","family":"Hue","given":"H.","non-dropping-particle":"","parse-names":false,"suffix":""},{"dropping-particle":"","family":"Larmet","given":"L.","non-dropping-particle":"","parse-names":false,"suffix":""},{"dropping-particle":"","family":"Colas","given":"M.","non-dropping-particle":"","parse-names":false,"suffix":""},{"dropping-particle":"","family":"Choquet","given":"R.","non-dropping-particle":"","parse-names":false,"suffix":""},{"dropping-particle":"","family":"Fouéré","given":"S","non-dropping-particle":"","parse-names":false,"suffix":""},{"dropping-particle":"","family":"Netzer","given":"E.","non-dropping-particle":"","parse-names":false,"suffix":""},{"dropping-particle":"","family":"Leturque","given":"N.","non-dropping-particle":"","parse-names":false,"suffix":""},{"dropping-particle":"","family":"Binesse","given":"J.","non-dropping-particle":"","parse-names":false,"suffix":""},{"dropping-particle":"","family":"Foubert","given":"V.","non-dropping-particle":"","parse-names":false,"suffix":""},{"dropping-particle":"","family":"Saouzanet","given":"M.","non-dropping-particle":"","parse-names":false,"suffix":""},{"dropping-particle":"","family":"Euphrasie","given":"F.","non-dropping-particle":"","parse-names":false,"suffix":""},{"dropping-particle":"","family":"Guillon","given":"B.","non-dropping-particle":"","parse-names":false,"suffix":""},{"dropping-particle":"","family":"Saïdi","given":"Y.","non-dropping-particle":"","parse-names":false,"suffix":""},{"dropping-particle":"","family":"Suzan","given":"M.","non-dropping-particle":"","parse-names":false,"suffix":""},{"dropping-particle":"","family":"Cattin","given":"G.","non-dropping-particle":"","parse-names":false,"suffix":""},{"dropping-particle":"","family":"Demoulin","given":"B.","non-dropping-particle":"","parse-names":false,"suffix":""},{"dropping-particle":"","family":"Lorente","given":"N.","non-dropping-particle":"","parse-names":false,"suffix":""}],"container-title":"Lancet Infect Dis","id":"ITEM-2","issue":"3","issued":{"date-parts":[["2018","3"]]},"page":"308-317","title":"Post-exposure prophylaxis with doxycycline to prevent sexually transmitted infections in men who have sex with men: an open-label randomised substudy of the ANRS IPERGAY trial","type":"article-journal","volume":"18"},"uris":["http://www.mendeley.com/documents/?uuid=fc40e1ef-394c-3031-b0d9-8f7425c86d59"]}],"mendeley":{"formattedCitation":"[23,24]","plainTextFormattedCitation":"[23,24]","previouslyFormattedCitation":"[23,24]"},"properties":{"noteIndex":0},"schema":"https://github.com/citation-style-language/schema/raw/master/csl-citation.json"}</w:instrText>
      </w:r>
      <w:r w:rsidR="001E6D17" w:rsidRPr="0052431D">
        <w:rPr>
          <w:rFonts w:asciiTheme="minorHAnsi" w:hAnsiTheme="minorHAnsi" w:cs="Arial"/>
          <w:bCs/>
          <w:sz w:val="24"/>
          <w:szCs w:val="24"/>
          <w:lang w:val="en-GB"/>
        </w:rPr>
        <w:fldChar w:fldCharType="separate"/>
      </w:r>
      <w:r w:rsidR="001E6D17" w:rsidRPr="0052431D">
        <w:rPr>
          <w:rFonts w:asciiTheme="minorHAnsi" w:hAnsiTheme="minorHAnsi" w:cs="Arial"/>
          <w:bCs/>
          <w:noProof/>
          <w:sz w:val="24"/>
          <w:szCs w:val="24"/>
          <w:lang w:val="en-GB"/>
        </w:rPr>
        <w:t>[23,24]</w:t>
      </w:r>
      <w:r w:rsidR="001E6D17"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00715CA4" w:rsidRPr="0052431D">
        <w:rPr>
          <w:rFonts w:asciiTheme="minorHAnsi" w:hAnsiTheme="minorHAnsi" w:cs="Arial"/>
          <w:bCs/>
          <w:sz w:val="24"/>
          <w:szCs w:val="24"/>
          <w:lang w:val="en-GB"/>
        </w:rPr>
        <w:t xml:space="preserve"> Daily doxycycline would a</w:t>
      </w:r>
      <w:r w:rsidR="00FE27BC" w:rsidRPr="0052431D">
        <w:rPr>
          <w:rFonts w:asciiTheme="minorHAnsi" w:hAnsiTheme="minorHAnsi" w:cs="Arial"/>
          <w:bCs/>
          <w:sz w:val="24"/>
          <w:szCs w:val="24"/>
          <w:lang w:val="en-GB"/>
        </w:rPr>
        <w:t xml:space="preserve">lso </w:t>
      </w:r>
      <w:r w:rsidR="00715CA4" w:rsidRPr="0052431D">
        <w:rPr>
          <w:rFonts w:asciiTheme="minorHAnsi" w:hAnsiTheme="minorHAnsi" w:cs="Arial"/>
          <w:bCs/>
          <w:sz w:val="24"/>
          <w:szCs w:val="24"/>
          <w:lang w:val="en-GB"/>
        </w:rPr>
        <w:t>have the benefit of treating latent syphilis</w:t>
      </w:r>
      <w:r w:rsidR="001E6D17" w:rsidRPr="0052431D">
        <w:rPr>
          <w:rFonts w:asciiTheme="minorHAnsi" w:hAnsiTheme="minorHAnsi" w:cs="Arial"/>
          <w:bCs/>
          <w:sz w:val="24"/>
          <w:szCs w:val="24"/>
          <w:lang w:val="en-GB"/>
        </w:rPr>
        <w:t xml:space="preserve"> given its status as a second-line agent</w:t>
      </w:r>
      <w:r w:rsidR="004E62E1" w:rsidRPr="0052431D">
        <w:rPr>
          <w:rFonts w:asciiTheme="minorHAnsi" w:hAnsiTheme="minorHAnsi" w:cs="Arial"/>
          <w:bCs/>
          <w:sz w:val="24"/>
          <w:szCs w:val="24"/>
          <w:lang w:val="en-GB"/>
        </w:rPr>
        <w:t xml:space="preserve"> against </w:t>
      </w:r>
      <w:r w:rsidR="004E62E1" w:rsidRPr="0052431D">
        <w:rPr>
          <w:rFonts w:asciiTheme="minorHAnsi" w:hAnsiTheme="minorHAnsi" w:cs="Arial"/>
          <w:bCs/>
          <w:i/>
          <w:sz w:val="24"/>
          <w:szCs w:val="24"/>
          <w:lang w:val="en-GB"/>
        </w:rPr>
        <w:t>T. pallidum</w:t>
      </w:r>
      <w:r w:rsidR="001E6D17" w:rsidRPr="0052431D">
        <w:rPr>
          <w:rFonts w:asciiTheme="minorHAnsi" w:hAnsiTheme="minorHAnsi" w:cs="Arial"/>
          <w:bCs/>
          <w:sz w:val="24"/>
          <w:szCs w:val="24"/>
          <w:lang w:val="en-GB"/>
        </w:rPr>
        <w:t xml:space="preserve"> </w:t>
      </w:r>
      <w:r w:rsidR="001E6D17" w:rsidRPr="0052431D">
        <w:rPr>
          <w:rFonts w:asciiTheme="minorHAnsi" w:hAnsiTheme="minorHAnsi" w:cs="Arial"/>
          <w:bCs/>
          <w:sz w:val="24"/>
          <w:szCs w:val="24"/>
          <w:lang w:val="en-GB"/>
        </w:rPr>
        <w:fldChar w:fldCharType="begin" w:fldLock="1"/>
      </w:r>
      <w:r w:rsidR="00E073B1" w:rsidRPr="0052431D">
        <w:rPr>
          <w:rFonts w:asciiTheme="minorHAnsi" w:hAnsiTheme="minorHAnsi" w:cs="Arial"/>
          <w:bCs/>
          <w:sz w:val="24"/>
          <w:szCs w:val="24"/>
          <w:lang w:val="en-GB"/>
        </w:rPr>
        <w:instrText>ADDIN CSL_CITATION {"citationItems":[{"id":"ITEM-1","itemData":{"author":[{"dropping-particle":"","family":"Workowski","given":"K","non-dropping-particle":"","parse-names":false,"suffix":""},{"dropping-particle":"","family":"Bolan","given":"G","non-dropping-particle":"","parse-names":false,"suffix":""}],"container-title":"Morbidity and Mortality Weekly Report (MMWR)","id":"ITEM-1","issue":"RR3","issued":{"date-parts":[["2015"]]},"page":"1-137","title":"Sexually Transmitted Diseases Treatment Guidelines, 2015","type":"article-journal","volume":"64"},"uris":["http://www.mendeley.com/documents/?uuid=70cb4556-c3f0-4f56-977c-485c52c2effb"]}],"mendeley":{"formattedCitation":"[25]","plainTextFormattedCitation":"[25]","previouslyFormattedCitation":"[25]"},"properties":{"noteIndex":0},"schema":"https://github.com/citation-style-language/schema/raw/master/csl-citation.json"}</w:instrText>
      </w:r>
      <w:r w:rsidR="001E6D17" w:rsidRPr="0052431D">
        <w:rPr>
          <w:rFonts w:asciiTheme="minorHAnsi" w:hAnsiTheme="minorHAnsi" w:cs="Arial"/>
          <w:bCs/>
          <w:sz w:val="24"/>
          <w:szCs w:val="24"/>
          <w:lang w:val="en-GB"/>
        </w:rPr>
        <w:fldChar w:fldCharType="separate"/>
      </w:r>
      <w:r w:rsidR="001E6D17" w:rsidRPr="0052431D">
        <w:rPr>
          <w:rFonts w:asciiTheme="minorHAnsi" w:hAnsiTheme="minorHAnsi" w:cs="Arial"/>
          <w:bCs/>
          <w:noProof/>
          <w:sz w:val="24"/>
          <w:szCs w:val="24"/>
          <w:lang w:val="en-GB"/>
        </w:rPr>
        <w:t>[25]</w:t>
      </w:r>
      <w:r w:rsidR="001E6D17" w:rsidRPr="0052431D">
        <w:rPr>
          <w:rFonts w:asciiTheme="minorHAnsi" w:hAnsiTheme="minorHAnsi" w:cs="Arial"/>
          <w:bCs/>
          <w:sz w:val="24"/>
          <w:szCs w:val="24"/>
          <w:lang w:val="en-GB"/>
        </w:rPr>
        <w:fldChar w:fldCharType="end"/>
      </w:r>
      <w:r w:rsidR="00A63995">
        <w:rPr>
          <w:rFonts w:asciiTheme="minorHAnsi" w:hAnsiTheme="minorHAnsi" w:cs="Arial"/>
          <w:bCs/>
          <w:sz w:val="24"/>
          <w:szCs w:val="24"/>
          <w:lang w:val="en-GB"/>
        </w:rPr>
        <w:t>.</w:t>
      </w:r>
      <w:r w:rsidR="001E6D17" w:rsidRPr="0052431D">
        <w:rPr>
          <w:rFonts w:asciiTheme="minorHAnsi" w:hAnsiTheme="minorHAnsi" w:cs="Arial"/>
          <w:bCs/>
          <w:sz w:val="24"/>
          <w:szCs w:val="24"/>
          <w:lang w:val="en-GB"/>
        </w:rPr>
        <w:t xml:space="preserve"> </w:t>
      </w:r>
      <w:r w:rsidR="00E073B1" w:rsidRPr="0052431D">
        <w:rPr>
          <w:rFonts w:asciiTheme="minorHAnsi" w:hAnsiTheme="minorHAnsi" w:cs="Arial"/>
          <w:bCs/>
          <w:sz w:val="24"/>
          <w:szCs w:val="24"/>
          <w:lang w:val="en-GB"/>
        </w:rPr>
        <w:t xml:space="preserve">Multiple trials are </w:t>
      </w:r>
      <w:r w:rsidR="004E62E1" w:rsidRPr="0052431D">
        <w:rPr>
          <w:rFonts w:asciiTheme="minorHAnsi" w:hAnsiTheme="minorHAnsi" w:cs="Arial"/>
          <w:bCs/>
          <w:sz w:val="24"/>
          <w:szCs w:val="24"/>
          <w:lang w:val="en-GB"/>
        </w:rPr>
        <w:t xml:space="preserve">currently </w:t>
      </w:r>
      <w:r w:rsidR="00E073B1" w:rsidRPr="0052431D">
        <w:rPr>
          <w:rFonts w:asciiTheme="minorHAnsi" w:hAnsiTheme="minorHAnsi" w:cs="Arial"/>
          <w:bCs/>
          <w:sz w:val="24"/>
          <w:szCs w:val="24"/>
          <w:lang w:val="en-GB"/>
        </w:rPr>
        <w:t xml:space="preserve">ongoing to assess the utility of doxycycline prophylaxis among </w:t>
      </w:r>
      <w:r w:rsidR="00354F80" w:rsidRPr="0052431D">
        <w:rPr>
          <w:rFonts w:asciiTheme="minorHAnsi" w:hAnsiTheme="minorHAnsi" w:cs="Arial"/>
          <w:bCs/>
          <w:sz w:val="24"/>
          <w:szCs w:val="24"/>
          <w:lang w:val="en-GB"/>
        </w:rPr>
        <w:t xml:space="preserve">high risk populations such as </w:t>
      </w:r>
      <w:r w:rsidR="00E073B1" w:rsidRPr="0052431D">
        <w:rPr>
          <w:rFonts w:asciiTheme="minorHAnsi" w:hAnsiTheme="minorHAnsi" w:cs="Arial"/>
          <w:bCs/>
          <w:sz w:val="24"/>
          <w:szCs w:val="24"/>
          <w:lang w:val="en-GB"/>
        </w:rPr>
        <w:t>men who have sex with men</w:t>
      </w:r>
      <w:r w:rsidR="00EF00F9">
        <w:rPr>
          <w:rFonts w:asciiTheme="minorHAnsi" w:hAnsiTheme="minorHAnsi" w:cs="Arial"/>
          <w:bCs/>
          <w:sz w:val="24"/>
          <w:szCs w:val="24"/>
          <w:lang w:val="en-GB"/>
        </w:rPr>
        <w:t xml:space="preserve"> </w:t>
      </w:r>
      <w:r w:rsidR="00E073B1" w:rsidRPr="0052431D">
        <w:rPr>
          <w:rFonts w:asciiTheme="minorHAnsi" w:hAnsiTheme="minorHAnsi" w:cs="Arial"/>
          <w:bCs/>
          <w:sz w:val="24"/>
          <w:szCs w:val="24"/>
          <w:lang w:val="en-GB"/>
        </w:rPr>
        <w:fldChar w:fldCharType="begin" w:fldLock="1"/>
      </w:r>
      <w:r w:rsidR="00E073B1" w:rsidRPr="0052431D">
        <w:rPr>
          <w:rFonts w:asciiTheme="minorHAnsi" w:hAnsiTheme="minorHAnsi" w:cs="Arial"/>
          <w:bCs/>
          <w:sz w:val="24"/>
          <w:szCs w:val="24"/>
          <w:lang w:val="en-GB"/>
        </w:rPr>
        <w:instrText>ADDIN CSL_CITATION {"citationItems":[{"id":"ITEM-1","itemData":{"DOI":"10.1093/cid/ciz866","ISSN":"1537-6591","PMID":"31504345","abstract":"BACKGROUND Bacterial sexually transmitted infections (STI) have been increasing over the past two decades in gay, bisexual, and other men who have sex with men (MSM). With the widespread use of early HIV treatment, which virtually eliminates transmission risk, and the availability of HIV pre-exposure prophylaxis there have been attitudinal changes regarding HIV infection with resultant increases in sexual contact and declines in condom use. Doxycycline is used for primary prophylaxis in a number of infectious diseases. METHODS We conducted a state-of-the-art review to examine the current state of research, knowledge gaps, and challenges around the use of doxycycline prophylaxis to prevent syphilis and other STIs. International academic and government experts met in March 2019 to frame the initial inquiry, which was supplemented by focused literature searches. RESULTS Two small short-term randomized-control trials examining doxycycline prophylaxis have found high efficacy. Five additional clinical studies are underway or in development. Studies differed in design, population, outcomes and safety measures. CONCLUSIONS Doxycycline prophylaxis for bacterial STIs shows promise. Better and more robust data are needed on efficacy; target population; community acceptability; behavioral risk compensation; doxycycline dose, regimen, and formulation; long-term safety; antimicrobial resistance; cost-effectiveness and risk-benefit.","author":[{"dropping-particle":"","family":"Grant","given":"Juliana S","non-dropping-particle":"","parse-names":false,"suffix":""},{"dropping-particle":"","family":"Stafylis","given":"Chrysovalantis","non-dropping-particle":"","parse-names":false,"suffix":""},{"dropping-particle":"","family":"Celum","given":"Connie","non-dropping-particle":"","parse-names":false,"suffix":""},{"dropping-particle":"","family":"Grennan","given":"Troy","non-dropping-particle":"","parse-names":false,"suffix":""},{"dropping-particle":"","family":"Haire","given":"Bridget","non-dropping-particle":"","parse-names":false,"suffix":""},{"dropping-particle":"","family":"Kaldor","given":"John","non-dropping-particle":"","parse-names":false,"suffix":""},{"dropping-particle":"","family":"Luetkemeyer","given":"Anne F","non-dropping-particle":"","parse-names":false,"suffix":""},{"dropping-particle":"","family":"Saunders","given":"John M","non-dropping-particle":"","parse-names":false,"suffix":""},{"dropping-particle":"","family":"Molina","given":"Jean-Michel","non-dropping-particle":"","parse-names":false,"suffix":""},{"dropping-particle":"","family":"Klausner","given":"Jeffrey D","non-dropping-particle":"","parse-names":false,"suffix":""}],"container-title":"Clin Infect Dis","id":"ITEM-1","issued":{"date-parts":[["2019","9","1"]]},"title":"Doxycycline prophylaxis for bacterial sexually transmitted infections.","type":"article-journal","volume":"[Epub ahea"},"uris":["http://www.mendeley.com/documents/?uuid=623fc201-2799-3f48-bc28-f258d818bebd"]}],"mendeley":{"formattedCitation":"[26]","plainTextFormattedCitation":"[26]","previouslyFormattedCitation":"[26]"},"properties":{"noteIndex":0},"schema":"https://github.com/citation-style-language/schema/raw/master/csl-citation.json"}</w:instrText>
      </w:r>
      <w:r w:rsidR="00E073B1" w:rsidRPr="0052431D">
        <w:rPr>
          <w:rFonts w:asciiTheme="minorHAnsi" w:hAnsiTheme="minorHAnsi" w:cs="Arial"/>
          <w:bCs/>
          <w:sz w:val="24"/>
          <w:szCs w:val="24"/>
          <w:lang w:val="en-GB"/>
        </w:rPr>
        <w:fldChar w:fldCharType="separate"/>
      </w:r>
      <w:r w:rsidR="00E073B1" w:rsidRPr="0052431D">
        <w:rPr>
          <w:rFonts w:asciiTheme="minorHAnsi" w:hAnsiTheme="minorHAnsi" w:cs="Arial"/>
          <w:bCs/>
          <w:noProof/>
          <w:sz w:val="24"/>
          <w:szCs w:val="24"/>
          <w:lang w:val="en-GB"/>
        </w:rPr>
        <w:t>[26]</w:t>
      </w:r>
      <w:r w:rsidR="00E073B1" w:rsidRPr="0052431D">
        <w:rPr>
          <w:rFonts w:asciiTheme="minorHAnsi" w:hAnsiTheme="minorHAnsi" w:cs="Arial"/>
          <w:bCs/>
          <w:sz w:val="24"/>
          <w:szCs w:val="24"/>
          <w:lang w:val="en-GB"/>
        </w:rPr>
        <w:fldChar w:fldCharType="end"/>
      </w:r>
      <w:r w:rsidR="00006535">
        <w:rPr>
          <w:rFonts w:asciiTheme="minorHAnsi" w:hAnsiTheme="minorHAnsi" w:cs="Arial"/>
          <w:bCs/>
          <w:sz w:val="24"/>
          <w:szCs w:val="24"/>
          <w:lang w:val="en-GB"/>
        </w:rPr>
        <w:t>.</w:t>
      </w:r>
      <w:r w:rsidR="00E073B1" w:rsidRPr="0052431D">
        <w:rPr>
          <w:rFonts w:asciiTheme="minorHAnsi" w:hAnsiTheme="minorHAnsi" w:cs="Arial"/>
          <w:bCs/>
          <w:sz w:val="24"/>
          <w:szCs w:val="24"/>
          <w:lang w:val="en-GB"/>
        </w:rPr>
        <w:t xml:space="preserve"> </w:t>
      </w:r>
      <w:r w:rsidR="001E6D17" w:rsidRPr="0052431D">
        <w:rPr>
          <w:rFonts w:asciiTheme="minorHAnsi" w:hAnsiTheme="minorHAnsi" w:cs="Arial"/>
          <w:bCs/>
          <w:sz w:val="24"/>
          <w:szCs w:val="24"/>
          <w:lang w:val="en-GB"/>
        </w:rPr>
        <w:t xml:space="preserve">Our data </w:t>
      </w:r>
      <w:r w:rsidR="00354F80" w:rsidRPr="0052431D">
        <w:rPr>
          <w:rFonts w:asciiTheme="minorHAnsi" w:hAnsiTheme="minorHAnsi" w:cs="Arial"/>
          <w:bCs/>
          <w:sz w:val="24"/>
          <w:szCs w:val="24"/>
          <w:lang w:val="en-GB"/>
        </w:rPr>
        <w:t xml:space="preserve">further identify </w:t>
      </w:r>
      <w:r w:rsidR="00E073B1" w:rsidRPr="0052431D">
        <w:rPr>
          <w:rFonts w:asciiTheme="minorHAnsi" w:hAnsiTheme="minorHAnsi" w:cs="Arial"/>
          <w:bCs/>
          <w:sz w:val="24"/>
          <w:szCs w:val="24"/>
          <w:lang w:val="en-GB"/>
        </w:rPr>
        <w:t xml:space="preserve">fishing communities </w:t>
      </w:r>
      <w:r w:rsidR="00354F80" w:rsidRPr="0052431D">
        <w:rPr>
          <w:rFonts w:asciiTheme="minorHAnsi" w:hAnsiTheme="minorHAnsi" w:cs="Arial"/>
          <w:bCs/>
          <w:sz w:val="24"/>
          <w:szCs w:val="24"/>
          <w:lang w:val="en-GB"/>
        </w:rPr>
        <w:t xml:space="preserve">as </w:t>
      </w:r>
      <w:r w:rsidR="00E073B1" w:rsidRPr="0052431D">
        <w:rPr>
          <w:rFonts w:asciiTheme="minorHAnsi" w:hAnsiTheme="minorHAnsi" w:cs="Arial"/>
          <w:bCs/>
          <w:sz w:val="24"/>
          <w:szCs w:val="24"/>
          <w:lang w:val="en-GB"/>
        </w:rPr>
        <w:t xml:space="preserve">another important target group to consider for </w:t>
      </w:r>
      <w:r w:rsidR="005E7088">
        <w:rPr>
          <w:rFonts w:asciiTheme="minorHAnsi" w:hAnsiTheme="minorHAnsi" w:cs="Arial"/>
          <w:bCs/>
          <w:sz w:val="24"/>
          <w:szCs w:val="24"/>
          <w:lang w:val="en-GB"/>
        </w:rPr>
        <w:t xml:space="preserve">such </w:t>
      </w:r>
      <w:r w:rsidR="00354F80" w:rsidRPr="0052431D">
        <w:rPr>
          <w:rFonts w:asciiTheme="minorHAnsi" w:hAnsiTheme="minorHAnsi" w:cs="Arial"/>
          <w:bCs/>
          <w:sz w:val="24"/>
          <w:szCs w:val="24"/>
          <w:lang w:val="en-GB"/>
        </w:rPr>
        <w:t xml:space="preserve">interventional </w:t>
      </w:r>
      <w:r w:rsidR="00E073B1" w:rsidRPr="0052431D">
        <w:rPr>
          <w:rFonts w:asciiTheme="minorHAnsi" w:hAnsiTheme="minorHAnsi" w:cs="Arial"/>
          <w:bCs/>
          <w:sz w:val="24"/>
          <w:szCs w:val="24"/>
          <w:lang w:val="en-GB"/>
        </w:rPr>
        <w:t>studies.</w:t>
      </w:r>
    </w:p>
    <w:p w14:paraId="307802E6" w14:textId="48817086" w:rsidR="00E51EF3" w:rsidRDefault="00E51EF3" w:rsidP="00C74418">
      <w:pPr>
        <w:spacing w:after="0" w:line="360" w:lineRule="auto"/>
        <w:jc w:val="both"/>
        <w:rPr>
          <w:rFonts w:asciiTheme="minorHAnsi" w:hAnsiTheme="minorHAnsi" w:cs="Arial"/>
          <w:bCs/>
          <w:sz w:val="24"/>
          <w:szCs w:val="24"/>
          <w:lang w:val="en-GB"/>
        </w:rPr>
      </w:pPr>
    </w:p>
    <w:p w14:paraId="28C695AE" w14:textId="220FDC6C" w:rsidR="00E51EF3" w:rsidRPr="00E51EF3" w:rsidRDefault="00E51EF3" w:rsidP="00C74418">
      <w:pPr>
        <w:spacing w:after="0" w:line="360" w:lineRule="auto"/>
        <w:jc w:val="both"/>
        <w:rPr>
          <w:rFonts w:asciiTheme="minorHAnsi" w:hAnsiTheme="minorHAnsi" w:cs="Arial"/>
          <w:bCs/>
          <w:sz w:val="24"/>
          <w:szCs w:val="24"/>
        </w:rPr>
      </w:pPr>
      <w:r w:rsidRPr="0052431D">
        <w:rPr>
          <w:rFonts w:asciiTheme="minorHAnsi" w:hAnsiTheme="minorHAnsi" w:cs="Arial"/>
          <w:bCs/>
          <w:sz w:val="24"/>
          <w:szCs w:val="24"/>
        </w:rPr>
        <w:t xml:space="preserve">We further report that </w:t>
      </w:r>
      <w:r>
        <w:rPr>
          <w:rFonts w:asciiTheme="minorHAnsi" w:hAnsiTheme="minorHAnsi" w:cs="Arial"/>
          <w:bCs/>
          <w:sz w:val="24"/>
          <w:szCs w:val="24"/>
        </w:rPr>
        <w:t xml:space="preserve">one in five </w:t>
      </w:r>
      <w:r w:rsidRPr="0052431D">
        <w:rPr>
          <w:rFonts w:asciiTheme="minorHAnsi" w:hAnsiTheme="minorHAnsi" w:cs="Arial"/>
          <w:bCs/>
          <w:sz w:val="24"/>
          <w:szCs w:val="24"/>
        </w:rPr>
        <w:t xml:space="preserve">participants had </w:t>
      </w:r>
      <w:r>
        <w:rPr>
          <w:rFonts w:asciiTheme="minorHAnsi" w:hAnsiTheme="minorHAnsi" w:cs="Arial"/>
          <w:bCs/>
          <w:sz w:val="24"/>
          <w:szCs w:val="24"/>
        </w:rPr>
        <w:t xml:space="preserve">never been </w:t>
      </w:r>
      <w:r w:rsidRPr="0052431D">
        <w:rPr>
          <w:rFonts w:asciiTheme="minorHAnsi" w:hAnsiTheme="minorHAnsi" w:cs="Arial"/>
          <w:bCs/>
          <w:sz w:val="24"/>
          <w:szCs w:val="24"/>
        </w:rPr>
        <w:t xml:space="preserve">screened for HIV </w:t>
      </w:r>
      <w:r>
        <w:rPr>
          <w:rFonts w:asciiTheme="minorHAnsi" w:hAnsiTheme="minorHAnsi" w:cs="Arial"/>
          <w:bCs/>
          <w:sz w:val="24"/>
          <w:szCs w:val="24"/>
        </w:rPr>
        <w:t xml:space="preserve">infection and an additional 25% of study participants had not been screened in </w:t>
      </w:r>
      <w:r w:rsidRPr="0052431D">
        <w:rPr>
          <w:rFonts w:asciiTheme="minorHAnsi" w:hAnsiTheme="minorHAnsi" w:cs="Arial"/>
          <w:bCs/>
          <w:sz w:val="24"/>
          <w:szCs w:val="24"/>
        </w:rPr>
        <w:t xml:space="preserve">the previous five years and that the median transport time to the closest HIV testing site was up to one hour. These data highlight the urgent need to improve community health in these fishing areas, communities with extremely high burdens of treatable infections. Given the high prevalence of disease in these communities as compared to others, they may represent the areas of greatest potential impact on HIV care. Therefore, our data highlight the critical need to strengthen accessible, targeted health care services for the vulnerable fishing communities surrounding Lake Victoria. </w:t>
      </w:r>
    </w:p>
    <w:p w14:paraId="73B2CAAC" w14:textId="77777777" w:rsidR="00A246F2" w:rsidRPr="0052431D" w:rsidRDefault="00A246F2" w:rsidP="00C74418">
      <w:pPr>
        <w:spacing w:after="0" w:line="360" w:lineRule="auto"/>
        <w:jc w:val="both"/>
        <w:rPr>
          <w:rFonts w:asciiTheme="minorHAnsi" w:hAnsiTheme="minorHAnsi" w:cs="Arial"/>
          <w:bCs/>
          <w:sz w:val="24"/>
          <w:szCs w:val="24"/>
          <w:lang w:val="en-GB"/>
        </w:rPr>
      </w:pPr>
    </w:p>
    <w:p w14:paraId="77FED27B" w14:textId="666D7091" w:rsidR="00A246F2" w:rsidRPr="0052431D" w:rsidRDefault="00EE0694"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Consistent with other studies in fishing communities</w:t>
      </w:r>
      <w:r w:rsidR="00B5225F" w:rsidRPr="0052431D">
        <w:rPr>
          <w:rFonts w:asciiTheme="minorHAnsi" w:hAnsiTheme="minorHAnsi" w:cs="Arial"/>
          <w:bCs/>
          <w:sz w:val="24"/>
          <w:szCs w:val="24"/>
          <w:lang w:val="en-GB"/>
        </w:rPr>
        <w:t xml:space="preserve"> </w:t>
      </w:r>
      <w:r w:rsidR="00B5225F" w:rsidRPr="0052431D">
        <w:rPr>
          <w:rFonts w:asciiTheme="minorHAnsi" w:hAnsiTheme="minorHAnsi" w:cs="Arial"/>
          <w:bCs/>
          <w:sz w:val="24"/>
          <w:szCs w:val="24"/>
          <w:lang w:val="en-GB"/>
        </w:rPr>
        <w:fldChar w:fldCharType="begin" w:fldLock="1"/>
      </w:r>
      <w:r w:rsidR="00315AFC" w:rsidRPr="0052431D">
        <w:rPr>
          <w:rFonts w:asciiTheme="minorHAnsi" w:hAnsiTheme="minorHAnsi" w:cs="Arial"/>
          <w:bCs/>
          <w:sz w:val="24"/>
          <w:szCs w:val="24"/>
          <w:lang w:val="en-GB"/>
        </w:rPr>
        <w:instrText>ADDIN CSL_CITATION {"citationItems":[{"id":"ITEM-1","itemData":{"DOI":"10.1186/s13071-014-0587-2","ISSN":"1756-3305","PMID":"25511298","abstract":"BACKGROUND: Co-infection with S. mansoni and Human Immunodeficiency Virus-1 (HIV-1) has been described in sub-Saharan Africa. However, few community-based studies have been conducted to assess the association between the two diseases. The present study examined whether the infection with HIV-1 is associated with an altered susceptibility to S. mansoni infection by comparing the prevalence and intensity of S. mansoni infection among those infected and not infected with HIV-1. Any influence of HIV-1 associated immunodeficiency on the intensity of S. mansoni infection was also investigated. METHODS: A cross-sectional study was conducted among 1,785 randomly selected adults (aged 21-55 years) in fishing villages of north-western Tanzania. Single stool samples were obtained and examined for S. mansoni eggs using the Kato Katz technique. Finger prick and venous blood samples were collected for HIV-1 screening and CD4(+) cell quantification. Demographic information was collected by questionnaire. RESULTS: Of the 1,785 individuals from whom complete data were obtained, 854 (47.85%, 95% CI; 40.46 - 56.57) were infected with S. mansoni and had a mean intensity of 183.21(95% CI; 165.61-202.70) eggs per gram of faeces (epg). A total of 125 individuals (6.29%, 95% CI 3.59-11.04) were infected with HIV-1 and only 40% (n=50) of them were co-infected with S. mansoni. No differences in prevalence of S. mansoni infection or intensities of infection, as estimated by egg count (epg), were observed between HIV-1 sero-positive individuals and HIV-1 negative individuals. In generalized regression models (adjusted for sex, age, occupation, residence and level of education), being infected with HIV-1 did not increase the risk (APR=1.01, 95%; 0.83-1.21, P=0.93) or intensity (AOR = 0.84, 95% CI; 0.56-1.25, P = 0.33) of S. mansoni infection. Among individuals co-infected with HIV-1 and S. mansoni infection, the intensity of infection (epg) was not associated (P = 0.21) or correlated (P = 0.13) with CD4(+) cell counts. CONCLUSION: Our findings suggest that HIV-1 infection may not have a major effect on S. mansoni infection or on the excretion of eggs from the co-infected individuals. However, further studies are needed to understand the biological interaction between HIV-1 and S. mansoni in a large cohort of co-infected individuals.","author":[{"dropping-particle":"","family":"Mazigo","given":"Humphrey D","non-dropping-particle":"","parse-names":false,"suffix":""},{"dropping-particle":"","family":"Dunne","given":"David W","non-dropping-particle":"","parse-names":false,"suffix":""},{"dropping-particle":"","family":"Wilson","given":"Shona","non-dropping-particle":"","parse-names":false,"suffix":""},{"dropping-particle":"","family":"Kinung'hi","given":"Safari M","non-dropping-particle":"","parse-names":false,"suffix":""},{"dropping-particle":"","family":"Pinot de Moira","given":"Angela","non-dropping-particle":"","parse-names":false,"suffix":""},{"dropping-particle":"","family":"Jones","given":"Frances M","non-dropping-particle":"","parse-names":false,"suffix":""},{"dropping-particle":"","family":"Morona","given":"Domenica","non-dropping-particle":"","parse-names":false,"suffix":""},{"dropping-particle":"","family":"Nuwaha","given":"Fred","non-dropping-particle":"","parse-names":false,"suffix":""}],"container-title":"Parasit Vectors","id":"ITEM-1","issued":{"date-parts":[["2014","1"]]},"page":"587","title":"Co-infection with Schistosoma mansoni and Human Immunodeficiency Virus-1 (HIV-1) among residents of fishing villages of north-western Tanzania.","type":"article-journal","volume":"7"},"uris":["http://www.mendeley.com/documents/?uuid=11a6cd4b-8651-416e-9f32-61883b1c7e4e"]},{"id":"ITEM-2","itemData":{"DOI":"10.1111/tmi.12531","ISSN":"1365-3156","PMID":"25940951","abstract":"OBJECTIVE: It has been suggested that Schistosoma mansoni, which is endemic in African fishing communities, might increase susceptibility to human immunodeficiency virus (HIV) acquisition. If confirmed, this would be of great public health importance in these high HIV-risk communities. This study was undertaken to determine whether S. mansoni infection is a risk factor for HIV infection among the fishing communities of Lake Victoria, Uganda. We conducted a matched case-control study, nested within a prospective HIV incidence cohort, including 50 HIV seroconverters (cases) and 150 controls during 2009-2011. METHODS: S. mansoni infection prior to HIV seroconversion was determined by measuring serum circulating anodic antigen (CAA) in stored serum. HIV testing was carried out using the Determine rapid test and infection confirmed by enzyme-linked immunosorbent assays. RESULTS: About 49% of cases and 52% of controls had S. mansoni infection prior to HIV seroconversion (or at the time of a similar study visit, for controls): odds ratio, adjusting for ethnicity, religion, marital status, education, occupation, frequency of alcohol consumption in previous 3 months, number of sexual partners while drunk, duration of stay in the community, and history of schistosomiasis treatment in the past 2 years was 1.23 (95% CI 0.3-5.7) P = 0.79. S. mansoni infections were chronic (with little change in status between enrolment and HIV seroconversion), and there was no difference in median CAA concentration between cases and controls. CONCLUSIONS: These results do not support the hypothesis that S. mansoni infection promotes HIV acquisition.","author":[{"dropping-particle":"","family":"Ssetaala","given":"Ali","non-dropping-particle":"","parse-names":false,"suffix":""},{"dropping-particle":"","family":"Nakiyingi-Miiro","given":"Jessica","non-dropping-particle":"","parse-names":false,"suffix":""},{"dropping-particle":"","family":"Asiki","given":"Gershim","non-dropping-particle":"","parse-names":false,"suffix":""},{"dropping-particle":"","family":"Kyakuwa","given":"Nassim","non-dropping-particle":"","parse-names":false,"suffix":""},{"dropping-particle":"","family":"Mpendo","given":"Juliet","non-dropping-particle":"","parse-names":false,"suffix":""},{"dropping-particle":"","family":"Dam","given":"Govert J","non-dropping-particle":"Van","parse-names":false,"suffix":""},{"dropping-particle":"","family":"Corstjens","given":"Paul L","non-dropping-particle":"","parse-names":false,"suffix":""},{"dropping-particle":"","family":"Pala","given":"Pietro","non-dropping-particle":"","parse-names":false,"suffix":""},{"dropping-particle":"","family":"Nielsen","given":"Leslie","non-dropping-particle":"","parse-names":false,"suffix":""},{"dropping-particle":"De","family":"Bont","given":"Jan","non-dropping-particle":"","parse-names":false,"suffix":""},{"dropping-particle":"","family":"Pantaleo","given":"Giuseppe","non-dropping-particle":"","parse-names":false,"suffix":""},{"dropping-particle":"","family":"Kiwanuka","given":"Noah","non-dropping-particle":"","parse-names":false,"suffix":""},{"dropping-particle":"","family":"Kaleebu","given":"Pontiano","non-dropping-particle":"","parse-names":false,"suffix":""},{"dropping-particle":"","family":"Kamali","given":"Anatoli","non-dropping-particle":"","parse-names":false,"suffix":""},{"dropping-particle":"","family":"Elliott","given":"Alison M","non-dropping-particle":"","parse-names":false,"suffix":""}],"container-title":"Trop Med Int Health","id":"ITEM-2","issue":"9","issued":{"date-parts":[["2015","9"]]},"page":"1190-1195","title":"Schistosoma mansoni and HIV acquisition in fishing communities of Lake Victoria, Uganda: a nested case-control study.","type":"article-journal","volume":"20"},"uris":["http://www.mendeley.com/documents/?uuid=f1195016-6a9b-46c6-ac76-482732e2fe2d"]}],"mendeley":{"formattedCitation":"[11,12]","plainTextFormattedCitation":"[11,12]","previouslyFormattedCitation":"[11,12]"},"properties":{"noteIndex":0},"schema":"https://github.com/citation-style-language/schema/raw/master/csl-citation.json"}</w:instrText>
      </w:r>
      <w:r w:rsidR="00B5225F" w:rsidRPr="0052431D">
        <w:rPr>
          <w:rFonts w:asciiTheme="minorHAnsi" w:hAnsiTheme="minorHAnsi" w:cs="Arial"/>
          <w:bCs/>
          <w:sz w:val="24"/>
          <w:szCs w:val="24"/>
          <w:lang w:val="en-GB"/>
        </w:rPr>
        <w:fldChar w:fldCharType="separate"/>
      </w:r>
      <w:r w:rsidR="00315AFC" w:rsidRPr="0052431D">
        <w:rPr>
          <w:rFonts w:asciiTheme="minorHAnsi" w:hAnsiTheme="minorHAnsi" w:cs="Arial"/>
          <w:bCs/>
          <w:noProof/>
          <w:sz w:val="24"/>
          <w:szCs w:val="24"/>
          <w:lang w:val="en-GB"/>
        </w:rPr>
        <w:t>[11,12]</w:t>
      </w:r>
      <w:r w:rsidR="00B5225F" w:rsidRPr="0052431D">
        <w:rPr>
          <w:rFonts w:asciiTheme="minorHAnsi" w:hAnsiTheme="minorHAnsi" w:cs="Arial"/>
          <w:bCs/>
          <w:sz w:val="24"/>
          <w:szCs w:val="24"/>
          <w:lang w:val="en-GB"/>
        </w:rPr>
        <w:fldChar w:fldCharType="end"/>
      </w:r>
      <w:r w:rsidR="00006535">
        <w:rPr>
          <w:rFonts w:asciiTheme="minorHAnsi" w:hAnsiTheme="minorHAnsi" w:cs="Arial"/>
          <w:bCs/>
          <w:sz w:val="24"/>
          <w:szCs w:val="24"/>
          <w:lang w:val="en-GB"/>
        </w:rPr>
        <w:t>,</w:t>
      </w:r>
      <w:r w:rsidRPr="0052431D">
        <w:rPr>
          <w:rFonts w:asciiTheme="minorHAnsi" w:hAnsiTheme="minorHAnsi" w:cs="Arial"/>
          <w:bCs/>
          <w:sz w:val="24"/>
          <w:szCs w:val="24"/>
          <w:lang w:val="en-GB"/>
        </w:rPr>
        <w:t xml:space="preserve"> w</w:t>
      </w:r>
      <w:r w:rsidR="00693682" w:rsidRPr="0052431D">
        <w:rPr>
          <w:rFonts w:asciiTheme="minorHAnsi" w:hAnsiTheme="minorHAnsi" w:cs="Arial"/>
          <w:bCs/>
          <w:sz w:val="24"/>
          <w:szCs w:val="24"/>
          <w:lang w:val="en-GB"/>
        </w:rPr>
        <w:t xml:space="preserve">e did not observe </w:t>
      </w:r>
      <w:r w:rsidR="001733E0">
        <w:rPr>
          <w:rFonts w:asciiTheme="minorHAnsi" w:hAnsiTheme="minorHAnsi" w:cs="Arial"/>
          <w:bCs/>
          <w:sz w:val="24"/>
          <w:szCs w:val="24"/>
          <w:lang w:val="en-GB"/>
        </w:rPr>
        <w:t>a</w:t>
      </w:r>
      <w:r w:rsidR="001733E0" w:rsidRPr="0052431D">
        <w:rPr>
          <w:rFonts w:asciiTheme="minorHAnsi" w:hAnsiTheme="minorHAnsi" w:cs="Arial"/>
          <w:bCs/>
          <w:sz w:val="24"/>
          <w:szCs w:val="24"/>
          <w:lang w:val="en-GB"/>
        </w:rPr>
        <w:t xml:space="preserve"> </w:t>
      </w:r>
      <w:r w:rsidR="001733E0">
        <w:rPr>
          <w:rFonts w:asciiTheme="minorHAnsi" w:hAnsiTheme="minorHAnsi" w:cs="Arial"/>
          <w:bCs/>
          <w:sz w:val="24"/>
          <w:szCs w:val="24"/>
          <w:lang w:val="en-GB"/>
        </w:rPr>
        <w:t xml:space="preserve">statistically significant </w:t>
      </w:r>
      <w:r w:rsidR="00E162F1" w:rsidRPr="0052431D">
        <w:rPr>
          <w:rFonts w:asciiTheme="minorHAnsi" w:hAnsiTheme="minorHAnsi" w:cs="Arial"/>
          <w:bCs/>
          <w:sz w:val="24"/>
          <w:szCs w:val="24"/>
          <w:lang w:val="en-GB"/>
        </w:rPr>
        <w:t>association between schistosome and HIV infections in</w:t>
      </w:r>
      <w:r w:rsidR="00A246F2" w:rsidRPr="0052431D">
        <w:rPr>
          <w:rFonts w:asciiTheme="minorHAnsi" w:hAnsiTheme="minorHAnsi" w:cs="Arial"/>
          <w:bCs/>
          <w:sz w:val="24"/>
          <w:szCs w:val="24"/>
          <w:lang w:val="en-GB"/>
        </w:rPr>
        <w:t xml:space="preserve"> persons of either sex</w:t>
      </w:r>
      <w:r w:rsidRPr="0052431D">
        <w:rPr>
          <w:rFonts w:asciiTheme="minorHAnsi" w:hAnsiTheme="minorHAnsi" w:cs="Arial"/>
          <w:bCs/>
          <w:sz w:val="24"/>
          <w:szCs w:val="24"/>
          <w:lang w:val="en-GB"/>
        </w:rPr>
        <w:t xml:space="preserve">. </w:t>
      </w:r>
      <w:r w:rsidR="00354F80" w:rsidRPr="0052431D">
        <w:rPr>
          <w:rFonts w:asciiTheme="minorHAnsi" w:hAnsiTheme="minorHAnsi" w:cs="Arial"/>
          <w:bCs/>
          <w:sz w:val="24"/>
          <w:szCs w:val="24"/>
          <w:lang w:val="en-GB"/>
        </w:rPr>
        <w:t>Notably, o</w:t>
      </w:r>
      <w:r w:rsidR="001D69A5" w:rsidRPr="0052431D">
        <w:rPr>
          <w:rFonts w:asciiTheme="minorHAnsi" w:hAnsiTheme="minorHAnsi" w:cs="Arial"/>
          <w:bCs/>
          <w:sz w:val="24"/>
          <w:szCs w:val="24"/>
          <w:lang w:val="en-GB"/>
        </w:rPr>
        <w:t>ur</w:t>
      </w:r>
      <w:r w:rsidR="00E162F1" w:rsidRPr="0052431D">
        <w:rPr>
          <w:rFonts w:asciiTheme="minorHAnsi" w:hAnsiTheme="minorHAnsi" w:cs="Arial"/>
          <w:bCs/>
          <w:sz w:val="24"/>
          <w:szCs w:val="24"/>
          <w:lang w:val="en-GB"/>
        </w:rPr>
        <w:t xml:space="preserve"> findings </w:t>
      </w:r>
      <w:r w:rsidR="001D69A5" w:rsidRPr="0052431D">
        <w:rPr>
          <w:rFonts w:asciiTheme="minorHAnsi" w:hAnsiTheme="minorHAnsi" w:cs="Arial"/>
          <w:bCs/>
          <w:sz w:val="24"/>
          <w:szCs w:val="24"/>
          <w:lang w:val="en-GB"/>
        </w:rPr>
        <w:t>diverge</w:t>
      </w:r>
      <w:r w:rsidR="004D0A20" w:rsidRPr="0052431D">
        <w:rPr>
          <w:rFonts w:asciiTheme="minorHAnsi" w:hAnsiTheme="minorHAnsi" w:cs="Arial"/>
          <w:bCs/>
          <w:sz w:val="24"/>
          <w:szCs w:val="24"/>
          <w:lang w:val="en-GB"/>
        </w:rPr>
        <w:t xml:space="preserve"> from longitudinal studies in Tanzania and Zambia that were conducted among populations with</w:t>
      </w:r>
      <w:r w:rsidR="00E162F1" w:rsidRPr="0052431D">
        <w:rPr>
          <w:rFonts w:asciiTheme="minorHAnsi" w:hAnsiTheme="minorHAnsi" w:cs="Arial"/>
          <w:bCs/>
          <w:sz w:val="24"/>
          <w:szCs w:val="24"/>
          <w:lang w:val="en-GB"/>
        </w:rPr>
        <w:t xml:space="preserve"> a</w:t>
      </w:r>
      <w:r w:rsidR="00457557" w:rsidRPr="0052431D">
        <w:rPr>
          <w:rFonts w:asciiTheme="minorHAnsi" w:hAnsiTheme="minorHAnsi" w:cs="Arial"/>
          <w:bCs/>
          <w:sz w:val="24"/>
          <w:szCs w:val="24"/>
          <w:lang w:val="en-GB"/>
        </w:rPr>
        <w:t xml:space="preserve"> greater prevalence of </w:t>
      </w:r>
      <w:r w:rsidR="00457557" w:rsidRPr="0052431D">
        <w:rPr>
          <w:rFonts w:asciiTheme="minorHAnsi" w:hAnsiTheme="minorHAnsi" w:cs="Arial"/>
          <w:bCs/>
          <w:i/>
          <w:sz w:val="24"/>
          <w:szCs w:val="24"/>
          <w:lang w:val="en-GB"/>
        </w:rPr>
        <w:t xml:space="preserve">S. haematobium </w:t>
      </w:r>
      <w:r w:rsidR="00457557" w:rsidRPr="0052431D">
        <w:rPr>
          <w:rFonts w:asciiTheme="minorHAnsi" w:hAnsiTheme="minorHAnsi" w:cs="Arial"/>
          <w:bCs/>
          <w:sz w:val="24"/>
          <w:szCs w:val="24"/>
          <w:lang w:val="en-GB"/>
        </w:rPr>
        <w:t>infection</w:t>
      </w:r>
      <w:r w:rsidR="00E162F1" w:rsidRPr="0052431D">
        <w:rPr>
          <w:rFonts w:asciiTheme="minorHAnsi" w:hAnsiTheme="minorHAnsi" w:cs="Arial"/>
          <w:bCs/>
          <w:sz w:val="24"/>
          <w:szCs w:val="24"/>
          <w:lang w:val="en-GB"/>
        </w:rPr>
        <w:t xml:space="preserve"> and varying levels of</w:t>
      </w:r>
      <w:r w:rsidR="00457557" w:rsidRPr="0052431D">
        <w:rPr>
          <w:rFonts w:asciiTheme="minorHAnsi" w:hAnsiTheme="minorHAnsi" w:cs="Arial"/>
          <w:bCs/>
          <w:sz w:val="24"/>
          <w:szCs w:val="24"/>
          <w:lang w:val="en-GB"/>
        </w:rPr>
        <w:t xml:space="preserve"> HIV-risk behavio</w:t>
      </w:r>
      <w:r w:rsidR="001733E0">
        <w:rPr>
          <w:rFonts w:asciiTheme="minorHAnsi" w:hAnsiTheme="minorHAnsi" w:cs="Arial"/>
          <w:bCs/>
          <w:sz w:val="24"/>
          <w:szCs w:val="24"/>
          <w:lang w:val="en-GB"/>
        </w:rPr>
        <w:t>u</w:t>
      </w:r>
      <w:r w:rsidR="00457557" w:rsidRPr="0052431D">
        <w:rPr>
          <w:rFonts w:asciiTheme="minorHAnsi" w:hAnsiTheme="minorHAnsi" w:cs="Arial"/>
          <w:bCs/>
          <w:sz w:val="24"/>
          <w:szCs w:val="24"/>
          <w:lang w:val="en-GB"/>
        </w:rPr>
        <w:t>r</w:t>
      </w:r>
      <w:r w:rsidR="001D69A5" w:rsidRPr="0052431D">
        <w:rPr>
          <w:rFonts w:asciiTheme="minorHAnsi" w:hAnsiTheme="minorHAnsi" w:cs="Arial"/>
          <w:bCs/>
          <w:sz w:val="24"/>
          <w:szCs w:val="24"/>
          <w:lang w:val="en-GB"/>
        </w:rPr>
        <w:t>,</w:t>
      </w:r>
      <w:r w:rsidR="00E162F1" w:rsidRPr="0052431D">
        <w:rPr>
          <w:rFonts w:asciiTheme="minorHAnsi" w:hAnsiTheme="minorHAnsi" w:cs="Arial"/>
          <w:bCs/>
          <w:sz w:val="24"/>
          <w:szCs w:val="24"/>
          <w:lang w:val="en-GB"/>
        </w:rPr>
        <w:t xml:space="preserve"> in which incident HIV was associated with prior schistosome infection</w:t>
      </w:r>
      <w:r w:rsidR="00B5225F" w:rsidRPr="0052431D">
        <w:rPr>
          <w:rFonts w:asciiTheme="minorHAnsi" w:hAnsiTheme="minorHAnsi" w:cs="Arial"/>
          <w:bCs/>
          <w:sz w:val="24"/>
          <w:szCs w:val="24"/>
          <w:lang w:val="en-GB"/>
        </w:rPr>
        <w:t xml:space="preserve"> </w:t>
      </w:r>
      <w:r w:rsidR="00B5225F" w:rsidRPr="0052431D">
        <w:rPr>
          <w:rFonts w:asciiTheme="minorHAnsi" w:hAnsiTheme="minorHAnsi" w:cs="Arial"/>
          <w:bCs/>
          <w:sz w:val="24"/>
          <w:szCs w:val="24"/>
          <w:lang w:val="en-GB"/>
        </w:rPr>
        <w:fldChar w:fldCharType="begin" w:fldLock="1"/>
      </w:r>
      <w:r w:rsidR="00315AFC" w:rsidRPr="0052431D">
        <w:rPr>
          <w:rFonts w:asciiTheme="minorHAnsi" w:hAnsiTheme="minorHAnsi" w:cs="Arial"/>
          <w:bCs/>
          <w:sz w:val="24"/>
          <w:szCs w:val="24"/>
          <w:lang w:val="en-GB"/>
        </w:rPr>
        <w:instrText>ADDIN CSL_CITATION {"citationItems":[{"id":"ITEM-1","itemData":{"DOI":"10.1371/journal.pntd.0005968","ISSN":"1935-2735","PMID":"28945756","abstract":"BACKGROUND Schistosomiasis affects 218 million people worldwide, with most infections in Africa. Prevalence studies suggest that people with chronic schistosomiasis may have higher risk of HIV-1 acquisition and impaired ability to control HIV-1 replication once infected. We hypothesized that: (1) pre-existing schistosome infection may increase the odds of HIV-1 acquisition and that the effects may differ between men and women, and (2) individuals with active schistosome infection at the time of HIV-1 acquisition may have impaired immune control of HIV-1, resulting in higher HIV-1 viral loads at HIV-1 seroconversion. METHODOLOGY/PRINCIPAL FINDINGS We conducted a nested case-control study within a large population-based survey of HIV-1 transmission in Tanzania. A population of adults from seven villages was tested for HIV in 2007, 2010, and 2013 and dried blood spots were archived for future studies with participants' consent. Approximately 40% of this population has Schistosoma mansoni infection, and 2% has S. haematobium. We tested for schistosome antigens in the pre- and post-HIV-1-seroconversion blood spots of people who acquired HIV-1. We also tested blood spots of matched controls who did not acquire HIV-1 and calculated the odds that a person with schistosomiasis would become HIV-1-infected compared to these matched controls. Analysis was stratified by gender. We compared 73 HIV-1 seroconverters with 265 controls. Women with schistosome infections had a higher odds of HIV-1 acquisition than those without (adjusted OR = 2.8 [1.2-6.6], p = 0.019). Schistosome-infected men did not have an increased odds of HIV-1 acquisition (adjusted OR = 0.7 [0.3-1.8], p = 0.42). We additionally compared HIV-1 RNA levels in the post-seroconversion blood spots in HIV-1 seroconverters with schistosomiasis versus those without who became HIV-infected in 2010, before antiretroviral therapy was widely available in the region. The median whole blood HIV-1 RNA level in the 15 HIV-1 seroconverters with schistosome infection was significantly higher than in the 22 without schistosomiasis: 4.4 [3.9-4.6] log10 copies/mL versus 3.7 [3.2-4.3], p = 0.017. CONCLUSIONS/SIGNIFICANCE We confirm, in an area with endemic S. mansoni, that pre-existing schistosome infection increases odds of HIV-1 acquisition in women and raises HIV-1 viral load at the time of HIV-1 seroconversion. This is the first study to demonstrate the effect of schistosome infection on HIV-1 susceptibility and viral…","author":[{"dropping-particle":"","family":"Downs","given":"Jennifer A","non-dropping-particle":"","parse-names":false,"suffix":""},{"dropping-particle":"","family":"Dupnik","given":"Kathryn M","non-dropping-particle":"","parse-names":false,"suffix":""},{"dropping-particle":"","family":"Dam","given":"Govert J","non-dropping-particle":"van","parse-names":false,"suffix":""},{"dropping-particle":"","family":"Urassa","given":"Mark","non-dropping-particle":"","parse-names":false,"suffix":""},{"dropping-particle":"","family":"Lutonja","given":"Peter","non-dropping-particle":"","parse-names":false,"suffix":""},{"dropping-particle":"","family":"Kornelis","given":"Dieuwke","non-dropping-particle":"","parse-names":false,"suffix":""},{"dropping-particle":"","family":"Dood","given":"Claudia J","non-dropping-particle":"de","parse-names":false,"suffix":""},{"dropping-particle":"","family":"Hoekstra","given":"Pytsje","non-dropping-particle":"","parse-names":false,"suffix":""},{"dropping-particle":"","family":"Kanjala","given":"Chifundo","non-dropping-particle":"","parse-names":false,"suffix":""},{"dropping-particle":"","family":"Isingo","given":"Raphael","non-dropping-particle":"","parse-names":false,"suffix":""},{"dropping-particle":"","family":"Peck","given":"Robert N","non-dropping-particle":"","parse-names":false,"suffix":""},{"dropping-particle":"","family":"Lee","given":"Myung Hee","non-dropping-particle":"","parse-names":false,"suffix":""},{"dropping-particle":"","family":"Corstjens","given":"Paul L A M","non-dropping-particle":"","parse-names":false,"suffix":""},{"dropping-particle":"","family":"Todd","given":"Jim","non-dropping-particle":"","parse-names":false,"suffix":""},{"dropping-particle":"","family":"Changalucha","given":"John M","non-dropping-particle":"","parse-names":false,"suffix":""},{"dropping-particle":"","family":"Johnson","given":"Warren D","non-dropping-particle":"","parse-names":false,"suffix":""},{"dropping-particle":"","family":"Fitzgerald","given":"Daniel W","non-dropping-particle":"","parse-names":false,"suffix":""}],"container-title":"PLoS Negl Trop Dis","editor":[{"dropping-particle":"","family":"Hsieh","given":"Michael H.","non-dropping-particle":"","parse-names":false,"suffix":""}],"id":"ITEM-1","issue":"9","issued":{"date-parts":[["2017","9","25"]]},"page":"e0005968","title":"Effects of schistosomiasis on susceptibility to HIV-1 infection and HIV-1 viral load at HIV-1 seroconversion: A nested case-control study.","type":"article-journal","volume":"11"},"uris":["http://www.mendeley.com/documents/?uuid=dfb5ab5f-addf-3db0-8dd4-1074c63b3405"]},{"id":"ITEM-2","itemData":{"DOI":"10.1371/journal.pntd.0006902","ISSN":"1935-2735","PMID":"30543654","abstract":"BACKGROUND We examined relationships between schistosome infection, HIV transmission or acquisition, and all-cause death. METHODS We retrospectively tested baseline sera from a heterosexual HIV-discordant couple cohort in Lusaka, Zambia with follow-up from 1994-2012 in a nested case-control design. Schistosome-specific antibody levels were measured by ELISA. Associations between baseline antibody response to schistosome antigens and incident HIV transmission, acquisition, and all-cause death stratified by gender and HIV status were assessed. In a subset of HIV- women and HIV+ men, we performed immunoblots to evaluate associations between Schistosoma haematobium or Schistosoma mansoni infection history and HIV incidence. RESULTS Of 2,145 individuals, 59% had positive baseline schistosome-specific antibody responses. In HIV+ women and men, baseline schistosome-specific antibodies were associated with HIV transmission to partners (adjusted hazard ratio [aHR] = 1.8, p&lt;0.005 and aHR = 1.4, p&lt;0.05, respectively) and death in HIV+ women (aHR = 2.2, p&lt;0.001). In 250 HIV- women, presence of S. haematobium-specific antibodies was associated with increased risk of HIV acquisition (aHR = 1.4, p&lt;0.05). CONCLUSION Schistosome infections were associated with increased transmission of HIV from both sexes, acquisition of HIV in women, and increased progression to death in HIV+ women. Establishing effective prevention and treatment strategies for schistosomiasis, including in urban adults, may reduce HIV incidence and death in HIV+ persons living in endemic areas.","author":[{"dropping-particle":"","family":"Wall","given":"Kristin M.","non-dropping-particle":"","parse-names":false,"suffix":""},{"dropping-particle":"","family":"Kilembe","given":"William","non-dropping-particle":"","parse-names":false,"suffix":""},{"dropping-particle":"","family":"Vwalika","given":"Bellington","non-dropping-particle":"","parse-names":false,"suffix":""},{"dropping-particle":"","family":"Dinh","given":"Cecile","non-dropping-particle":"","parse-names":false,"suffix":""},{"dropping-particle":"","family":"Livingston","given":"Paul","non-dropping-particle":"","parse-names":false,"suffix":""},{"dropping-particle":"","family":"Lee","given":"Yeuk-Mui","non-dropping-particle":"","parse-names":false,"suffix":""},{"dropping-particle":"","family":"Lakhi","given":"Shabir","non-dropping-particle":"","parse-names":false,"suffix":""},{"dropping-particle":"","family":"Boeras","given":"Debi","non-dropping-particle":"","parse-names":false,"suffix":""},{"dropping-particle":"","family":"Naw","given":"Htee Khu","non-dropping-particle":"","parse-names":false,"suffix":""},{"dropping-particle":"","family":"Brill","given":"Ilene","non-dropping-particle":"","parse-names":false,"suffix":""},{"dropping-particle":"","family":"Chomba","given":"Elwyn","non-dropping-particle":"","parse-names":false,"suffix":""},{"dropping-particle":"","family":"Sharkey","given":"Tyronza","non-dropping-particle":"","parse-names":false,"suffix":""},{"dropping-particle":"","family":"Parker","given":"Rachel","non-dropping-particle":"","parse-names":false,"suffix":""},{"dropping-particle":"","family":"Shutes","given":"Erin","non-dropping-particle":"","parse-names":false,"suffix":""},{"dropping-particle":"","family":"Tichacek","given":"Amanda","non-dropping-particle":"","parse-names":false,"suffix":""},{"dropping-particle":"","family":"Secor","given":"W. Evan","non-dropping-particle":"","parse-names":false,"suffix":""},{"dropping-particle":"","family":"Allen","given":"Susan","non-dropping-particle":"","parse-names":false,"suffix":""}],"container-title":"PLoS Negl Trop Dis","editor":[{"dropping-particle":"","family":"Bustinduy","given":"Amaya Lopez","non-dropping-particle":"","parse-names":false,"suffix":""}],"id":"ITEM-2","issue":"12","issued":{"date-parts":[["2018","12","13"]]},"page":"e0006902","title":"Schistosomiasis is associated with incident HIV transmission and death in Zambia","type":"article-journal","volume":"12"},"uris":["http://www.mendeley.com/documents/?uuid=25229fb0-a201-33bb-9059-8a8529b601c4"]}],"mendeley":{"formattedCitation":"[9,10]","plainTextFormattedCitation":"[9,10]","previouslyFormattedCitation":"[9,10]"},"properties":{"noteIndex":0},"schema":"https://github.com/citation-style-language/schema/raw/master/csl-citation.json"}</w:instrText>
      </w:r>
      <w:r w:rsidR="00B5225F" w:rsidRPr="0052431D">
        <w:rPr>
          <w:rFonts w:asciiTheme="minorHAnsi" w:hAnsiTheme="minorHAnsi" w:cs="Arial"/>
          <w:bCs/>
          <w:sz w:val="24"/>
          <w:szCs w:val="24"/>
          <w:lang w:val="en-GB"/>
        </w:rPr>
        <w:fldChar w:fldCharType="separate"/>
      </w:r>
      <w:r w:rsidR="00315AFC" w:rsidRPr="0052431D">
        <w:rPr>
          <w:rFonts w:asciiTheme="minorHAnsi" w:hAnsiTheme="minorHAnsi" w:cs="Arial"/>
          <w:bCs/>
          <w:noProof/>
          <w:sz w:val="24"/>
          <w:szCs w:val="24"/>
          <w:lang w:val="en-GB"/>
        </w:rPr>
        <w:t>[9,10]</w:t>
      </w:r>
      <w:r w:rsidR="00B5225F" w:rsidRPr="0052431D">
        <w:rPr>
          <w:rFonts w:asciiTheme="minorHAnsi" w:hAnsiTheme="minorHAnsi" w:cs="Arial"/>
          <w:bCs/>
          <w:sz w:val="24"/>
          <w:szCs w:val="24"/>
          <w:lang w:val="en-GB"/>
        </w:rPr>
        <w:fldChar w:fldCharType="end"/>
      </w:r>
      <w:r w:rsidR="00006535">
        <w:rPr>
          <w:rFonts w:asciiTheme="minorHAnsi" w:hAnsiTheme="minorHAnsi" w:cs="Arial"/>
          <w:bCs/>
          <w:sz w:val="24"/>
          <w:szCs w:val="24"/>
          <w:lang w:val="en-GB"/>
        </w:rPr>
        <w:t>.</w:t>
      </w:r>
      <w:r w:rsidRPr="0052431D">
        <w:rPr>
          <w:rFonts w:asciiTheme="minorHAnsi" w:hAnsiTheme="minorHAnsi" w:cs="Arial"/>
          <w:bCs/>
          <w:sz w:val="24"/>
          <w:szCs w:val="24"/>
          <w:lang w:val="en-GB"/>
        </w:rPr>
        <w:t xml:space="preserve"> </w:t>
      </w:r>
      <w:r w:rsidR="00354F80" w:rsidRPr="0052431D">
        <w:rPr>
          <w:rFonts w:asciiTheme="minorHAnsi" w:hAnsiTheme="minorHAnsi" w:cs="Arial"/>
          <w:bCs/>
          <w:sz w:val="24"/>
          <w:szCs w:val="24"/>
          <w:lang w:val="en-GB"/>
        </w:rPr>
        <w:t xml:space="preserve">While not specifically delineated in our study, it is likely that the vast majority of infections </w:t>
      </w:r>
      <w:r w:rsidR="00B5650C" w:rsidRPr="0052431D">
        <w:rPr>
          <w:rFonts w:asciiTheme="minorHAnsi" w:hAnsiTheme="minorHAnsi" w:cs="Arial"/>
          <w:bCs/>
          <w:sz w:val="24"/>
          <w:szCs w:val="24"/>
          <w:lang w:val="en-GB"/>
        </w:rPr>
        <w:t xml:space="preserve">we observed </w:t>
      </w:r>
      <w:r w:rsidR="00354F80" w:rsidRPr="0052431D">
        <w:rPr>
          <w:rFonts w:asciiTheme="minorHAnsi" w:hAnsiTheme="minorHAnsi" w:cs="Arial"/>
          <w:bCs/>
          <w:sz w:val="24"/>
          <w:szCs w:val="24"/>
          <w:lang w:val="en-GB"/>
        </w:rPr>
        <w:t xml:space="preserve">were caused by </w:t>
      </w:r>
      <w:r w:rsidR="00354F80" w:rsidRPr="0052431D">
        <w:rPr>
          <w:rFonts w:asciiTheme="minorHAnsi" w:hAnsiTheme="minorHAnsi" w:cs="Arial"/>
          <w:bCs/>
          <w:i/>
          <w:sz w:val="24"/>
          <w:szCs w:val="24"/>
          <w:lang w:val="en-GB"/>
        </w:rPr>
        <w:t xml:space="preserve">S. mansoni </w:t>
      </w:r>
      <w:r w:rsidR="00354F80" w:rsidRPr="0052431D">
        <w:rPr>
          <w:rFonts w:asciiTheme="minorHAnsi" w:hAnsiTheme="minorHAnsi" w:cs="Arial"/>
          <w:bCs/>
          <w:sz w:val="24"/>
          <w:szCs w:val="24"/>
          <w:lang w:val="en-GB"/>
        </w:rPr>
        <w:t xml:space="preserve">and not </w:t>
      </w:r>
      <w:r w:rsidR="00354F80" w:rsidRPr="0052431D">
        <w:rPr>
          <w:rFonts w:asciiTheme="minorHAnsi" w:hAnsiTheme="minorHAnsi" w:cs="Arial"/>
          <w:bCs/>
          <w:i/>
          <w:sz w:val="24"/>
          <w:szCs w:val="24"/>
          <w:lang w:val="en-GB"/>
        </w:rPr>
        <w:t xml:space="preserve">S. haematobium </w:t>
      </w:r>
      <w:r w:rsidR="00A0277B">
        <w:rPr>
          <w:rFonts w:asciiTheme="minorHAnsi" w:hAnsiTheme="minorHAnsi" w:cs="Arial"/>
          <w:bCs/>
          <w:iCs/>
          <w:sz w:val="24"/>
          <w:szCs w:val="24"/>
          <w:lang w:val="en-GB"/>
        </w:rPr>
        <w:t xml:space="preserve">as this is the pathogen prevalent in this region </w:t>
      </w:r>
      <w:r w:rsidR="00354F80" w:rsidRPr="0052431D">
        <w:rPr>
          <w:rFonts w:asciiTheme="minorHAnsi" w:hAnsiTheme="minorHAnsi" w:cs="Arial"/>
          <w:bCs/>
          <w:i/>
          <w:sz w:val="24"/>
          <w:szCs w:val="24"/>
          <w:lang w:val="en-GB"/>
        </w:rPr>
        <w:fldChar w:fldCharType="begin" w:fldLock="1"/>
      </w:r>
      <w:r w:rsidR="00354F80" w:rsidRPr="0052431D">
        <w:rPr>
          <w:rFonts w:asciiTheme="minorHAnsi" w:hAnsiTheme="minorHAnsi" w:cs="Arial"/>
          <w:bCs/>
          <w:i/>
          <w:sz w:val="24"/>
          <w:szCs w:val="24"/>
          <w:lang w:val="en-GB"/>
        </w:rPr>
        <w:instrText>ADDIN CSL_CITATION {"citationItems":[{"id":"ITEM-1","itemData":{"DOI":"10.1186/s13071-014-0587-2","ISSN":"1756-3305","PMID":"25511298","abstract":"BACKGROUND: Co-infection with S. mansoni and Human Immunodeficiency Virus-1 (HIV-1) has been described in sub-Saharan Africa. However, few community-based studies have been conducted to assess the association between the two diseases. The present study examined whether the infection with HIV-1 is associated with an altered susceptibility to S. mansoni infection by comparing the prevalence and intensity of S. mansoni infection among those infected and not infected with HIV-1. Any influence of HIV-1 associated immunodeficiency on the intensity of S. mansoni infection was also investigated. METHODS: A cross-sectional study was conducted among 1,785 randomly selected adults (aged 21-55 years) in fishing villages of north-western Tanzania. Single stool samples were obtained and examined for S. mansoni eggs using the Kato Katz technique. Finger prick and venous blood samples were collected for HIV-1 screening and CD4(+) cell quantification. Demographic information was collected by questionnaire. RESULTS: Of the 1,785 individuals from whom complete data were obtained, 854 (47.85%, 95% CI; 40.46 - 56.57) were infected with S. mansoni and had a mean intensity of 183.21(95% CI; 165.61-202.70) eggs per gram of faeces (epg). A total of 125 individuals (6.29%, 95% CI 3.59-11.04) were infected with HIV-1 and only 40% (n=50) of them were co-infected with S. mansoni. No differences in prevalence of S. mansoni infection or intensities of infection, as estimated by egg count (epg), were observed between HIV-1 sero-positive individuals and HIV-1 negative individuals. In generalized regression models (adjusted for sex, age, occupation, residence and level of education), being infected with HIV-1 did not increase the risk (APR=1.01, 95%; 0.83-1.21, P=0.93) or intensity (AOR = 0.84, 95% CI; 0.56-1.25, P = 0.33) of S. mansoni infection. Among individuals co-infected with HIV-1 and S. mansoni infection, the intensity of infection (epg) was not associated (P = 0.21) or correlated (P = 0.13) with CD4(+) cell counts. CONCLUSION: Our findings suggest that HIV-1 infection may not have a major effect on S. mansoni infection or on the excretion of eggs from the co-infected individuals. However, further studies are needed to understand the biological interaction between HIV-1 and S. mansoni in a large cohort of co-infected individuals.","author":[{"dropping-particle":"","family":"Mazigo","given":"Humphrey D","non-dropping-particle":"","parse-names":false,"suffix":""},{"dropping-particle":"","family":"Dunne","given":"David W","non-dropping-particle":"","parse-names":false,"suffix":""},{"dropping-particle":"","family":"Wilson","given":"Shona","non-dropping-particle":"","parse-names":false,"suffix":""},{"dropping-particle":"","family":"Kinung'hi","given":"Safari M","non-dropping-particle":"","parse-names":false,"suffix":""},{"dropping-particle":"","family":"Pinot de Moira","given":"Angela","non-dropping-particle":"","parse-names":false,"suffix":""},{"dropping-particle":"","family":"Jones","given":"Frances M","non-dropping-particle":"","parse-names":false,"suffix":""},{"dropping-particle":"","family":"Morona","given":"Domenica","non-dropping-particle":"","parse-names":false,"suffix":""},{"dropping-particle":"","family":"Nuwaha","given":"Fred","non-dropping-particle":"","parse-names":false,"suffix":""}],"container-title":"Parasit Vectors","id":"ITEM-1","issued":{"date-parts":[["2014","1"]]},"page":"587","title":"Co-infection with Schistosoma mansoni and Human Immunodeficiency Virus-1 (HIV-1) among residents of fishing villages of north-western Tanzania.","type":"article-journal","volume":"7"},"uris":["http://www.mendeley.com/documents/?uuid=11a6cd4b-8651-416e-9f32-61883b1c7e4e"]},{"id":"ITEM-2","itemData":{"DOI":"10.4269/ajtmh.16-0897","ISSN":"00029637","abstract":"© 2017 by The American Society of Tropical Medicine and Hygiene. Schistosomiasis is a parasitic worm infection that affects over 260 million individuals worldwide. Women with schistosome infections have been demonstrated to have a 4-fold increase in the odds of human immunodeficiency virus (HIV) infection compared with women without schistosome infections. A relationship between schistosome and HIV infections has not been clearly defined in men. Among 674 men aged 18-50 years living in rural Tanzania, we identified 429 (63.6%) who had a schistosome infection as defined by serum positivity for schistosome circulating anodic antigen, visualization of parasite eggs in urine or stool, or both. HIV infection was identified in 38 (5.6%). The odds of HIV infection was 1.3 [95% confidence interval = 0.6-2.5] (P = 0.53) among men with any schistosome infection (Schistosoma haematobium or Schistosoma mansoni), and it was 1.4 [0.6-3.3] (P = 0.43) among men with S. haematobium infection. Men with S. haematobium infection were significantly more likely to report the symptom of hemospermia than men without S. haematobium infection. We conclude that schistosome infections appear to have little to no association with HIV infection in men.","author":[{"dropping-particle":"","family":"Downs","given":"J.A.","non-dropping-particle":"","parse-names":false,"suffix":""},{"dropping-particle":"","family":"Dood","given":"C.J.","non-dropping-particle":"De","parse-names":false,"suffix":""},{"dropping-particle":"","family":"Dee","given":"H.E.","non-dropping-particle":"","parse-names":false,"suffix":""},{"dropping-particle":"","family":"McGeehan","given":"M.","non-dropping-particle":"","parse-names":false,"suffix":""},{"dropping-particle":"","family":"Khan","given":"H.","non-dropping-particle":"","parse-names":false,"suffix":""},{"dropping-particle":"","family":"Marenga","given":"A.","non-dropping-particle":"","parse-names":false,"suffix":""},{"dropping-particle":"","family":"Adel","given":"P.E.","non-dropping-particle":"","parse-names":false,"suffix":""},{"dropping-particle":"","family":"Faustine","given":"E.","non-dropping-particle":"","parse-names":false,"suffix":""},{"dropping-particle":"","family":"Issarow","given":"B.","non-dropping-particle":"","parse-names":false,"suffix":""},{"dropping-particle":"","family":"Kisanga","given":"E.F.","non-dropping-particle":"","parse-names":false,"suffix":""},{"dropping-particle":"","family":"Kisigo","given":"G.A.","non-dropping-particle":"","parse-names":false,"suffix":""},{"dropping-particle":"","family":"Ngahyolerwa","given":"S.","non-dropping-particle":"","parse-names":false,"suffix":""},{"dropping-particle":"","family":"Zahoro","given":"F.","non-dropping-particle":"","parse-names":false,"suffix":""},{"dropping-particle":"","family":"Miyaye","given":"D.","non-dropping-particle":"","parse-names":false,"suffix":""},{"dropping-particle":"","family":"Magawa","given":"R.G.","non-dropping-particle":"","parse-names":false,"suffix":""},{"dropping-particle":"","family":"Mngara","given":"J.","non-dropping-particle":"","parse-names":false,"suffix":""},{"dropping-particle":"","family":"Lee","given":"M.H.","non-dropping-particle":"","parse-names":false,"suffix":""},{"dropping-particle":"","family":"Corstjens","given":"P.L.A.M.","non-dropping-particle":"","parse-names":false,"suffix":""},{"dropping-particle":"","family":"Dam","given":"G.J.","non-dropping-particle":"Van","parse-names":false,"suffix":""},{"dropping-particle":"","family":"Fitzgerald","given":"D.W.","non-dropping-particle":"","parse-names":false,"suffix":""}],"container-title":"Am J Trop Med Hyg","id":"ITEM-2","issue":"4","issued":{"date-parts":[["2017"]]},"page":"856-62","title":"Schistosomiasis and human immunodeficiency virus in men in Tanzania","type":"article-journal","volume":"96"},"uris":["http://www.mendeley.com/documents/?uuid=0282ac00-8bec-37d8-aafd-e56ae6f915fa"]}],"mendeley":{"formattedCitation":"[11,27]","plainTextFormattedCitation":"[11,27]","previouslyFormattedCitation":"[11,27]"},"properties":{"noteIndex":0},"schema":"https://github.com/citation-style-language/schema/raw/master/csl-citation.json"}</w:instrText>
      </w:r>
      <w:r w:rsidR="00354F80" w:rsidRPr="0052431D">
        <w:rPr>
          <w:rFonts w:asciiTheme="minorHAnsi" w:hAnsiTheme="minorHAnsi" w:cs="Arial"/>
          <w:bCs/>
          <w:i/>
          <w:sz w:val="24"/>
          <w:szCs w:val="24"/>
          <w:lang w:val="en-GB"/>
        </w:rPr>
        <w:fldChar w:fldCharType="separate"/>
      </w:r>
      <w:r w:rsidR="00354F80" w:rsidRPr="0052431D">
        <w:rPr>
          <w:rFonts w:asciiTheme="minorHAnsi" w:hAnsiTheme="minorHAnsi" w:cs="Arial"/>
          <w:bCs/>
          <w:noProof/>
          <w:sz w:val="24"/>
          <w:szCs w:val="24"/>
          <w:lang w:val="en-GB"/>
        </w:rPr>
        <w:t>[11,27]</w:t>
      </w:r>
      <w:r w:rsidR="00354F80" w:rsidRPr="0052431D">
        <w:rPr>
          <w:rFonts w:asciiTheme="minorHAnsi" w:hAnsiTheme="minorHAnsi" w:cs="Arial"/>
          <w:bCs/>
          <w:i/>
          <w:sz w:val="24"/>
          <w:szCs w:val="24"/>
          <w:lang w:val="en-GB"/>
        </w:rPr>
        <w:fldChar w:fldCharType="end"/>
      </w:r>
      <w:r w:rsidR="00006535">
        <w:rPr>
          <w:rFonts w:asciiTheme="minorHAnsi" w:hAnsiTheme="minorHAnsi" w:cs="Arial"/>
          <w:bCs/>
          <w:i/>
          <w:sz w:val="24"/>
          <w:szCs w:val="24"/>
          <w:lang w:val="en-GB"/>
        </w:rPr>
        <w:t>.</w:t>
      </w:r>
      <w:r w:rsidR="00354F80" w:rsidRPr="0052431D">
        <w:rPr>
          <w:rFonts w:asciiTheme="minorHAnsi" w:hAnsiTheme="minorHAnsi" w:cs="Arial"/>
          <w:bCs/>
          <w:sz w:val="24"/>
          <w:szCs w:val="24"/>
          <w:lang w:val="en-GB"/>
        </w:rPr>
        <w:t xml:space="preserve"> </w:t>
      </w:r>
      <w:r w:rsidR="002D2826" w:rsidRPr="0052431D">
        <w:rPr>
          <w:rFonts w:asciiTheme="minorHAnsi" w:hAnsiTheme="minorHAnsi" w:cs="Arial"/>
          <w:bCs/>
          <w:sz w:val="24"/>
          <w:szCs w:val="24"/>
          <w:lang w:val="en-GB"/>
        </w:rPr>
        <w:t>Although</w:t>
      </w:r>
      <w:r w:rsidR="00E162F1" w:rsidRPr="0052431D">
        <w:rPr>
          <w:rFonts w:asciiTheme="minorHAnsi" w:hAnsiTheme="minorHAnsi" w:cs="Arial"/>
          <w:bCs/>
          <w:sz w:val="24"/>
          <w:szCs w:val="24"/>
          <w:lang w:val="en-GB"/>
        </w:rPr>
        <w:t xml:space="preserve"> our study</w:t>
      </w:r>
      <w:r w:rsidRPr="0052431D">
        <w:rPr>
          <w:rFonts w:asciiTheme="minorHAnsi" w:hAnsiTheme="minorHAnsi" w:cs="Arial"/>
          <w:bCs/>
          <w:sz w:val="24"/>
          <w:szCs w:val="24"/>
          <w:lang w:val="en-GB"/>
        </w:rPr>
        <w:t xml:space="preserve"> did find a significant positive association between the intensity of schistosome infection and HIV prevalence in men</w:t>
      </w:r>
      <w:r w:rsidR="002D2826" w:rsidRPr="0052431D">
        <w:rPr>
          <w:rFonts w:asciiTheme="minorHAnsi" w:hAnsiTheme="minorHAnsi" w:cs="Arial"/>
          <w:bCs/>
          <w:sz w:val="24"/>
          <w:szCs w:val="24"/>
          <w:lang w:val="en-GB"/>
        </w:rPr>
        <w:t xml:space="preserve"> </w:t>
      </w:r>
      <w:r w:rsidR="001733E0">
        <w:rPr>
          <w:rFonts w:asciiTheme="minorHAnsi" w:hAnsiTheme="minorHAnsi" w:cs="Arial"/>
          <w:bCs/>
          <w:sz w:val="24"/>
          <w:szCs w:val="24"/>
          <w:lang w:val="en-GB"/>
        </w:rPr>
        <w:t xml:space="preserve">in the univariate analysis, </w:t>
      </w:r>
      <w:r w:rsidR="002D2826" w:rsidRPr="0052431D">
        <w:rPr>
          <w:rFonts w:asciiTheme="minorHAnsi" w:hAnsiTheme="minorHAnsi" w:cs="Arial"/>
          <w:bCs/>
          <w:sz w:val="24"/>
          <w:szCs w:val="24"/>
          <w:lang w:val="en-GB"/>
        </w:rPr>
        <w:t>we found no evidence of such an association in women</w:t>
      </w:r>
      <w:r w:rsidR="002B4775" w:rsidRPr="0052431D">
        <w:rPr>
          <w:rFonts w:asciiTheme="minorHAnsi" w:hAnsiTheme="minorHAnsi" w:cs="Arial"/>
          <w:bCs/>
          <w:sz w:val="24"/>
          <w:szCs w:val="24"/>
          <w:lang w:val="en-GB"/>
        </w:rPr>
        <w:t>.</w:t>
      </w:r>
      <w:r w:rsidRPr="0052431D">
        <w:rPr>
          <w:rFonts w:asciiTheme="minorHAnsi" w:hAnsiTheme="minorHAnsi" w:cs="Arial"/>
          <w:bCs/>
          <w:sz w:val="24"/>
          <w:szCs w:val="24"/>
          <w:lang w:val="en-GB"/>
        </w:rPr>
        <w:t xml:space="preserve"> </w:t>
      </w:r>
      <w:r w:rsidR="001733E0">
        <w:rPr>
          <w:rFonts w:asciiTheme="minorHAnsi" w:hAnsiTheme="minorHAnsi" w:cs="Arial"/>
          <w:bCs/>
          <w:sz w:val="24"/>
          <w:szCs w:val="24"/>
          <w:lang w:val="en-GB"/>
        </w:rPr>
        <w:t>An</w:t>
      </w:r>
      <w:r w:rsidR="001733E0" w:rsidRPr="0052431D">
        <w:rPr>
          <w:rFonts w:asciiTheme="minorHAnsi" w:hAnsiTheme="minorHAnsi" w:cs="Arial"/>
          <w:bCs/>
          <w:sz w:val="24"/>
          <w:szCs w:val="24"/>
          <w:lang w:val="en-GB"/>
        </w:rPr>
        <w:t xml:space="preserve"> </w:t>
      </w:r>
      <w:r w:rsidRPr="0052431D">
        <w:rPr>
          <w:rFonts w:asciiTheme="minorHAnsi" w:hAnsiTheme="minorHAnsi" w:cs="Arial"/>
          <w:bCs/>
          <w:sz w:val="24"/>
          <w:szCs w:val="24"/>
          <w:lang w:val="en-GB"/>
        </w:rPr>
        <w:t>association</w:t>
      </w:r>
      <w:r w:rsidR="00E162F1" w:rsidRPr="0052431D">
        <w:rPr>
          <w:rFonts w:asciiTheme="minorHAnsi" w:hAnsiTheme="minorHAnsi" w:cs="Arial"/>
          <w:bCs/>
          <w:sz w:val="24"/>
          <w:szCs w:val="24"/>
          <w:lang w:val="en-GB"/>
        </w:rPr>
        <w:t xml:space="preserve"> </w:t>
      </w:r>
      <w:r w:rsidR="001733E0">
        <w:rPr>
          <w:rFonts w:asciiTheme="minorHAnsi" w:hAnsiTheme="minorHAnsi" w:cs="Arial"/>
          <w:bCs/>
          <w:sz w:val="24"/>
          <w:szCs w:val="24"/>
          <w:lang w:val="en-GB"/>
        </w:rPr>
        <w:t xml:space="preserve">between HIV infection and </w:t>
      </w:r>
      <w:r w:rsidR="00E162F1" w:rsidRPr="0052431D">
        <w:rPr>
          <w:rFonts w:asciiTheme="minorHAnsi" w:hAnsiTheme="minorHAnsi" w:cs="Arial"/>
          <w:bCs/>
          <w:sz w:val="24"/>
          <w:szCs w:val="24"/>
          <w:lang w:val="en-GB"/>
        </w:rPr>
        <w:t>intensity of schistosome infection has been previously reported in women</w:t>
      </w:r>
      <w:r w:rsidR="00B5225F" w:rsidRPr="0052431D">
        <w:rPr>
          <w:rFonts w:asciiTheme="minorHAnsi" w:hAnsiTheme="minorHAnsi" w:cs="Arial"/>
          <w:bCs/>
          <w:sz w:val="24"/>
          <w:szCs w:val="24"/>
          <w:lang w:val="en-GB"/>
        </w:rPr>
        <w:t xml:space="preserve"> </w:t>
      </w:r>
      <w:r w:rsidR="00B5225F" w:rsidRPr="0052431D">
        <w:rPr>
          <w:rFonts w:asciiTheme="minorHAnsi" w:hAnsiTheme="minorHAnsi" w:cs="Arial"/>
          <w:bCs/>
          <w:sz w:val="24"/>
          <w:szCs w:val="24"/>
          <w:lang w:val="en-GB"/>
        </w:rPr>
        <w:fldChar w:fldCharType="begin" w:fldLock="1"/>
      </w:r>
      <w:r w:rsidR="00315AFC" w:rsidRPr="0052431D">
        <w:rPr>
          <w:rFonts w:asciiTheme="minorHAnsi" w:hAnsiTheme="minorHAnsi" w:cs="Arial"/>
          <w:bCs/>
          <w:sz w:val="24"/>
          <w:szCs w:val="24"/>
          <w:lang w:val="en-GB"/>
        </w:rPr>
        <w:instrText>ADDIN CSL_CITATION {"citationItems":[{"id":"ITEM-1","itemData":{"DOI":"10.4269/ajtmh.2012.12-0395","ISSN":"1476-1645","PMID":"23033399","abstract":"Animal and human studies suggest that Schistosoma mansoni infection may increase risk of human immunodeficiency virus (HIV) acquisition. Therefore, we tested 345 reproductive age women in rural Tanzanian villages near Lake Victoria, where S. mansoni is hyperendemic, for sexually transmitted infections (STIs) and schistosomiasis by circulating anodic antigen (CAA) serum assay. Over one-half (54%) had an active schistosome infection; 6% were HIV-seropositive. By univariate analysis, only schistosome infection predicted HIV infection (odds ratio [OR] = 3.9, 95% confidence interval = [1.3-12.0], P = 0.015) and remained significant using multivariate analysis to control for age, STIs, and distance from the lake (OR = 6.2 [1.7-22.9], P = 0.006). HIV prevalence was higher among women with more intense schistosome infections (P = 0.005), and the median schistosome intensity was higher in HIV-infected than -uninfected women (400 versus 15 pg CAA/mL, P = 0.01). This finding suggests that S. mansoni infection may be a modifiable HIV risk factor that places millions of people worldwide at increased risk of HIV acquisition.","author":[{"dropping-particle":"","family":"Downs","given":"Jennifer A","non-dropping-particle":"","parse-names":false,"suffix":""},{"dropping-particle":"","family":"Dam","given":"Govert J","non-dropping-particle":"van","parse-names":false,"suffix":""},{"dropping-particle":"","family":"Changalucha","given":"John M","non-dropping-particle":"","parse-names":false,"suffix":""},{"dropping-particle":"","family":"Corstjens","given":"Paul L A M","non-dropping-particle":"","parse-names":false,"suffix":""},{"dropping-particle":"","family":"Peck","given":"Robert N","non-dropping-particle":"","parse-names":false,"suffix":""},{"dropping-particle":"","family":"Dood","given":"Claudia J","non-dropping-particle":"de","parse-names":false,"suffix":""},{"dropping-particle":"","family":"Bang","given":"Heejung","non-dropping-particle":"","parse-names":false,"suffix":""},{"dropping-particle":"","family":"Andreasen","given":"Aura","non-dropping-particle":"","parse-names":false,"suffix":""},{"dropping-particle":"","family":"Kalluvya","given":"Samuel E","non-dropping-particle":"","parse-names":false,"suffix":""},{"dropping-particle":"","family":"Lieshout","given":"Lisette","non-dropping-particle":"van","parse-names":false,"suffix":""},{"dropping-particle":"","family":"Johnson","given":"Warren D","non-dropping-particle":"","parse-names":false,"suffix":""},{"dropping-particle":"","family":"Fitzgerald","given":"Daniel W","non-dropping-particle":"","parse-names":false,"suffix":""}],"container-title":"Am J Trop Med Hyg","id":"ITEM-1","issue":"5","issued":{"date-parts":[["2012","10","1"]]},"page":"868-73","title":"Association of schistosomiasis and HIV infection in Tanzania.","type":"article-journal","volume":"87"},"uris":["http://www.mendeley.com/documents/?uuid=f12fda44-2558-4945-97c3-382044d680d9"]}],"mendeley":{"formattedCitation":"[13]","plainTextFormattedCitation":"[13]","previouslyFormattedCitation":"[13]"},"properties":{"noteIndex":0},"schema":"https://github.com/citation-style-language/schema/raw/master/csl-citation.json"}</w:instrText>
      </w:r>
      <w:r w:rsidR="00B5225F" w:rsidRPr="0052431D">
        <w:rPr>
          <w:rFonts w:asciiTheme="minorHAnsi" w:hAnsiTheme="minorHAnsi" w:cs="Arial"/>
          <w:bCs/>
          <w:sz w:val="24"/>
          <w:szCs w:val="24"/>
          <w:lang w:val="en-GB"/>
        </w:rPr>
        <w:fldChar w:fldCharType="separate"/>
      </w:r>
      <w:r w:rsidR="00315AFC" w:rsidRPr="0052431D">
        <w:rPr>
          <w:rFonts w:asciiTheme="minorHAnsi" w:hAnsiTheme="minorHAnsi" w:cs="Arial"/>
          <w:bCs/>
          <w:noProof/>
          <w:sz w:val="24"/>
          <w:szCs w:val="24"/>
          <w:lang w:val="en-GB"/>
        </w:rPr>
        <w:t>[13]</w:t>
      </w:r>
      <w:r w:rsidR="00B5225F" w:rsidRPr="0052431D">
        <w:rPr>
          <w:rFonts w:asciiTheme="minorHAnsi" w:hAnsiTheme="minorHAnsi" w:cs="Arial"/>
          <w:bCs/>
          <w:sz w:val="24"/>
          <w:szCs w:val="24"/>
          <w:lang w:val="en-GB"/>
        </w:rPr>
        <w:fldChar w:fldCharType="end"/>
      </w:r>
      <w:r w:rsidR="00006535">
        <w:rPr>
          <w:rFonts w:asciiTheme="minorHAnsi" w:hAnsiTheme="minorHAnsi" w:cs="Arial"/>
          <w:bCs/>
          <w:sz w:val="24"/>
          <w:szCs w:val="24"/>
          <w:lang w:val="en-GB"/>
        </w:rPr>
        <w:t>.</w:t>
      </w:r>
      <w:r w:rsidR="00B5650C" w:rsidRPr="0052431D">
        <w:rPr>
          <w:rFonts w:asciiTheme="minorHAnsi" w:hAnsiTheme="minorHAnsi" w:cs="Arial"/>
          <w:bCs/>
          <w:sz w:val="24"/>
          <w:szCs w:val="24"/>
          <w:lang w:val="en-GB"/>
        </w:rPr>
        <w:t xml:space="preserve"> </w:t>
      </w:r>
      <w:r w:rsidR="00F41836" w:rsidRPr="0052431D">
        <w:rPr>
          <w:rFonts w:asciiTheme="minorHAnsi" w:hAnsiTheme="minorHAnsi" w:cs="Arial"/>
          <w:bCs/>
          <w:sz w:val="24"/>
          <w:szCs w:val="24"/>
          <w:lang w:val="en-GB"/>
        </w:rPr>
        <w:t xml:space="preserve">Taken together, these findings suggest that </w:t>
      </w:r>
      <w:r w:rsidR="00B5650C" w:rsidRPr="0052431D">
        <w:rPr>
          <w:rFonts w:asciiTheme="minorHAnsi" w:hAnsiTheme="minorHAnsi" w:cs="Arial"/>
          <w:bCs/>
          <w:sz w:val="24"/>
          <w:szCs w:val="24"/>
          <w:lang w:val="en-GB"/>
        </w:rPr>
        <w:t>there may be some interactions between schistosome and HIV i</w:t>
      </w:r>
      <w:r w:rsidR="001D69A5" w:rsidRPr="0052431D">
        <w:rPr>
          <w:rFonts w:asciiTheme="minorHAnsi" w:hAnsiTheme="minorHAnsi" w:cs="Arial"/>
          <w:bCs/>
          <w:sz w:val="24"/>
          <w:szCs w:val="24"/>
          <w:lang w:val="en-GB"/>
        </w:rPr>
        <w:t xml:space="preserve">nfections but that </w:t>
      </w:r>
      <w:r w:rsidR="00334507">
        <w:rPr>
          <w:rFonts w:asciiTheme="minorHAnsi" w:hAnsiTheme="minorHAnsi" w:cs="Arial"/>
          <w:bCs/>
          <w:sz w:val="24"/>
          <w:szCs w:val="24"/>
          <w:lang w:val="en-GB"/>
        </w:rPr>
        <w:t>they</w:t>
      </w:r>
      <w:r w:rsidR="001D69A5" w:rsidRPr="0052431D">
        <w:rPr>
          <w:rFonts w:asciiTheme="minorHAnsi" w:hAnsiTheme="minorHAnsi" w:cs="Arial"/>
          <w:bCs/>
          <w:sz w:val="24"/>
          <w:szCs w:val="24"/>
          <w:lang w:val="en-GB"/>
        </w:rPr>
        <w:t xml:space="preserve"> may be</w:t>
      </w:r>
      <w:r w:rsidR="00F41836" w:rsidRPr="0052431D">
        <w:rPr>
          <w:rFonts w:asciiTheme="minorHAnsi" w:hAnsiTheme="minorHAnsi" w:cs="Arial"/>
          <w:bCs/>
          <w:sz w:val="24"/>
          <w:szCs w:val="24"/>
          <w:lang w:val="en-GB"/>
        </w:rPr>
        <w:t xml:space="preserve"> of relatively low consequence </w:t>
      </w:r>
      <w:r w:rsidR="001D69A5" w:rsidRPr="0052431D">
        <w:rPr>
          <w:rFonts w:asciiTheme="minorHAnsi" w:hAnsiTheme="minorHAnsi" w:cs="Arial"/>
          <w:bCs/>
          <w:sz w:val="24"/>
          <w:szCs w:val="24"/>
          <w:lang w:val="en-GB"/>
        </w:rPr>
        <w:t>in contexts in which</w:t>
      </w:r>
      <w:r w:rsidR="00F41836" w:rsidRPr="0052431D">
        <w:rPr>
          <w:rFonts w:asciiTheme="minorHAnsi" w:hAnsiTheme="minorHAnsi" w:cs="Arial"/>
          <w:bCs/>
          <w:sz w:val="24"/>
          <w:szCs w:val="24"/>
          <w:lang w:val="en-GB"/>
        </w:rPr>
        <w:t xml:space="preserve"> other genital infections and hi</w:t>
      </w:r>
      <w:r w:rsidR="001D69A5" w:rsidRPr="0052431D">
        <w:rPr>
          <w:rFonts w:asciiTheme="minorHAnsi" w:hAnsiTheme="minorHAnsi" w:cs="Arial"/>
          <w:bCs/>
          <w:sz w:val="24"/>
          <w:szCs w:val="24"/>
          <w:lang w:val="en-GB"/>
        </w:rPr>
        <w:t>gh-risk sexual behavio</w:t>
      </w:r>
      <w:r w:rsidR="001733E0">
        <w:rPr>
          <w:rFonts w:asciiTheme="minorHAnsi" w:hAnsiTheme="minorHAnsi" w:cs="Arial"/>
          <w:bCs/>
          <w:sz w:val="24"/>
          <w:szCs w:val="24"/>
          <w:lang w:val="en-GB"/>
        </w:rPr>
        <w:t>u</w:t>
      </w:r>
      <w:r w:rsidR="001D69A5" w:rsidRPr="0052431D">
        <w:rPr>
          <w:rFonts w:asciiTheme="minorHAnsi" w:hAnsiTheme="minorHAnsi" w:cs="Arial"/>
          <w:bCs/>
          <w:sz w:val="24"/>
          <w:szCs w:val="24"/>
          <w:lang w:val="en-GB"/>
        </w:rPr>
        <w:t>r more strongly drive ongoing HIV transmission</w:t>
      </w:r>
      <w:r w:rsidR="00B5650C" w:rsidRPr="0052431D">
        <w:rPr>
          <w:rFonts w:asciiTheme="minorHAnsi" w:hAnsiTheme="minorHAnsi" w:cs="Arial"/>
          <w:bCs/>
          <w:sz w:val="24"/>
          <w:szCs w:val="24"/>
          <w:lang w:val="en-GB"/>
        </w:rPr>
        <w:t>.</w:t>
      </w:r>
    </w:p>
    <w:p w14:paraId="4AC34BFB" w14:textId="77777777" w:rsidR="0097333F" w:rsidRPr="0052431D" w:rsidRDefault="0097333F" w:rsidP="00C74418">
      <w:pPr>
        <w:spacing w:after="0" w:line="360" w:lineRule="auto"/>
        <w:jc w:val="both"/>
        <w:rPr>
          <w:rFonts w:asciiTheme="minorHAnsi" w:hAnsiTheme="minorHAnsi" w:cs="Arial"/>
          <w:bCs/>
          <w:sz w:val="24"/>
          <w:szCs w:val="24"/>
          <w:lang w:val="en-GB"/>
        </w:rPr>
      </w:pPr>
    </w:p>
    <w:p w14:paraId="2E516E5D" w14:textId="77777777" w:rsidR="002F1606" w:rsidRPr="0052431D" w:rsidRDefault="002F1606" w:rsidP="00C74418">
      <w:pPr>
        <w:spacing w:after="0" w:line="360" w:lineRule="auto"/>
        <w:jc w:val="both"/>
        <w:rPr>
          <w:rFonts w:asciiTheme="minorHAnsi" w:hAnsiTheme="minorHAnsi" w:cs="Arial"/>
          <w:bCs/>
          <w:sz w:val="24"/>
          <w:szCs w:val="24"/>
          <w:lang w:val="en-GB"/>
        </w:rPr>
      </w:pPr>
    </w:p>
    <w:p w14:paraId="1DE00344" w14:textId="724668FC" w:rsidR="005C32A8" w:rsidRPr="0052431D" w:rsidRDefault="005C32A8"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This study has some l</w:t>
      </w:r>
      <w:r w:rsidR="00476DE6" w:rsidRPr="0052431D">
        <w:rPr>
          <w:rFonts w:asciiTheme="minorHAnsi" w:hAnsiTheme="minorHAnsi" w:cs="Arial"/>
          <w:bCs/>
          <w:sz w:val="24"/>
          <w:szCs w:val="24"/>
          <w:lang w:val="en-GB"/>
        </w:rPr>
        <w:t>imitations</w:t>
      </w:r>
      <w:r w:rsidRPr="0052431D">
        <w:rPr>
          <w:rFonts w:asciiTheme="minorHAnsi" w:hAnsiTheme="minorHAnsi" w:cs="Arial"/>
          <w:bCs/>
          <w:sz w:val="24"/>
          <w:szCs w:val="24"/>
          <w:lang w:val="en-GB"/>
        </w:rPr>
        <w:t xml:space="preserve">. </w:t>
      </w:r>
      <w:r w:rsidR="002F1606" w:rsidRPr="0052431D">
        <w:rPr>
          <w:rFonts w:asciiTheme="minorHAnsi" w:hAnsiTheme="minorHAnsi" w:cs="Arial"/>
          <w:bCs/>
          <w:sz w:val="24"/>
          <w:szCs w:val="24"/>
          <w:lang w:val="en-GB"/>
        </w:rPr>
        <w:t xml:space="preserve">Given the </w:t>
      </w:r>
      <w:r w:rsidRPr="0052431D">
        <w:rPr>
          <w:rFonts w:asciiTheme="minorHAnsi" w:hAnsiTheme="minorHAnsi" w:cs="Arial"/>
          <w:bCs/>
          <w:sz w:val="24"/>
          <w:szCs w:val="24"/>
          <w:lang w:val="en-GB"/>
        </w:rPr>
        <w:t xml:space="preserve">cross-sectional </w:t>
      </w:r>
      <w:r w:rsidR="002F1606" w:rsidRPr="0052431D">
        <w:rPr>
          <w:rFonts w:asciiTheme="minorHAnsi" w:hAnsiTheme="minorHAnsi" w:cs="Arial"/>
          <w:bCs/>
          <w:sz w:val="24"/>
          <w:szCs w:val="24"/>
          <w:lang w:val="en-GB"/>
        </w:rPr>
        <w:t>design</w:t>
      </w:r>
      <w:r w:rsidRPr="0052431D">
        <w:rPr>
          <w:rFonts w:asciiTheme="minorHAnsi" w:hAnsiTheme="minorHAnsi" w:cs="Arial"/>
          <w:bCs/>
          <w:sz w:val="24"/>
          <w:szCs w:val="24"/>
          <w:lang w:val="en-GB"/>
        </w:rPr>
        <w:t>, we were</w:t>
      </w:r>
      <w:r w:rsidR="00634050" w:rsidRPr="0052431D">
        <w:rPr>
          <w:rFonts w:asciiTheme="minorHAnsi" w:hAnsiTheme="minorHAnsi" w:cs="Arial"/>
          <w:bCs/>
          <w:sz w:val="24"/>
          <w:szCs w:val="24"/>
          <w:lang w:val="en-GB"/>
        </w:rPr>
        <w:t xml:space="preserve"> unable to determine causality</w:t>
      </w:r>
      <w:r w:rsidRPr="0052431D">
        <w:rPr>
          <w:rFonts w:asciiTheme="minorHAnsi" w:hAnsiTheme="minorHAnsi" w:cs="Arial"/>
          <w:bCs/>
          <w:sz w:val="24"/>
          <w:szCs w:val="24"/>
          <w:lang w:val="en-GB"/>
        </w:rPr>
        <w:t xml:space="preserve"> or to document </w:t>
      </w:r>
      <w:r w:rsidR="002F1606" w:rsidRPr="0052431D">
        <w:rPr>
          <w:rFonts w:asciiTheme="minorHAnsi" w:hAnsiTheme="minorHAnsi" w:cs="Arial"/>
          <w:bCs/>
          <w:sz w:val="24"/>
          <w:szCs w:val="24"/>
          <w:lang w:val="en-GB"/>
        </w:rPr>
        <w:t xml:space="preserve">temporal </w:t>
      </w:r>
      <w:r w:rsidRPr="0052431D">
        <w:rPr>
          <w:rFonts w:asciiTheme="minorHAnsi" w:hAnsiTheme="minorHAnsi" w:cs="Arial"/>
          <w:bCs/>
          <w:sz w:val="24"/>
          <w:szCs w:val="24"/>
          <w:lang w:val="en-GB"/>
        </w:rPr>
        <w:t xml:space="preserve">trends, such as RPR </w:t>
      </w:r>
      <w:proofErr w:type="spellStart"/>
      <w:r w:rsidRPr="0052431D">
        <w:rPr>
          <w:rFonts w:asciiTheme="minorHAnsi" w:hAnsiTheme="minorHAnsi" w:cs="Arial"/>
          <w:bCs/>
          <w:sz w:val="24"/>
          <w:szCs w:val="24"/>
          <w:lang w:val="en-GB"/>
        </w:rPr>
        <w:t>titers</w:t>
      </w:r>
      <w:proofErr w:type="spellEnd"/>
      <w:r w:rsidRPr="0052431D">
        <w:rPr>
          <w:rFonts w:asciiTheme="minorHAnsi" w:hAnsiTheme="minorHAnsi" w:cs="Arial"/>
          <w:bCs/>
          <w:sz w:val="24"/>
          <w:szCs w:val="24"/>
          <w:lang w:val="en-GB"/>
        </w:rPr>
        <w:t xml:space="preserve"> or CAA levels</w:t>
      </w:r>
      <w:r w:rsidR="002F1606" w:rsidRPr="0052431D">
        <w:rPr>
          <w:rFonts w:asciiTheme="minorHAnsi" w:hAnsiTheme="minorHAnsi" w:cs="Arial"/>
          <w:bCs/>
          <w:sz w:val="24"/>
          <w:szCs w:val="24"/>
          <w:lang w:val="en-GB"/>
        </w:rPr>
        <w:t xml:space="preserve">. This information could </w:t>
      </w:r>
      <w:r w:rsidRPr="0052431D">
        <w:rPr>
          <w:rFonts w:asciiTheme="minorHAnsi" w:hAnsiTheme="minorHAnsi" w:cs="Arial"/>
          <w:bCs/>
          <w:sz w:val="24"/>
          <w:szCs w:val="24"/>
          <w:lang w:val="en-GB"/>
        </w:rPr>
        <w:t>provide insight into infection</w:t>
      </w:r>
      <w:r w:rsidR="002F1606" w:rsidRPr="0052431D">
        <w:rPr>
          <w:rFonts w:asciiTheme="minorHAnsi" w:hAnsiTheme="minorHAnsi" w:cs="Arial"/>
          <w:bCs/>
          <w:sz w:val="24"/>
          <w:szCs w:val="24"/>
          <w:lang w:val="en-GB"/>
        </w:rPr>
        <w:t xml:space="preserve"> acquisition and treatment patterns</w:t>
      </w:r>
      <w:r w:rsidRPr="0052431D">
        <w:rPr>
          <w:rFonts w:asciiTheme="minorHAnsi" w:hAnsiTheme="minorHAnsi" w:cs="Arial"/>
          <w:bCs/>
          <w:sz w:val="24"/>
          <w:szCs w:val="24"/>
          <w:lang w:val="en-GB"/>
        </w:rPr>
        <w:t xml:space="preserve">. </w:t>
      </w:r>
      <w:r w:rsidR="00B5650C" w:rsidRPr="0052431D">
        <w:rPr>
          <w:rFonts w:asciiTheme="minorHAnsi" w:hAnsiTheme="minorHAnsi"/>
          <w:sz w:val="24"/>
          <w:szCs w:val="24"/>
          <w:shd w:val="clear" w:color="auto" w:fill="FFFFFF"/>
          <w:lang w:val="en-GB"/>
        </w:rPr>
        <w:t xml:space="preserve">Further, it is difficult to assess schistosome infection as a risk factor in a setting where over 80% of people have schistosome infections. In areas of such high endemicity, those who are not schistosome-infected may have some unique immunologic or epidemiologic factor that causes them to remain uninfected </w:t>
      </w:r>
      <w:r w:rsidR="00B5650C" w:rsidRPr="0052431D">
        <w:rPr>
          <w:rFonts w:asciiTheme="minorHAnsi" w:hAnsiTheme="minorHAnsi"/>
          <w:sz w:val="24"/>
          <w:szCs w:val="24"/>
          <w:shd w:val="clear" w:color="auto" w:fill="FFFFFF"/>
          <w:lang w:val="en-GB"/>
        </w:rPr>
        <w:fldChar w:fldCharType="begin" w:fldLock="1"/>
      </w:r>
      <w:r w:rsidR="00B5650C" w:rsidRPr="0052431D">
        <w:rPr>
          <w:rFonts w:asciiTheme="minorHAnsi" w:hAnsiTheme="minorHAnsi"/>
          <w:sz w:val="24"/>
          <w:szCs w:val="24"/>
          <w:shd w:val="clear" w:color="auto" w:fill="FFFFFF"/>
          <w:lang w:val="en-GB"/>
        </w:rPr>
        <w:instrText>ADDIN CSL_CITATION {"citationItems":[{"id":"ITEM-1","itemData":{"DOI":"10.1016/S0140-6736(02)09781-7","ISSN":"0140-6736","PMID":"12241930","abstract":"BACKGROUND: Previous studies have reported age-dependent development of resistance to reinfection by schistosomes and identified immunological correlates of this resistance. However, whether resistance exists that is independent of age effects has been questioned. We did a longitudinal investigation of reinfection by Schistosoma mansoni in an adult population with high occupational exposure.\n\nMETHODS: We monitored a cohort of 96 male car washers working along the shores of Lake Victoria, Kenya during 349.7 person-years for frequency of water contact and infection with S mansoni. Patients were treated with praziquantel upon study entry and after reinfection with S mansoni. Bivariate analyses and a multivariate proportional hazards model were used to assess the effects of water contact, previous infections, and HIV-1 on S mansoni reinfection rates.\n\nFINDINGS: 13 car washers did not get reinfected or only became reinfected after an extended time (91 weeks). 47 initially had a short time to reinfection (15 weeks) but on subsequent treatments showed increased time to reinfection (29-38 weeks). 36 consistently displayed short times to reinfection (&lt;15 weeks) despite multiple reinfection and treatment cycles. Decreased CD4 T-cell counts in HIV-1-positive individuals corresponded to increased susceptibility to S mansoni reinfection.\n\nINTERPRETATION: Adults similarly exposed to schistosomiasis are either resistant to reinfection; susceptible, but develop resistance to reinfection after multiple treatments; or remain susceptible to reinfection. Thus, immunological resistance to reinfection with S mansoni exists or can develop independent of age effects. The consequence of HIV-1 co-infection suggests that CD4 T cells contribute to this resistance.","author":[{"dropping-particle":"","family":"Karanja","given":"Diana M S","non-dropping-particle":"","parse-names":false,"suffix":""},{"dropping-particle":"","family":"Hightower","given":"Allen W","non-dropping-particle":"","parse-names":false,"suffix":""},{"dropping-particle":"","family":"Colley","given":"Daniel G","non-dropping-particle":"","parse-names":false,"suffix":""},{"dropping-particle":"","family":"Mwinzi","given":"Pauline N M","non-dropping-particle":"","parse-names":false,"suffix":""},{"dropping-particle":"","family":"Galil","given":"Karin","non-dropping-particle":"","parse-names":false,"suffix":""},{"dropping-particle":"","family":"Andove","given":"Julius","non-dropping-particle":"","parse-names":false,"suffix":""},{"dropping-particle":"","family":"Secor","given":"W Evan","non-dropping-particle":"","parse-names":false,"suffix":""}],"container-title":"Lancet","id":"ITEM-1","issue":"9333","issued":{"date-parts":[["2002","8","24"]]},"page":"592-6","title":"Resistance to reinfection with Schistosoma mansoni in occupationally exposed adults and effect of HIV-1 co-infection on susceptibility to schistosomiasis: a longitudinal study.","type":"article-journal","volume":"360"},"uris":["http://www.mendeley.com/documents/?uuid=9d9415c1-4ab6-409e-a743-98d1f8c593d9"]},{"id":"ITEM-2","itemData":{"DOI":"10.4269/ajtmh.2012.11-0204","ISSN":"1476-1645","PMID":"22302866","abstract":"Detailed knowledge of factors associated with resistance to Schistosoma mansoni infection in endemic areas might facilitate more effective schistosomiasis control. We conducted a cross-sectional study of persons resistant to schistosomiasis and found no association between socioeconomic status and resistance to infection. Mononuclear cells of resistant subjects produced higher levels of interleukin-5 (IL-5), IL-13 and interferon-γ upon stimulation with soluble egg antigen (SEA) compared with infected persons. When stimulated with Sm21.6 or Sm22.6, levels of IL-10 were higher in cell culture of resistant persons. Levels of IgE against soluble adult worm antigen (SWAP) and against interleukin-4-inducing principle from S. mansoni eggs (IPSE) and levels of IgG4 against SWAP, SEA, and Sm22.6 were lower in the resistant group compared with the susceptible group. Our data suggest that socioeconomic status could not fully explain resistance to S. mansoni infection observed in the studied area. However, a mixture of Th1 and Th2 immune responses and low levels of specific IgG4 against parasite antigens could be mediating resistance to infection.","author":[{"dropping-particle":"","family":"Oliveira","given":"Ricardo R","non-dropping-particle":"","parse-names":false,"suffix":""},{"dropping-particle":"","family":"Figueiredo","given":"Joanemile P","non-dropping-particle":"","parse-names":false,"suffix":""},{"dropping-particle":"","family":"Cardoso","given":"Luciana S","non-dropping-particle":"","parse-names":false,"suffix":""},{"dropping-particle":"","family":"Jabar","given":"Rafael L","non-dropping-particle":"","parse-names":false,"suffix":""},{"dropping-particle":"","family":"Souza","given":"Robson P","non-dropping-particle":"","parse-names":false,"suffix":""},{"dropping-particle":"","family":"Wells","given":"Martin T","non-dropping-particle":"","parse-names":false,"suffix":""},{"dropping-particle":"","family":"Carvalho","given":"Edgar M","non-dropping-particle":"","parse-names":false,"suffix":""},{"dropping-particle":"","family":"Fitzgerald","given":"Daniel W","non-dropping-particle":"","parse-names":false,"suffix":""},{"dropping-particle":"","family":"Barnes","given":"Kathleen C","non-dropping-particle":"","parse-names":false,"suffix":""},{"dropping-particle":"","family":"Araújo","given":"Maria Ilma","non-dropping-particle":"","parse-names":false,"suffix":""},{"dropping-particle":"","family":"Glesby","given":"Marshall J","non-dropping-particle":"","parse-names":false,"suffix":""}],"container-title":"Am J Trop Med Hyg","id":"ITEM-2","issue":"2","issued":{"date-parts":[["2012","2"]]},"page":"296-305","title":"Factors associated with resistance to Schistosoma mansoni infection in an endemic area of Bahia, Brazil.","type":"article-journal","volume":"86"},"uris":["http://www.mendeley.com/documents/?uuid=bc702704-ebc7-4b9b-8ee4-be020bc4e25a"]},{"id":"ITEM-3","itemData":{"DOI":"10.1111/pim.12671","ISSN":"0141-9838","PMID":"31532832","abstract":"Schistosomiasis affects about 240 million people worldwide and is estimated that about 700 million people live in areas at risk of infection. In the context of immune response associated with infection by Schistosoma mansoni, the role of memory T cells is not well understood. AIM To evaluate the frequency of memory CD4+ and CD8+ T cells from individuals resistant and susceptible to Schistosoma mansoni infection. METHODS AND RESULTS We selected individuals with low (resistant) and high (susceptible) parasite burden using databases generated during previous studies carried out in the same endemic area. The cell surface markers were performed using flow cytometry. In this study, the resistant individuals showed an increase in the CD4+ memory T-cell pool associated with an increase in the central memory cell (TCM) and a decrease in the effector memory cell (TEM ). Individuals susceptible to infection had higher frequencies of effector memory cells compared to resistant individuals. CONCLUSIONS These data suggest that resistance to S mansoni infection may be associated with an increase in the number of CD4+ memory T cells and susceptibility to infection is associated with a decrease in the central memory cell as well as high proportions of effector memory cells.","author":[{"dropping-particle":"","family":"Souza","given":"Robson da Paixão","non-dropping-particle":"","parse-names":false,"suffix":""},{"dropping-particle":"","family":"Araújo","given":"Maria Ilma","non-dropping-particle":"","parse-names":false,"suffix":""},{"dropping-particle":"","family":"Lopes","given":"Diego Mota","non-dropping-particle":"","parse-names":false,"suffix":""},{"dropping-particle":"","family":"Almeida","given":"Tarcísio Vila Verde Santana","non-dropping-particle":"","parse-names":false,"suffix":""},{"dropping-particle":"","family":"Page","given":"Brady","non-dropping-particle":"","parse-names":false,"suffix":""},{"dropping-particle":"","family":"Oliveira","given":"Ricardo Riccio","non-dropping-particle":"","parse-names":false,"suffix":""},{"dropping-particle":"","family":"Carvalho","given":"Edgar M.","non-dropping-particle":"","parse-names":false,"suffix":""},{"dropping-particle":"","family":"Cardoso","given":"Luciana Santos","non-dropping-particle":"","parse-names":false,"suffix":""}],"container-title":"Parasit Immunol","id":"ITEM-3","issue":"12","issued":{"date-parts":[["2019","12","8"]]},"page":"e12671","title":"Characterization of memory T cells in individuals resistant to Schistosoma mansoni infection","type":"article-journal","volume":"41"},"uris":["http://www.mendeley.com/documents/?uuid=a269369d-68e5-39f9-9778-040d8aab2ce0"]}],"mendeley":{"formattedCitation":"[28–30]","plainTextFormattedCitation":"[28–30]","previouslyFormattedCitation":"[28,29]"},"properties":{"noteIndex":0},"schema":"https://github.com/citation-style-language/schema/raw/master/csl-citation.json"}</w:instrText>
      </w:r>
      <w:r w:rsidR="00B5650C" w:rsidRPr="0052431D">
        <w:rPr>
          <w:rFonts w:asciiTheme="minorHAnsi" w:hAnsiTheme="minorHAnsi"/>
          <w:sz w:val="24"/>
          <w:szCs w:val="24"/>
          <w:shd w:val="clear" w:color="auto" w:fill="FFFFFF"/>
          <w:lang w:val="en-GB"/>
        </w:rPr>
        <w:fldChar w:fldCharType="separate"/>
      </w:r>
      <w:r w:rsidR="00B5650C" w:rsidRPr="0052431D">
        <w:rPr>
          <w:rFonts w:asciiTheme="minorHAnsi" w:hAnsiTheme="minorHAnsi"/>
          <w:noProof/>
          <w:sz w:val="24"/>
          <w:szCs w:val="24"/>
          <w:shd w:val="clear" w:color="auto" w:fill="FFFFFF"/>
          <w:lang w:val="en-GB"/>
        </w:rPr>
        <w:t>[28–30]</w:t>
      </w:r>
      <w:r w:rsidR="00B5650C" w:rsidRPr="0052431D">
        <w:rPr>
          <w:rFonts w:asciiTheme="minorHAnsi" w:hAnsiTheme="minorHAnsi"/>
          <w:sz w:val="24"/>
          <w:szCs w:val="24"/>
          <w:shd w:val="clear" w:color="auto" w:fill="FFFFFF"/>
          <w:lang w:val="en-GB"/>
        </w:rPr>
        <w:fldChar w:fldCharType="end"/>
      </w:r>
      <w:r w:rsidR="00006535">
        <w:rPr>
          <w:rFonts w:asciiTheme="minorHAnsi" w:hAnsiTheme="minorHAnsi"/>
          <w:sz w:val="24"/>
          <w:szCs w:val="24"/>
          <w:shd w:val="clear" w:color="auto" w:fill="FFFFFF"/>
          <w:lang w:val="en-GB"/>
        </w:rPr>
        <w:t>.</w:t>
      </w:r>
      <w:r w:rsidR="00B5650C" w:rsidRPr="0052431D">
        <w:rPr>
          <w:rFonts w:asciiTheme="minorHAnsi" w:hAnsiTheme="minorHAnsi"/>
          <w:sz w:val="24"/>
          <w:szCs w:val="24"/>
          <w:shd w:val="clear" w:color="auto" w:fill="FFFFFF"/>
          <w:lang w:val="en-GB"/>
        </w:rPr>
        <w:t xml:space="preserve"> </w:t>
      </w:r>
      <w:r w:rsidRPr="0052431D">
        <w:rPr>
          <w:rFonts w:asciiTheme="minorHAnsi" w:hAnsiTheme="minorHAnsi" w:cs="Arial"/>
          <w:bCs/>
          <w:sz w:val="24"/>
          <w:szCs w:val="24"/>
          <w:lang w:val="en-GB"/>
        </w:rPr>
        <w:t>It is also possible that reporting bias led to underestimation of the effects of STI symptoms or risky sexual behavio</w:t>
      </w:r>
      <w:r w:rsidR="0085635F">
        <w:rPr>
          <w:rFonts w:asciiTheme="minorHAnsi" w:hAnsiTheme="minorHAnsi" w:cs="Arial"/>
          <w:bCs/>
          <w:sz w:val="24"/>
          <w:szCs w:val="24"/>
          <w:lang w:val="en-GB"/>
        </w:rPr>
        <w:t>u</w:t>
      </w:r>
      <w:r w:rsidRPr="0052431D">
        <w:rPr>
          <w:rFonts w:asciiTheme="minorHAnsi" w:hAnsiTheme="minorHAnsi" w:cs="Arial"/>
          <w:bCs/>
          <w:sz w:val="24"/>
          <w:szCs w:val="24"/>
          <w:lang w:val="en-GB"/>
        </w:rPr>
        <w:t>r on HIV infection in this community</w:t>
      </w:r>
      <w:r w:rsidR="00E51EF3">
        <w:rPr>
          <w:rFonts w:asciiTheme="minorHAnsi" w:hAnsiTheme="minorHAnsi" w:cs="Arial"/>
          <w:bCs/>
          <w:sz w:val="24"/>
          <w:szCs w:val="24"/>
          <w:lang w:val="en-GB"/>
        </w:rPr>
        <w:t xml:space="preserve">. Several known HIV risk factors including age at first sex, condom use, and exchanging gifts for sex </w:t>
      </w:r>
      <w:r w:rsidRPr="0052431D">
        <w:rPr>
          <w:rFonts w:asciiTheme="minorHAnsi" w:hAnsiTheme="minorHAnsi" w:cs="Arial"/>
          <w:bCs/>
          <w:sz w:val="24"/>
          <w:szCs w:val="24"/>
          <w:lang w:val="en-GB"/>
        </w:rPr>
        <w:t>trended towards positive associations but did not reach significance in the multivaria</w:t>
      </w:r>
      <w:r w:rsidR="00334507">
        <w:rPr>
          <w:rFonts w:asciiTheme="minorHAnsi" w:hAnsiTheme="minorHAnsi" w:cs="Arial"/>
          <w:bCs/>
          <w:sz w:val="24"/>
          <w:szCs w:val="24"/>
          <w:lang w:val="en-GB"/>
        </w:rPr>
        <w:t>bl</w:t>
      </w:r>
      <w:r w:rsidRPr="0052431D">
        <w:rPr>
          <w:rFonts w:asciiTheme="minorHAnsi" w:hAnsiTheme="minorHAnsi" w:cs="Arial"/>
          <w:bCs/>
          <w:sz w:val="24"/>
          <w:szCs w:val="24"/>
          <w:lang w:val="en-GB"/>
        </w:rPr>
        <w:t>e model.</w:t>
      </w:r>
      <w:r w:rsidR="00B5650C" w:rsidRPr="0052431D">
        <w:rPr>
          <w:rFonts w:asciiTheme="minorHAnsi" w:hAnsiTheme="minorHAnsi" w:cs="Arial"/>
          <w:bCs/>
          <w:sz w:val="24"/>
          <w:szCs w:val="24"/>
          <w:lang w:val="en-GB"/>
        </w:rPr>
        <w:t xml:space="preserve"> </w:t>
      </w:r>
    </w:p>
    <w:p w14:paraId="6FAE7ED7" w14:textId="77777777" w:rsidR="005C32A8" w:rsidRDefault="005C32A8" w:rsidP="00C74418">
      <w:pPr>
        <w:spacing w:after="0" w:line="360" w:lineRule="auto"/>
        <w:jc w:val="both"/>
        <w:rPr>
          <w:rFonts w:asciiTheme="minorHAnsi" w:hAnsiTheme="minorHAnsi" w:cs="Arial"/>
          <w:bCs/>
          <w:sz w:val="24"/>
          <w:szCs w:val="24"/>
          <w:lang w:val="en-GB"/>
        </w:rPr>
      </w:pPr>
    </w:p>
    <w:p w14:paraId="4F9F4148" w14:textId="052C54F2" w:rsidR="00A86FAA" w:rsidRDefault="00730D51" w:rsidP="00C74418">
      <w:pPr>
        <w:spacing w:after="0" w:line="360" w:lineRule="auto"/>
        <w:jc w:val="both"/>
        <w:rPr>
          <w:rFonts w:asciiTheme="minorHAnsi" w:hAnsiTheme="minorHAnsi" w:cs="Arial"/>
          <w:bCs/>
          <w:sz w:val="24"/>
          <w:szCs w:val="24"/>
          <w:lang w:val="en-GB"/>
        </w:rPr>
      </w:pPr>
      <w:r w:rsidRPr="0052431D">
        <w:rPr>
          <w:rFonts w:asciiTheme="minorHAnsi" w:hAnsiTheme="minorHAnsi" w:cs="Arial"/>
          <w:bCs/>
          <w:sz w:val="24"/>
          <w:szCs w:val="24"/>
          <w:lang w:val="en-GB"/>
        </w:rPr>
        <w:t xml:space="preserve">In conclusion, we have identified a high burden of treatable infectious diseases including HIV, syphilis, and schistosome infections in both men and women living in fishing communities. Targeted </w:t>
      </w:r>
      <w:r w:rsidR="00940DF6" w:rsidRPr="0052431D">
        <w:rPr>
          <w:rFonts w:asciiTheme="minorHAnsi" w:hAnsiTheme="minorHAnsi" w:cs="Arial"/>
          <w:bCs/>
          <w:sz w:val="24"/>
          <w:szCs w:val="24"/>
          <w:lang w:val="en-GB"/>
        </w:rPr>
        <w:t>efforts</w:t>
      </w:r>
      <w:r w:rsidRPr="0052431D">
        <w:rPr>
          <w:rFonts w:asciiTheme="minorHAnsi" w:hAnsiTheme="minorHAnsi" w:cs="Arial"/>
          <w:bCs/>
          <w:sz w:val="24"/>
          <w:szCs w:val="24"/>
          <w:lang w:val="en-GB"/>
        </w:rPr>
        <w:t xml:space="preserve"> to</w:t>
      </w:r>
      <w:r w:rsidR="00940DF6" w:rsidRPr="0052431D">
        <w:rPr>
          <w:rFonts w:asciiTheme="minorHAnsi" w:hAnsiTheme="minorHAnsi" w:cs="Arial"/>
          <w:bCs/>
          <w:sz w:val="24"/>
          <w:szCs w:val="24"/>
          <w:lang w:val="en-GB"/>
        </w:rPr>
        <w:t xml:space="preserve"> treat and</w:t>
      </w:r>
      <w:r w:rsidRPr="0052431D">
        <w:rPr>
          <w:rFonts w:asciiTheme="minorHAnsi" w:hAnsiTheme="minorHAnsi" w:cs="Arial"/>
          <w:bCs/>
          <w:sz w:val="24"/>
          <w:szCs w:val="24"/>
          <w:lang w:val="en-GB"/>
        </w:rPr>
        <w:t xml:space="preserve"> control infections </w:t>
      </w:r>
      <w:r w:rsidR="006A4075" w:rsidRPr="0052431D">
        <w:rPr>
          <w:rFonts w:asciiTheme="minorHAnsi" w:hAnsiTheme="minorHAnsi" w:cs="Arial"/>
          <w:bCs/>
          <w:sz w:val="24"/>
          <w:szCs w:val="24"/>
          <w:lang w:val="en-GB"/>
        </w:rPr>
        <w:t xml:space="preserve">among residents of these </w:t>
      </w:r>
      <w:r w:rsidR="00BE7447">
        <w:rPr>
          <w:rFonts w:asciiTheme="minorHAnsi" w:hAnsiTheme="minorHAnsi" w:cs="Arial"/>
          <w:bCs/>
          <w:sz w:val="24"/>
          <w:szCs w:val="24"/>
          <w:lang w:val="en-GB"/>
        </w:rPr>
        <w:t>communities</w:t>
      </w:r>
      <w:r w:rsidR="006A4075" w:rsidRPr="0052431D">
        <w:rPr>
          <w:rFonts w:asciiTheme="minorHAnsi" w:hAnsiTheme="minorHAnsi" w:cs="Arial"/>
          <w:bCs/>
          <w:sz w:val="24"/>
          <w:szCs w:val="24"/>
          <w:lang w:val="en-GB"/>
        </w:rPr>
        <w:t xml:space="preserve"> ha</w:t>
      </w:r>
      <w:r w:rsidR="002804E0" w:rsidRPr="0052431D">
        <w:rPr>
          <w:rFonts w:asciiTheme="minorHAnsi" w:hAnsiTheme="minorHAnsi" w:cs="Arial"/>
          <w:bCs/>
          <w:sz w:val="24"/>
          <w:szCs w:val="24"/>
          <w:lang w:val="en-GB"/>
        </w:rPr>
        <w:t>ve</w:t>
      </w:r>
      <w:r w:rsidR="006A4075" w:rsidRPr="0052431D">
        <w:rPr>
          <w:rFonts w:asciiTheme="minorHAnsi" w:hAnsiTheme="minorHAnsi" w:cs="Arial"/>
          <w:bCs/>
          <w:sz w:val="24"/>
          <w:szCs w:val="24"/>
          <w:lang w:val="en-GB"/>
        </w:rPr>
        <w:t xml:space="preserve"> the potential to improve not only the health of those entire communities, but additionally to prevent the spread of diseases to other lower-risk communities when seasonal fishing workers return home to their families. Our data suggests that studies to determine the most effective ways to implement prophylactic and treatment interventions should be</w:t>
      </w:r>
      <w:r w:rsidR="00940DF6" w:rsidRPr="0052431D">
        <w:rPr>
          <w:rFonts w:asciiTheme="minorHAnsi" w:hAnsiTheme="minorHAnsi" w:cs="Arial"/>
          <w:bCs/>
          <w:sz w:val="24"/>
          <w:szCs w:val="24"/>
          <w:lang w:val="en-GB"/>
        </w:rPr>
        <w:t xml:space="preserve"> strong priorities for these vulnerable</w:t>
      </w:r>
      <w:r w:rsidR="006A4075" w:rsidRPr="0052431D">
        <w:rPr>
          <w:rFonts w:asciiTheme="minorHAnsi" w:hAnsiTheme="minorHAnsi" w:cs="Arial"/>
          <w:bCs/>
          <w:sz w:val="24"/>
          <w:szCs w:val="24"/>
          <w:lang w:val="en-GB"/>
        </w:rPr>
        <w:t xml:space="preserve"> communities.</w:t>
      </w:r>
    </w:p>
    <w:p w14:paraId="10C38219" w14:textId="3CCD865E" w:rsidR="00C9241C" w:rsidRDefault="00C9241C" w:rsidP="00C74418">
      <w:pPr>
        <w:spacing w:after="0" w:line="360" w:lineRule="auto"/>
        <w:jc w:val="both"/>
        <w:rPr>
          <w:rFonts w:asciiTheme="minorHAnsi" w:hAnsiTheme="minorHAnsi" w:cs="Arial"/>
          <w:bCs/>
          <w:sz w:val="24"/>
          <w:szCs w:val="24"/>
          <w:lang w:val="en-GB"/>
        </w:rPr>
      </w:pPr>
    </w:p>
    <w:p w14:paraId="5CD4FB70" w14:textId="032FD6DA" w:rsidR="00442356" w:rsidRDefault="00442356" w:rsidP="00C74418">
      <w:pPr>
        <w:autoSpaceDE w:val="0"/>
        <w:autoSpaceDN w:val="0"/>
        <w:adjustRightInd w:val="0"/>
        <w:spacing w:after="0" w:line="360" w:lineRule="auto"/>
        <w:jc w:val="both"/>
        <w:rPr>
          <w:rFonts w:cs="Calibri"/>
          <w:b/>
          <w:sz w:val="24"/>
          <w:szCs w:val="24"/>
        </w:rPr>
      </w:pPr>
      <w:r>
        <w:rPr>
          <w:rFonts w:cs="Calibri"/>
          <w:b/>
          <w:sz w:val="24"/>
          <w:szCs w:val="24"/>
        </w:rPr>
        <w:t>Conflict of interest statement</w:t>
      </w:r>
    </w:p>
    <w:p w14:paraId="45024578" w14:textId="5D521CE5" w:rsidR="00442356" w:rsidRPr="00442356" w:rsidRDefault="00442356" w:rsidP="00C74418">
      <w:pPr>
        <w:autoSpaceDE w:val="0"/>
        <w:autoSpaceDN w:val="0"/>
        <w:adjustRightInd w:val="0"/>
        <w:spacing w:after="0" w:line="360" w:lineRule="auto"/>
        <w:jc w:val="both"/>
        <w:rPr>
          <w:rFonts w:cs="Calibri"/>
          <w:sz w:val="24"/>
          <w:szCs w:val="24"/>
        </w:rPr>
      </w:pPr>
      <w:r>
        <w:rPr>
          <w:rFonts w:cs="Calibri"/>
          <w:sz w:val="24"/>
          <w:szCs w:val="24"/>
        </w:rPr>
        <w:t>The authors declare that they have no competing interests.</w:t>
      </w:r>
    </w:p>
    <w:p w14:paraId="71BEEFCB" w14:textId="77777777" w:rsidR="00442356" w:rsidRDefault="00442356" w:rsidP="00C74418">
      <w:pPr>
        <w:autoSpaceDE w:val="0"/>
        <w:autoSpaceDN w:val="0"/>
        <w:adjustRightInd w:val="0"/>
        <w:spacing w:after="0" w:line="360" w:lineRule="auto"/>
        <w:jc w:val="both"/>
        <w:rPr>
          <w:rFonts w:cs="Calibri"/>
          <w:b/>
          <w:sz w:val="24"/>
          <w:szCs w:val="24"/>
        </w:rPr>
      </w:pPr>
    </w:p>
    <w:p w14:paraId="4AC85276" w14:textId="6E56DE8F" w:rsidR="00ED113B" w:rsidRPr="00442356" w:rsidRDefault="00442356" w:rsidP="00C74418">
      <w:pPr>
        <w:autoSpaceDE w:val="0"/>
        <w:autoSpaceDN w:val="0"/>
        <w:adjustRightInd w:val="0"/>
        <w:spacing w:after="0" w:line="360" w:lineRule="auto"/>
        <w:jc w:val="both"/>
        <w:rPr>
          <w:rFonts w:cs="Calibri"/>
          <w:b/>
          <w:sz w:val="24"/>
          <w:szCs w:val="24"/>
        </w:rPr>
      </w:pPr>
      <w:r>
        <w:rPr>
          <w:rFonts w:cs="Calibri"/>
          <w:b/>
          <w:sz w:val="24"/>
          <w:szCs w:val="24"/>
        </w:rPr>
        <w:t>Authors’ contributions</w:t>
      </w:r>
    </w:p>
    <w:p w14:paraId="0210502A" w14:textId="26560C88" w:rsidR="00ED113B" w:rsidRPr="00115231" w:rsidRDefault="00ED113B" w:rsidP="00C74418">
      <w:pPr>
        <w:autoSpaceDE w:val="0"/>
        <w:autoSpaceDN w:val="0"/>
        <w:adjustRightInd w:val="0"/>
        <w:spacing w:after="0" w:line="360" w:lineRule="auto"/>
        <w:jc w:val="both"/>
        <w:rPr>
          <w:rFonts w:cs="Calibri"/>
          <w:sz w:val="24"/>
          <w:szCs w:val="24"/>
        </w:rPr>
      </w:pPr>
      <w:r w:rsidRPr="00115231">
        <w:rPr>
          <w:rFonts w:cs="Calibri"/>
          <w:sz w:val="24"/>
          <w:szCs w:val="24"/>
        </w:rPr>
        <w:t xml:space="preserve">The </w:t>
      </w:r>
      <w:r w:rsidR="009B1AB2">
        <w:rPr>
          <w:rFonts w:cs="Calibri"/>
          <w:sz w:val="24"/>
          <w:szCs w:val="24"/>
        </w:rPr>
        <w:t xml:space="preserve">study </w:t>
      </w:r>
      <w:r w:rsidRPr="00115231">
        <w:rPr>
          <w:rFonts w:cs="Calibri"/>
          <w:sz w:val="24"/>
          <w:szCs w:val="24"/>
        </w:rPr>
        <w:t xml:space="preserve">was designed by </w:t>
      </w:r>
      <w:r w:rsidR="009B1AB2">
        <w:rPr>
          <w:rFonts w:cs="Calibri"/>
          <w:sz w:val="24"/>
          <w:szCs w:val="24"/>
        </w:rPr>
        <w:t>SK, CHH and HG. Field activities were coordinated by SS with input from SK, HG, R</w:t>
      </w:r>
      <w:r w:rsidR="00442356">
        <w:rPr>
          <w:rFonts w:cs="Calibri"/>
          <w:sz w:val="24"/>
          <w:szCs w:val="24"/>
        </w:rPr>
        <w:t>N</w:t>
      </w:r>
      <w:r w:rsidR="009B1AB2">
        <w:rPr>
          <w:rFonts w:cs="Calibri"/>
          <w:sz w:val="24"/>
          <w:szCs w:val="24"/>
        </w:rPr>
        <w:t>P</w:t>
      </w:r>
      <w:r w:rsidR="00442356">
        <w:rPr>
          <w:rFonts w:cs="Calibri"/>
          <w:sz w:val="24"/>
          <w:szCs w:val="24"/>
        </w:rPr>
        <w:t>, JRK,</w:t>
      </w:r>
      <w:r w:rsidR="009B1AB2">
        <w:rPr>
          <w:rFonts w:cs="Calibri"/>
          <w:sz w:val="24"/>
          <w:szCs w:val="24"/>
        </w:rPr>
        <w:t xml:space="preserve"> and RH. </w:t>
      </w:r>
      <w:r w:rsidRPr="00115231">
        <w:rPr>
          <w:rFonts w:cs="Calibri"/>
          <w:sz w:val="24"/>
          <w:szCs w:val="24"/>
        </w:rPr>
        <w:t xml:space="preserve">Laboratory work was planned and supervised by </w:t>
      </w:r>
      <w:r w:rsidR="009B1AB2">
        <w:rPr>
          <w:rFonts w:cs="Calibri"/>
          <w:sz w:val="24"/>
          <w:szCs w:val="24"/>
        </w:rPr>
        <w:t xml:space="preserve">JM, JAD, GJD, and PLC. </w:t>
      </w:r>
      <w:r w:rsidRPr="00115231">
        <w:rPr>
          <w:rFonts w:cs="Calibri"/>
          <w:sz w:val="24"/>
          <w:szCs w:val="24"/>
        </w:rPr>
        <w:t xml:space="preserve">Analysis of data was performed by </w:t>
      </w:r>
      <w:r w:rsidR="009B1AB2">
        <w:rPr>
          <w:rFonts w:cs="Calibri"/>
          <w:sz w:val="24"/>
          <w:szCs w:val="24"/>
        </w:rPr>
        <w:t xml:space="preserve">CHH </w:t>
      </w:r>
      <w:r w:rsidRPr="00115231">
        <w:rPr>
          <w:rFonts w:cs="Calibri"/>
          <w:sz w:val="24"/>
          <w:szCs w:val="24"/>
        </w:rPr>
        <w:t xml:space="preserve">and </w:t>
      </w:r>
      <w:r w:rsidR="009B1AB2">
        <w:rPr>
          <w:rFonts w:cs="Calibri"/>
          <w:sz w:val="24"/>
          <w:szCs w:val="24"/>
        </w:rPr>
        <w:t xml:space="preserve">SK and JAD </w:t>
      </w:r>
      <w:r w:rsidR="00F57EB4">
        <w:rPr>
          <w:rFonts w:cs="Calibri"/>
          <w:sz w:val="24"/>
          <w:szCs w:val="24"/>
        </w:rPr>
        <w:t xml:space="preserve">prepared the first </w:t>
      </w:r>
      <w:r w:rsidRPr="00115231">
        <w:rPr>
          <w:rFonts w:cs="Calibri"/>
          <w:sz w:val="24"/>
          <w:szCs w:val="24"/>
        </w:rPr>
        <w:t>draft</w:t>
      </w:r>
      <w:r w:rsidR="00F57EB4">
        <w:rPr>
          <w:rFonts w:cs="Calibri"/>
          <w:sz w:val="24"/>
          <w:szCs w:val="24"/>
        </w:rPr>
        <w:t xml:space="preserve"> of </w:t>
      </w:r>
      <w:r w:rsidRPr="00115231">
        <w:rPr>
          <w:rFonts w:cs="Calibri"/>
          <w:sz w:val="24"/>
          <w:szCs w:val="24"/>
        </w:rPr>
        <w:t>the manuscript. All co-authors contributed critically to the manuscript and approved the final version.</w:t>
      </w:r>
    </w:p>
    <w:p w14:paraId="46DFFFD3" w14:textId="77777777" w:rsidR="00ED113B" w:rsidRPr="00115231" w:rsidRDefault="00ED113B" w:rsidP="00C74418">
      <w:pPr>
        <w:autoSpaceDE w:val="0"/>
        <w:autoSpaceDN w:val="0"/>
        <w:adjustRightInd w:val="0"/>
        <w:spacing w:after="0" w:line="360" w:lineRule="auto"/>
        <w:jc w:val="both"/>
        <w:rPr>
          <w:rFonts w:cs="Calibri"/>
          <w:sz w:val="24"/>
          <w:szCs w:val="24"/>
        </w:rPr>
      </w:pPr>
    </w:p>
    <w:p w14:paraId="1A660DB6" w14:textId="77777777" w:rsidR="00ED113B" w:rsidRPr="001F5DCC" w:rsidRDefault="00ED113B" w:rsidP="00C74418">
      <w:pPr>
        <w:autoSpaceDE w:val="0"/>
        <w:autoSpaceDN w:val="0"/>
        <w:adjustRightInd w:val="0"/>
        <w:spacing w:after="0" w:line="360" w:lineRule="auto"/>
        <w:jc w:val="both"/>
        <w:rPr>
          <w:rFonts w:asciiTheme="minorHAnsi" w:hAnsiTheme="minorHAnsi" w:cs="Calibri"/>
          <w:b/>
          <w:sz w:val="24"/>
          <w:szCs w:val="24"/>
        </w:rPr>
      </w:pPr>
      <w:r w:rsidRPr="001F5DCC">
        <w:rPr>
          <w:rFonts w:asciiTheme="minorHAnsi" w:hAnsiTheme="minorHAnsi" w:cs="Calibri"/>
          <w:b/>
          <w:sz w:val="24"/>
          <w:szCs w:val="24"/>
        </w:rPr>
        <w:t>Acknowledgement</w:t>
      </w:r>
    </w:p>
    <w:p w14:paraId="5828B13E" w14:textId="77777777" w:rsidR="00ED113B" w:rsidRPr="001F5DCC" w:rsidRDefault="00ED113B" w:rsidP="00C74418">
      <w:pPr>
        <w:autoSpaceDE w:val="0"/>
        <w:autoSpaceDN w:val="0"/>
        <w:adjustRightInd w:val="0"/>
        <w:spacing w:after="0" w:line="360" w:lineRule="auto"/>
        <w:jc w:val="both"/>
        <w:rPr>
          <w:rFonts w:asciiTheme="minorHAnsi" w:hAnsiTheme="minorHAnsi" w:cs="Calibri"/>
          <w:sz w:val="24"/>
          <w:szCs w:val="24"/>
        </w:rPr>
      </w:pPr>
    </w:p>
    <w:p w14:paraId="51D1322C" w14:textId="5A14B1CB" w:rsidR="00E46520" w:rsidRPr="00E46520" w:rsidRDefault="001F5DCC" w:rsidP="00C74418">
      <w:pPr>
        <w:spacing w:after="0" w:line="360" w:lineRule="auto"/>
        <w:jc w:val="both"/>
        <w:rPr>
          <w:rFonts w:asciiTheme="minorHAnsi" w:eastAsia="Times New Roman" w:hAnsiTheme="minorHAnsi"/>
          <w:sz w:val="24"/>
          <w:szCs w:val="24"/>
          <w:lang w:val="en-GB"/>
        </w:rPr>
      </w:pPr>
      <w:bookmarkStart w:id="0" w:name="_Hlk36572134"/>
      <w:r w:rsidRPr="001F5DCC">
        <w:rPr>
          <w:rFonts w:asciiTheme="minorHAnsi" w:hAnsiTheme="minorHAnsi" w:cs="Arial"/>
          <w:sz w:val="24"/>
          <w:szCs w:val="24"/>
        </w:rPr>
        <w:t>We wish to thank all study participants for their time and commitment to the study. In addition, we would like to ackno</w:t>
      </w:r>
      <w:r w:rsidR="00ED113B" w:rsidRPr="001F5DCC">
        <w:rPr>
          <w:rFonts w:asciiTheme="minorHAnsi" w:hAnsiTheme="minorHAnsi" w:cs="Calibri"/>
          <w:sz w:val="24"/>
          <w:szCs w:val="24"/>
        </w:rPr>
        <w:t xml:space="preserve">wledge the important </w:t>
      </w:r>
      <w:r w:rsidR="00F57EB4">
        <w:rPr>
          <w:rFonts w:asciiTheme="minorHAnsi" w:hAnsiTheme="minorHAnsi" w:cs="Calibri"/>
          <w:sz w:val="24"/>
          <w:szCs w:val="24"/>
        </w:rPr>
        <w:t xml:space="preserve">institutional </w:t>
      </w:r>
      <w:r w:rsidR="00ED113B" w:rsidRPr="001F5DCC">
        <w:rPr>
          <w:rFonts w:asciiTheme="minorHAnsi" w:hAnsiTheme="minorHAnsi" w:cs="Calibri"/>
          <w:sz w:val="24"/>
          <w:szCs w:val="24"/>
        </w:rPr>
        <w:t>support and practical input received from the regional</w:t>
      </w:r>
      <w:r w:rsidRPr="001F5DCC">
        <w:rPr>
          <w:rFonts w:asciiTheme="minorHAnsi" w:hAnsiTheme="minorHAnsi" w:cs="Calibri"/>
          <w:sz w:val="24"/>
          <w:szCs w:val="24"/>
        </w:rPr>
        <w:t xml:space="preserve"> fisheries authorities </w:t>
      </w:r>
      <w:r w:rsidR="00ED113B" w:rsidRPr="001F5DCC">
        <w:rPr>
          <w:rFonts w:asciiTheme="minorHAnsi" w:hAnsiTheme="minorHAnsi" w:cs="Calibri"/>
          <w:sz w:val="24"/>
          <w:szCs w:val="24"/>
        </w:rPr>
        <w:t xml:space="preserve">of </w:t>
      </w:r>
      <w:proofErr w:type="spellStart"/>
      <w:r w:rsidR="00ED113B" w:rsidRPr="001F5DCC">
        <w:rPr>
          <w:rFonts w:asciiTheme="minorHAnsi" w:hAnsiTheme="minorHAnsi" w:cs="Calibri"/>
          <w:sz w:val="24"/>
          <w:szCs w:val="24"/>
        </w:rPr>
        <w:t>Kagera</w:t>
      </w:r>
      <w:proofErr w:type="spellEnd"/>
      <w:r w:rsidR="00ED113B" w:rsidRPr="001F5DCC">
        <w:rPr>
          <w:rFonts w:asciiTheme="minorHAnsi" w:hAnsiTheme="minorHAnsi" w:cs="Calibri"/>
          <w:sz w:val="24"/>
          <w:szCs w:val="24"/>
        </w:rPr>
        <w:t xml:space="preserve"> and </w:t>
      </w:r>
      <w:r w:rsidRPr="001F5DCC">
        <w:rPr>
          <w:rFonts w:asciiTheme="minorHAnsi" w:hAnsiTheme="minorHAnsi" w:cs="Calibri"/>
          <w:sz w:val="24"/>
          <w:szCs w:val="24"/>
        </w:rPr>
        <w:t>Mwanza regions</w:t>
      </w:r>
      <w:r w:rsidR="00F57EB4">
        <w:rPr>
          <w:rFonts w:asciiTheme="minorHAnsi" w:hAnsiTheme="minorHAnsi" w:cs="Calibri"/>
          <w:sz w:val="24"/>
          <w:szCs w:val="24"/>
        </w:rPr>
        <w:t>, Tanzania</w:t>
      </w:r>
      <w:r w:rsidRPr="001F5DCC">
        <w:rPr>
          <w:rFonts w:asciiTheme="minorHAnsi" w:hAnsiTheme="minorHAnsi" w:cs="Calibri"/>
          <w:sz w:val="24"/>
          <w:szCs w:val="24"/>
        </w:rPr>
        <w:t xml:space="preserve">. </w:t>
      </w:r>
      <w:r w:rsidR="00E46520">
        <w:rPr>
          <w:rFonts w:asciiTheme="minorHAnsi" w:hAnsiTheme="minorHAnsi" w:cs="Calibri"/>
          <w:sz w:val="24"/>
          <w:szCs w:val="24"/>
        </w:rPr>
        <w:t xml:space="preserve">The study </w:t>
      </w:r>
      <w:r w:rsidR="00F57EB4">
        <w:rPr>
          <w:rFonts w:asciiTheme="minorHAnsi" w:hAnsiTheme="minorHAnsi" w:cs="Calibri"/>
          <w:sz w:val="24"/>
          <w:szCs w:val="24"/>
        </w:rPr>
        <w:t xml:space="preserve">was implemented as part of the Lake Victoria Health Research Consortium, and </w:t>
      </w:r>
      <w:r w:rsidR="00E46520">
        <w:rPr>
          <w:rFonts w:asciiTheme="minorHAnsi" w:hAnsiTheme="minorHAnsi" w:cs="Calibri"/>
          <w:sz w:val="24"/>
          <w:szCs w:val="24"/>
        </w:rPr>
        <w:t xml:space="preserve">was sponsored </w:t>
      </w:r>
      <w:r w:rsidR="00ED113B" w:rsidRPr="001F5DCC">
        <w:rPr>
          <w:rFonts w:asciiTheme="minorHAnsi" w:hAnsiTheme="minorHAnsi" w:cs="Calibri"/>
          <w:sz w:val="24"/>
          <w:szCs w:val="24"/>
        </w:rPr>
        <w:t xml:space="preserve">by the </w:t>
      </w:r>
      <w:r w:rsidR="00E46520">
        <w:rPr>
          <w:rFonts w:asciiTheme="minorHAnsi" w:hAnsiTheme="minorHAnsi" w:cs="Calibri"/>
          <w:sz w:val="24"/>
          <w:szCs w:val="24"/>
        </w:rPr>
        <w:t xml:space="preserve">International AIDS Vaccine Initiative (IAVI) with generous funding support </w:t>
      </w:r>
      <w:r w:rsidR="00E46520" w:rsidRPr="00E46520">
        <w:rPr>
          <w:rFonts w:asciiTheme="minorHAnsi" w:hAnsiTheme="minorHAnsi" w:cs="Calibri"/>
          <w:sz w:val="24"/>
          <w:szCs w:val="24"/>
        </w:rPr>
        <w:t xml:space="preserve">of the American people through the </w:t>
      </w:r>
      <w:r w:rsidR="00E46520" w:rsidRPr="00E46520">
        <w:rPr>
          <w:rFonts w:asciiTheme="minorHAnsi" w:eastAsia="Times New Roman" w:hAnsiTheme="minorHAnsi"/>
          <w:sz w:val="24"/>
          <w:szCs w:val="24"/>
          <w:lang w:val="en-GB"/>
        </w:rPr>
        <w:t>United States Agency for International Development (USAID). The contents are the responsibility of the authors and do not necessarily reflect the views of USAID or the United States Government.</w:t>
      </w:r>
    </w:p>
    <w:bookmarkEnd w:id="0"/>
    <w:p w14:paraId="5CE11F36" w14:textId="6F2BFC3B" w:rsidR="00B94AB9" w:rsidRDefault="00B94AB9" w:rsidP="00C74418">
      <w:pPr>
        <w:spacing w:after="160" w:line="360" w:lineRule="auto"/>
        <w:rPr>
          <w:rFonts w:asciiTheme="minorHAnsi" w:hAnsiTheme="minorHAnsi" w:cs="Arial"/>
          <w:b/>
          <w:bCs/>
          <w:sz w:val="24"/>
          <w:szCs w:val="24"/>
          <w:lang w:val="en-GB"/>
        </w:rPr>
      </w:pPr>
    </w:p>
    <w:p w14:paraId="2BBA4582" w14:textId="2299782D" w:rsidR="00B94AB9" w:rsidRDefault="00B94AB9" w:rsidP="00C74418">
      <w:pPr>
        <w:spacing w:after="160" w:line="360" w:lineRule="auto"/>
        <w:rPr>
          <w:rFonts w:asciiTheme="minorHAnsi" w:hAnsiTheme="minorHAnsi" w:cs="Arial"/>
          <w:b/>
          <w:bCs/>
          <w:sz w:val="24"/>
          <w:szCs w:val="24"/>
          <w:lang w:val="en-GB"/>
        </w:rPr>
      </w:pPr>
      <w:r w:rsidRPr="00B94AB9">
        <w:rPr>
          <w:rFonts w:asciiTheme="minorHAnsi" w:hAnsiTheme="minorHAnsi" w:cs="Arial"/>
          <w:b/>
          <w:bCs/>
          <w:sz w:val="24"/>
          <w:szCs w:val="24"/>
          <w:lang w:val="en-GB"/>
        </w:rPr>
        <w:t>Figures</w:t>
      </w:r>
    </w:p>
    <w:p w14:paraId="4D73AFF1" w14:textId="6A93994D" w:rsidR="00B94AB9" w:rsidRPr="00B94AB9" w:rsidRDefault="00B94AB9" w:rsidP="00C74418">
      <w:pPr>
        <w:spacing w:after="160" w:line="360" w:lineRule="auto"/>
        <w:rPr>
          <w:rFonts w:asciiTheme="minorHAnsi" w:hAnsiTheme="minorHAnsi" w:cs="Arial"/>
          <w:bCs/>
          <w:sz w:val="24"/>
          <w:szCs w:val="24"/>
          <w:lang w:val="en-GB"/>
        </w:rPr>
      </w:pPr>
      <w:r w:rsidRPr="00B94AB9">
        <w:rPr>
          <w:rFonts w:asciiTheme="minorHAnsi" w:hAnsiTheme="minorHAnsi" w:cs="Arial"/>
          <w:bCs/>
          <w:sz w:val="24"/>
          <w:szCs w:val="24"/>
          <w:lang w:val="en-GB"/>
        </w:rPr>
        <w:t>Figure 1</w:t>
      </w:r>
      <w:r>
        <w:rPr>
          <w:rFonts w:asciiTheme="minorHAnsi" w:hAnsiTheme="minorHAnsi" w:cs="Arial"/>
          <w:bCs/>
          <w:sz w:val="24"/>
          <w:szCs w:val="24"/>
          <w:lang w:val="en-GB"/>
        </w:rPr>
        <w:t xml:space="preserve">     Map of project area, NW-Tanzania</w:t>
      </w:r>
    </w:p>
    <w:p w14:paraId="17E28451" w14:textId="5BFF14EB" w:rsidR="00B94AB9" w:rsidRDefault="00B94AB9" w:rsidP="00C74418">
      <w:pPr>
        <w:spacing w:after="160" w:line="360" w:lineRule="auto"/>
        <w:rPr>
          <w:rFonts w:asciiTheme="minorHAnsi" w:hAnsiTheme="minorHAnsi" w:cs="Arial"/>
          <w:b/>
          <w:bCs/>
          <w:sz w:val="24"/>
          <w:szCs w:val="24"/>
          <w:lang w:val="en-GB"/>
        </w:rPr>
      </w:pPr>
      <w:r w:rsidRPr="00B94AB9">
        <w:rPr>
          <w:rFonts w:asciiTheme="minorHAnsi" w:hAnsiTheme="minorHAnsi" w:cs="Arial"/>
          <w:b/>
          <w:bCs/>
          <w:noProof/>
          <w:sz w:val="24"/>
          <w:szCs w:val="24"/>
          <w:lang w:val="en-GB"/>
        </w:rPr>
        <w:drawing>
          <wp:inline distT="0" distB="0" distL="0" distR="0" wp14:anchorId="07F037C1" wp14:editId="18831A20">
            <wp:extent cx="2463800" cy="1661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8004" cy="1677746"/>
                    </a:xfrm>
                    <a:prstGeom prst="rect">
                      <a:avLst/>
                    </a:prstGeom>
                  </pic:spPr>
                </pic:pic>
              </a:graphicData>
            </a:graphic>
          </wp:inline>
        </w:drawing>
      </w:r>
    </w:p>
    <w:p w14:paraId="7F5E918D" w14:textId="61D7E56A" w:rsidR="00B94AB9" w:rsidRDefault="00B94AB9" w:rsidP="00B94AB9">
      <w:pPr>
        <w:rPr>
          <w:b/>
          <w:sz w:val="24"/>
          <w:szCs w:val="24"/>
        </w:rPr>
      </w:pPr>
    </w:p>
    <w:p w14:paraId="52BE187D" w14:textId="3288F225" w:rsidR="00B94AB9" w:rsidRPr="00613269" w:rsidRDefault="00B94AB9" w:rsidP="00B94AB9">
      <w:pPr>
        <w:rPr>
          <w:b/>
          <w:sz w:val="24"/>
          <w:szCs w:val="24"/>
        </w:rPr>
      </w:pPr>
      <w:r>
        <w:rPr>
          <w:b/>
          <w:noProof/>
          <w:sz w:val="24"/>
          <w:szCs w:val="24"/>
        </w:rPr>
        <w:drawing>
          <wp:anchor distT="0" distB="0" distL="114300" distR="114300" simplePos="0" relativeHeight="251659264" behindDoc="0" locked="0" layoutInCell="1" allowOverlap="1" wp14:anchorId="5DF3D2EB" wp14:editId="79BCA006">
            <wp:simplePos x="0" y="0"/>
            <wp:positionH relativeFrom="column">
              <wp:posOffset>0</wp:posOffset>
            </wp:positionH>
            <wp:positionV relativeFrom="paragraph">
              <wp:posOffset>531495</wp:posOffset>
            </wp:positionV>
            <wp:extent cx="2298700" cy="144653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98" t="13235"/>
                    <a:stretch/>
                  </pic:blipFill>
                  <pic:spPr bwMode="auto">
                    <a:xfrm>
                      <a:off x="0" y="0"/>
                      <a:ext cx="2298700"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3269">
        <w:rPr>
          <w:b/>
          <w:sz w:val="24"/>
          <w:szCs w:val="24"/>
        </w:rPr>
        <w:t>Supplementary Figure 1.</w:t>
      </w:r>
      <w:r>
        <w:rPr>
          <w:b/>
          <w:sz w:val="24"/>
          <w:szCs w:val="24"/>
        </w:rPr>
        <w:t xml:space="preserve"> Odds of HIV Infection Per Unit Increase of Serum Schistosome Circulating Anodic Antigen (CAA).</w:t>
      </w:r>
    </w:p>
    <w:p w14:paraId="61BE55F0" w14:textId="6B79FE2A" w:rsidR="00B94AB9" w:rsidRPr="00882314" w:rsidRDefault="00B94AB9" w:rsidP="00B94AB9">
      <w:pPr>
        <w:rPr>
          <w:sz w:val="24"/>
          <w:szCs w:val="24"/>
        </w:rPr>
      </w:pPr>
      <w:r>
        <w:rPr>
          <w:sz w:val="24"/>
          <w:szCs w:val="24"/>
        </w:rPr>
        <w:t xml:space="preserve">The odds of HIV infection </w:t>
      </w:r>
      <w:proofErr w:type="gramStart"/>
      <w:r>
        <w:rPr>
          <w:sz w:val="24"/>
          <w:szCs w:val="24"/>
        </w:rPr>
        <w:t>was</w:t>
      </w:r>
      <w:proofErr w:type="gramEnd"/>
      <w:r>
        <w:rPr>
          <w:sz w:val="24"/>
          <w:szCs w:val="24"/>
        </w:rPr>
        <w:t xml:space="preserve"> 1.12 (95% confidence interval, 1.01 – 1.24) per </w:t>
      </w:r>
      <w:proofErr w:type="spellStart"/>
      <w:r>
        <w:rPr>
          <w:sz w:val="24"/>
          <w:szCs w:val="24"/>
        </w:rPr>
        <w:t>pg</w:t>
      </w:r>
      <w:proofErr w:type="spellEnd"/>
      <w:r>
        <w:rPr>
          <w:sz w:val="24"/>
          <w:szCs w:val="24"/>
        </w:rPr>
        <w:t xml:space="preserve">/mL increase in serum CAA in men. The odds of HIV infection </w:t>
      </w:r>
      <w:proofErr w:type="gramStart"/>
      <w:r>
        <w:rPr>
          <w:sz w:val="24"/>
          <w:szCs w:val="24"/>
        </w:rPr>
        <w:t>was</w:t>
      </w:r>
      <w:proofErr w:type="gramEnd"/>
      <w:r>
        <w:rPr>
          <w:sz w:val="24"/>
          <w:szCs w:val="24"/>
        </w:rPr>
        <w:t xml:space="preserve"> 1.00 (0.94 – 1.07) per </w:t>
      </w:r>
      <w:proofErr w:type="spellStart"/>
      <w:r>
        <w:rPr>
          <w:sz w:val="24"/>
          <w:szCs w:val="24"/>
        </w:rPr>
        <w:t>pg</w:t>
      </w:r>
      <w:proofErr w:type="spellEnd"/>
      <w:r>
        <w:rPr>
          <w:sz w:val="24"/>
          <w:szCs w:val="24"/>
        </w:rPr>
        <w:t>/mL increase in serum CAA in women. Odds ratios are shown with horizontal lines and the 95% confidence intervals are represented with boxes.</w:t>
      </w:r>
    </w:p>
    <w:p w14:paraId="446E113D" w14:textId="557DFE11" w:rsidR="00B94AB9" w:rsidRPr="00B94AB9" w:rsidRDefault="0052431D" w:rsidP="00C74418">
      <w:pPr>
        <w:spacing w:after="160" w:line="360" w:lineRule="auto"/>
        <w:rPr>
          <w:rFonts w:asciiTheme="minorHAnsi" w:hAnsiTheme="minorHAnsi" w:cs="Arial"/>
          <w:b/>
          <w:bCs/>
          <w:sz w:val="24"/>
          <w:szCs w:val="24"/>
          <w:lang w:val="en-GB"/>
        </w:rPr>
      </w:pPr>
      <w:r w:rsidRPr="00B94AB9">
        <w:rPr>
          <w:rFonts w:asciiTheme="minorHAnsi" w:hAnsiTheme="minorHAnsi" w:cs="Arial"/>
          <w:b/>
          <w:bCs/>
          <w:sz w:val="24"/>
          <w:szCs w:val="24"/>
          <w:lang w:val="en-GB"/>
        </w:rPr>
        <w:br w:type="page"/>
      </w:r>
    </w:p>
    <w:p w14:paraId="61937B66" w14:textId="01AA55D9" w:rsidR="00C579DB" w:rsidRDefault="00C579DB" w:rsidP="00A246F2">
      <w:pPr>
        <w:spacing w:after="0" w:line="240" w:lineRule="auto"/>
        <w:jc w:val="both"/>
        <w:rPr>
          <w:rFonts w:asciiTheme="minorHAnsi" w:hAnsiTheme="minorHAnsi" w:cs="Arial"/>
          <w:b/>
          <w:bCs/>
          <w:sz w:val="24"/>
          <w:szCs w:val="24"/>
          <w:lang w:val="en-GB"/>
        </w:rPr>
      </w:pPr>
      <w:r w:rsidRPr="0052431D">
        <w:rPr>
          <w:rFonts w:asciiTheme="minorHAnsi" w:hAnsiTheme="minorHAnsi" w:cs="Arial"/>
          <w:b/>
          <w:bCs/>
          <w:sz w:val="24"/>
          <w:szCs w:val="24"/>
          <w:lang w:val="en-GB"/>
        </w:rPr>
        <w:t>R</w:t>
      </w:r>
      <w:r w:rsidR="00EF00F9">
        <w:rPr>
          <w:rFonts w:asciiTheme="minorHAnsi" w:hAnsiTheme="minorHAnsi" w:cs="Arial"/>
          <w:b/>
          <w:bCs/>
          <w:sz w:val="24"/>
          <w:szCs w:val="24"/>
          <w:lang w:val="en-GB"/>
        </w:rPr>
        <w:t>EFERENCES</w:t>
      </w:r>
    </w:p>
    <w:p w14:paraId="0C27DA80" w14:textId="77777777" w:rsidR="0052431D" w:rsidRPr="0052431D" w:rsidRDefault="0052431D" w:rsidP="00A246F2">
      <w:pPr>
        <w:spacing w:after="0" w:line="240" w:lineRule="auto"/>
        <w:jc w:val="both"/>
        <w:rPr>
          <w:rFonts w:asciiTheme="minorHAnsi" w:hAnsiTheme="minorHAnsi" w:cs="Arial"/>
          <w:b/>
          <w:bCs/>
          <w:sz w:val="24"/>
          <w:szCs w:val="24"/>
          <w:lang w:val="en-GB"/>
        </w:rPr>
      </w:pPr>
    </w:p>
    <w:p w14:paraId="23B6FB2C" w14:textId="256DC2BC" w:rsidR="00E073B1" w:rsidRPr="0052431D" w:rsidRDefault="00C579DB"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cs="Arial"/>
          <w:b/>
          <w:bCs/>
          <w:sz w:val="24"/>
          <w:szCs w:val="24"/>
          <w:lang w:val="en-GB"/>
        </w:rPr>
        <w:fldChar w:fldCharType="begin" w:fldLock="1"/>
      </w:r>
      <w:r w:rsidRPr="0052431D">
        <w:rPr>
          <w:rFonts w:asciiTheme="minorHAnsi" w:hAnsiTheme="minorHAnsi" w:cs="Arial"/>
          <w:b/>
          <w:bCs/>
          <w:sz w:val="24"/>
          <w:szCs w:val="24"/>
          <w:lang w:val="en-GB"/>
        </w:rPr>
        <w:instrText xml:space="preserve">ADDIN Mendeley Bibliography CSL_BIBLIOGRAPHY </w:instrText>
      </w:r>
      <w:r w:rsidRPr="0052431D">
        <w:rPr>
          <w:rFonts w:asciiTheme="minorHAnsi" w:hAnsiTheme="minorHAnsi" w:cs="Arial"/>
          <w:b/>
          <w:bCs/>
          <w:sz w:val="24"/>
          <w:szCs w:val="24"/>
          <w:lang w:val="en-GB"/>
        </w:rPr>
        <w:fldChar w:fldCharType="separate"/>
      </w:r>
      <w:r w:rsidR="00E073B1" w:rsidRPr="0052431D">
        <w:rPr>
          <w:rFonts w:asciiTheme="minorHAnsi" w:hAnsiTheme="minorHAnsi"/>
          <w:noProof/>
          <w:sz w:val="24"/>
          <w:szCs w:val="24"/>
          <w:lang w:val="en-GB"/>
        </w:rPr>
        <w:t xml:space="preserve">1. </w:t>
      </w:r>
      <w:r w:rsidR="00E073B1" w:rsidRPr="0052431D">
        <w:rPr>
          <w:rFonts w:asciiTheme="minorHAnsi" w:hAnsiTheme="minorHAnsi"/>
          <w:noProof/>
          <w:sz w:val="24"/>
          <w:szCs w:val="24"/>
          <w:lang w:val="en-GB"/>
        </w:rPr>
        <w:tab/>
        <w:t>Kissling E, Allison EH, Seeley JA, Russell S, Bachmann M, Musgrave SD, et al. Fisherfolk are among groups most at risk of HIV: cross-country analysis of prevalence and numbers infected. AIDS [Internet]. 2005 Nov 18 [cited 2019 Dec 31];19(17):1939–46. Available from: https://insights.ovid.com/crossref?an=00002030-200511180-00001</w:t>
      </w:r>
    </w:p>
    <w:p w14:paraId="3DCE9C54"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 </w:t>
      </w:r>
      <w:r w:rsidRPr="0052431D">
        <w:rPr>
          <w:rFonts w:asciiTheme="minorHAnsi" w:hAnsiTheme="minorHAnsi"/>
          <w:noProof/>
          <w:sz w:val="24"/>
          <w:szCs w:val="24"/>
          <w:lang w:val="en-GB"/>
        </w:rPr>
        <w:tab/>
        <w:t>Smolak A. A meta-analysis and systematic review of HIV risk behavior among fishermen. AIDS Care [Internet]. 2014 Mar 4 [cited 2019 Dec 31];26(3):282–91. Available from: http://www.ncbi.nlm.nih.gov/pubmed/23941609</w:t>
      </w:r>
    </w:p>
    <w:p w14:paraId="3A501816"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3. </w:t>
      </w:r>
      <w:r w:rsidRPr="0052431D">
        <w:rPr>
          <w:rFonts w:asciiTheme="minorHAnsi" w:hAnsiTheme="minorHAnsi"/>
          <w:noProof/>
          <w:sz w:val="24"/>
          <w:szCs w:val="24"/>
          <w:lang w:val="en-GB"/>
        </w:rPr>
        <w:tab/>
        <w:t>Sileo KM, Kintu M, Chanes-Mora P, Kiene SM. &amp;quot;Such Behaviors Are Not in My Home Village, I Got Them Here&amp;quot;: A Qualitative Study of the Influence of Contextual Factors on Alcohol and HIV Risk Behaviors in a Fishing Community on Lake Victoria, Uganda. AIDS Behav [Internet]. 2016 Mar 29 [cited 2019 Dec 31];20(3):537–47. Available from: http://link.springer.com/10.1007/s10461-015-1077-z</w:t>
      </w:r>
    </w:p>
    <w:p w14:paraId="2DB8C81A"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4. </w:t>
      </w:r>
      <w:r w:rsidRPr="0052431D">
        <w:rPr>
          <w:rFonts w:asciiTheme="minorHAnsi" w:hAnsiTheme="minorHAnsi"/>
          <w:noProof/>
          <w:sz w:val="24"/>
          <w:szCs w:val="24"/>
          <w:lang w:val="da-DK"/>
        </w:rPr>
        <w:tab/>
        <w:t xml:space="preserve">Sileo KM, Bogart LM, Wagner GJ, Musoke W, Naigino R, Mukasa B, et al. </w:t>
      </w:r>
      <w:r w:rsidRPr="0052431D">
        <w:rPr>
          <w:rFonts w:asciiTheme="minorHAnsi" w:hAnsiTheme="minorHAnsi"/>
          <w:noProof/>
          <w:sz w:val="24"/>
          <w:szCs w:val="24"/>
          <w:lang w:val="en-GB"/>
        </w:rPr>
        <w:t>HIV fatalism and engagement in transactional sex among Ugandan fisherfolk living with HIV. SAHARA J [Internet]. 2019 Jan 1 [cited 2019 Dec 31];16(1):1–9. Available from: https://www.tandfonline.com/doi/full/10.1080/17290376.2019.1572533</w:t>
      </w:r>
    </w:p>
    <w:p w14:paraId="24E16B8F"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5. </w:t>
      </w:r>
      <w:r w:rsidRPr="0052431D">
        <w:rPr>
          <w:rFonts w:asciiTheme="minorHAnsi" w:hAnsiTheme="minorHAnsi"/>
          <w:noProof/>
          <w:sz w:val="24"/>
          <w:szCs w:val="24"/>
          <w:lang w:val="en-GB"/>
        </w:rPr>
        <w:tab/>
        <w:t>Asiki G, Mpendo J, Abaasa A, Agaba C, Nanvubya A, Nielsen L, et al. HIV and syphilis prevalence and associated risk factors among fishing communities of Lake Victoria, Uganda. Sex Transm Infect [Internet]. 2011 Oct 1 [cited 2016 Nov 16];87(6):511–5. Available from: http://sti.bmj.com/cgi/doi/10.1136/sti.2010.046805</w:t>
      </w:r>
    </w:p>
    <w:p w14:paraId="76E805D1"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6. </w:t>
      </w:r>
      <w:r w:rsidRPr="0052431D">
        <w:rPr>
          <w:rFonts w:asciiTheme="minorHAnsi" w:hAnsiTheme="minorHAnsi"/>
          <w:noProof/>
          <w:sz w:val="24"/>
          <w:szCs w:val="24"/>
          <w:lang w:val="en-GB"/>
        </w:rPr>
        <w:tab/>
        <w:t>Seeley J, Nakiyingi-Miiro J, Kamali A, Mpendo J, Asiki G, Abaasa A, et al. High HIV Incidence and Socio-Behavioral Risk Patterns in Fishing Communities on the Shores of Lake Victoria, Uganda. Sex Transm Dis [Internet]. 2012 Jun [cited 2016 Nov 16];39(6):433–9. Available from: http://content.wkhealth.com/linkback/openurl?sid=WKPTLP:landingpage&amp;an=00007435-201206000-00007</w:t>
      </w:r>
    </w:p>
    <w:p w14:paraId="3E341DF5"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7. </w:t>
      </w:r>
      <w:r w:rsidRPr="0052431D">
        <w:rPr>
          <w:rFonts w:asciiTheme="minorHAnsi" w:hAnsiTheme="minorHAnsi"/>
          <w:noProof/>
          <w:sz w:val="24"/>
          <w:szCs w:val="24"/>
          <w:lang w:val="da-DK"/>
        </w:rPr>
        <w:tab/>
        <w:t xml:space="preserve">Mafigiri R, Matovu JKB, Makumbi FE, Ndyanabo A, Nabukalu D, Sakor M, et al. </w:t>
      </w:r>
      <w:r w:rsidRPr="0052431D">
        <w:rPr>
          <w:rFonts w:asciiTheme="minorHAnsi" w:hAnsiTheme="minorHAnsi"/>
          <w:noProof/>
          <w:sz w:val="24"/>
          <w:szCs w:val="24"/>
          <w:lang w:val="en-GB"/>
        </w:rPr>
        <w:t>HIV prevalence and uptake of HIV/AIDS services among youths (15–24 Years) in fishing and neighboring communities of Kasensero, Rakai District, South Western Uganda. BMC Public Health [Internet]. 2017 Dec 14 [cited 2019 Dec 31];17(1):251. Available from: http://www.ncbi.nlm.nih.gov/pubmed/28288604</w:t>
      </w:r>
    </w:p>
    <w:p w14:paraId="706E23BB"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da-DK"/>
        </w:rPr>
      </w:pPr>
      <w:r w:rsidRPr="0052431D">
        <w:rPr>
          <w:rFonts w:asciiTheme="minorHAnsi" w:hAnsiTheme="minorHAnsi"/>
          <w:noProof/>
          <w:sz w:val="24"/>
          <w:szCs w:val="24"/>
          <w:lang w:val="da-DK"/>
        </w:rPr>
        <w:t xml:space="preserve">8. </w:t>
      </w:r>
      <w:r w:rsidRPr="0052431D">
        <w:rPr>
          <w:rFonts w:asciiTheme="minorHAnsi" w:hAnsiTheme="minorHAnsi"/>
          <w:noProof/>
          <w:sz w:val="24"/>
          <w:szCs w:val="24"/>
          <w:lang w:val="da-DK"/>
        </w:rPr>
        <w:tab/>
        <w:t xml:space="preserve">Kwena ZA, Njuguna SW, Ssetala A, Seeley J, Nielsen L, De Bont J, et al. </w:t>
      </w:r>
      <w:r w:rsidRPr="0052431D">
        <w:rPr>
          <w:rFonts w:asciiTheme="minorHAnsi" w:hAnsiTheme="minorHAnsi"/>
          <w:noProof/>
          <w:sz w:val="24"/>
          <w:szCs w:val="24"/>
          <w:lang w:val="en-GB"/>
        </w:rPr>
        <w:t xml:space="preserve">HIV prevalence, spatial distribution and risk factors for HIV infection in the Kenyan fishing communities of Lake Victoria. Ciccozzi M, editor. PLoS One [Internet]. 2019 Mar 25 [cited 2019 Dec 31];14(3):e0214360. </w:t>
      </w:r>
      <w:r w:rsidRPr="0052431D">
        <w:rPr>
          <w:rFonts w:asciiTheme="minorHAnsi" w:hAnsiTheme="minorHAnsi"/>
          <w:noProof/>
          <w:sz w:val="24"/>
          <w:szCs w:val="24"/>
          <w:lang w:val="da-DK"/>
        </w:rPr>
        <w:t>Available from: http://www.ncbi.nlm.nih.gov/pubmed/30908555</w:t>
      </w:r>
    </w:p>
    <w:p w14:paraId="4C5DB412"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9. </w:t>
      </w:r>
      <w:r w:rsidRPr="0052431D">
        <w:rPr>
          <w:rFonts w:asciiTheme="minorHAnsi" w:hAnsiTheme="minorHAnsi"/>
          <w:noProof/>
          <w:sz w:val="24"/>
          <w:szCs w:val="24"/>
          <w:lang w:val="da-DK"/>
        </w:rPr>
        <w:tab/>
        <w:t xml:space="preserve">Downs JA, Dupnik KM, van Dam GJ, Urassa M, Lutonja P, Kornelis D, et al. </w:t>
      </w:r>
      <w:r w:rsidRPr="0052431D">
        <w:rPr>
          <w:rFonts w:asciiTheme="minorHAnsi" w:hAnsiTheme="minorHAnsi"/>
          <w:noProof/>
          <w:sz w:val="24"/>
          <w:szCs w:val="24"/>
          <w:lang w:val="en-GB"/>
        </w:rPr>
        <w:t>Effects of schistosomiasis on susceptibility to HIV-1 infection and HIV-1 viral load at HIV-1 seroconversion: A nested case-control study. Hsieh MH, editor. PLoS Negl Trop Dis [Internet]. 2017 Sep 25 [cited 2017 Oct 19];11(9):e0005968. Available from: http://dx.plos.org/10.1371/journal.pntd.0005968</w:t>
      </w:r>
    </w:p>
    <w:p w14:paraId="41D1E92F"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10. </w:t>
      </w:r>
      <w:r w:rsidRPr="0052431D">
        <w:rPr>
          <w:rFonts w:asciiTheme="minorHAnsi" w:hAnsiTheme="minorHAnsi"/>
          <w:noProof/>
          <w:sz w:val="24"/>
          <w:szCs w:val="24"/>
          <w:lang w:val="en-GB"/>
        </w:rPr>
        <w:tab/>
        <w:t>Wall KM, Kilembe W, Vwalika B, Dinh C, Livingston P, Lee Y-M, et al. Schistosomiasis is associated with incident HIV transmission and death in Zambia. Bustinduy AL, editor. PLoS Negl Trop Dis [Internet]. 2018 Dec 13 [cited 2018 Dec 15];12(12):e0006902. Available from: http://www.ncbi.nlm.nih.gov/pubmed/30543654</w:t>
      </w:r>
    </w:p>
    <w:p w14:paraId="2CEB9754"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11. </w:t>
      </w:r>
      <w:r w:rsidRPr="0052431D">
        <w:rPr>
          <w:rFonts w:asciiTheme="minorHAnsi" w:hAnsiTheme="minorHAnsi"/>
          <w:noProof/>
          <w:sz w:val="24"/>
          <w:szCs w:val="24"/>
          <w:lang w:val="en-GB"/>
        </w:rPr>
        <w:tab/>
        <w:t>Mazigo HD, Dunne DW, Wilson S, Kinung’hi SM, Pinot de Moira A, Jones FM, et al. Co-infection with Schistosoma mansoni and Human Immunodeficiency Virus-1 (HIV-1) among residents of fishing villages of north-western Tanzania. Parasit Vectors [Internet]. 2014 Jan [cited 2015 May 28];7:587. Available from: http://www.pubmedcentral.nih.gov/articlerender.fcgi?artid=4271490&amp;tool=pmcentrez&amp;rendertype=abstract</w:t>
      </w:r>
    </w:p>
    <w:p w14:paraId="65193087"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12. </w:t>
      </w:r>
      <w:r w:rsidRPr="0052431D">
        <w:rPr>
          <w:rFonts w:asciiTheme="minorHAnsi" w:hAnsiTheme="minorHAnsi"/>
          <w:noProof/>
          <w:sz w:val="24"/>
          <w:szCs w:val="24"/>
          <w:lang w:val="en-GB"/>
        </w:rPr>
        <w:tab/>
        <w:t>Ssetaala A, Nakiyingi-Miiro J, Asiki G, Kyakuwa N, Mpendo J, Van Dam GJ, et al. Schistosoma mansoni and HIV acquisition in fishing communities of Lake Victoria, Uganda: a nested case-control study. Trop Med Int Heal [Internet]. 2015 Sep [cited 2015 Sep 9];20(9):1190–5. Available from: http://www.pubmedcentral.nih.gov/articlerender.fcgi?artid=4529482&amp;tool=pmcentrez&amp;rendertype=abstract</w:t>
      </w:r>
    </w:p>
    <w:p w14:paraId="1267A208"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13. </w:t>
      </w:r>
      <w:r w:rsidRPr="0052431D">
        <w:rPr>
          <w:rFonts w:asciiTheme="minorHAnsi" w:hAnsiTheme="minorHAnsi"/>
          <w:noProof/>
          <w:sz w:val="24"/>
          <w:szCs w:val="24"/>
          <w:lang w:val="da-DK"/>
        </w:rPr>
        <w:tab/>
        <w:t xml:space="preserve">Downs JA, van Dam GJ, Changalucha JM, Corstjens PLAM, Peck RN, de Dood CJ, et al. </w:t>
      </w:r>
      <w:r w:rsidRPr="0052431D">
        <w:rPr>
          <w:rFonts w:asciiTheme="minorHAnsi" w:hAnsiTheme="minorHAnsi"/>
          <w:noProof/>
          <w:sz w:val="24"/>
          <w:szCs w:val="24"/>
          <w:lang w:val="en-GB"/>
        </w:rPr>
        <w:t>Association of schistosomiasis and HIV infection in Tanzania. Am J Trop Med Hyg [Internet]. 2012 Oct 1 [cited 2012 Nov 1];87(5):868–73. Available from: http://www.ncbi.nlm.nih.gov/pubmed/23033399</w:t>
      </w:r>
    </w:p>
    <w:p w14:paraId="2CBFD178"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14. </w:t>
      </w:r>
      <w:r w:rsidRPr="0052431D">
        <w:rPr>
          <w:rFonts w:asciiTheme="minorHAnsi" w:hAnsiTheme="minorHAnsi"/>
          <w:noProof/>
          <w:sz w:val="24"/>
          <w:szCs w:val="24"/>
          <w:lang w:val="da-DK"/>
        </w:rPr>
        <w:tab/>
        <w:t xml:space="preserve">Corstjens PLAM, De Dood CJ, Kornelis D, Fat EMTK, Wilson RA, Kariuki TM, et al. </w:t>
      </w:r>
      <w:r w:rsidRPr="0052431D">
        <w:rPr>
          <w:rFonts w:asciiTheme="minorHAnsi" w:hAnsiTheme="minorHAnsi"/>
          <w:noProof/>
          <w:sz w:val="24"/>
          <w:szCs w:val="24"/>
          <w:lang w:val="en-GB"/>
        </w:rPr>
        <w:t>Tools for diagnosis, monitoring and screening of Schistosoma infections utilizing lateral-flow based assays and upconverting phosphor labels. Parasitology [Internet]. 2014 Dec [cited 2015 Jan 24];141(14):1841–55. Available from: http://www.ncbi.nlm.nih.gov/pubmed/24932595</w:t>
      </w:r>
    </w:p>
    <w:p w14:paraId="55D3A3C9"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15. </w:t>
      </w:r>
      <w:r w:rsidRPr="0052431D">
        <w:rPr>
          <w:rFonts w:asciiTheme="minorHAnsi" w:hAnsiTheme="minorHAnsi"/>
          <w:noProof/>
          <w:sz w:val="24"/>
          <w:szCs w:val="24"/>
          <w:lang w:val="en-GB"/>
        </w:rPr>
        <w:tab/>
        <w:t>Polman K, de Vlas SJ, Gryseels B, Deelder  a M. Relating serum circulating anodic antigens to faecal egg counts in Schistosoma mansoni infections: a modelling approach. Parasitology [Internet]. 2000 Dec;121 Pt 6:601–10. Available from: http://www.ncbi.nlm.nih.gov/pubmed/11155931</w:t>
      </w:r>
    </w:p>
    <w:p w14:paraId="333F42E4"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16. </w:t>
      </w:r>
      <w:r w:rsidRPr="0052431D">
        <w:rPr>
          <w:rFonts w:asciiTheme="minorHAnsi" w:hAnsiTheme="minorHAnsi"/>
          <w:noProof/>
          <w:sz w:val="24"/>
          <w:szCs w:val="24"/>
          <w:lang w:val="en-GB"/>
        </w:rPr>
        <w:tab/>
        <w:t>UN AIDS. United Republic of Tanzania [Internet]. 2018 [cited 2019 Dec 31]. Available from: https://www.unaids.org/en/regionscountries/countries/unitedrepublicoftanzania</w:t>
      </w:r>
    </w:p>
    <w:p w14:paraId="1CF5FBBF"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17. </w:t>
      </w:r>
      <w:r w:rsidRPr="0052431D">
        <w:rPr>
          <w:rFonts w:asciiTheme="minorHAnsi" w:hAnsiTheme="minorHAnsi"/>
          <w:noProof/>
          <w:sz w:val="24"/>
          <w:szCs w:val="24"/>
          <w:lang w:val="en-GB"/>
        </w:rPr>
        <w:tab/>
        <w:t>Manyahi J, Jullu BS, Abuya MI, Juma J, Ndayongeje J, Kilama B, et al. Prevalence of HIV and syphilis infections among pregnant women attending antenatal clinics in Tanzania, 2011. BMC Public Health [Internet]. 2015 May 22 [cited 2019 Dec 31];15(1):501. Available from: http://bmcpublichealth.biomedcentral.com/articles/10.1186/s12889-015-1848-5</w:t>
      </w:r>
    </w:p>
    <w:p w14:paraId="23C79CD7"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18. </w:t>
      </w:r>
      <w:r w:rsidRPr="0052431D">
        <w:rPr>
          <w:rFonts w:asciiTheme="minorHAnsi" w:hAnsiTheme="minorHAnsi"/>
          <w:noProof/>
          <w:sz w:val="24"/>
          <w:szCs w:val="24"/>
          <w:lang w:val="da-DK"/>
        </w:rPr>
        <w:tab/>
        <w:t xml:space="preserve">Hokororo A, Kihunrwa AF, Hoekstra P, Kalluvya SE, Changalucha J, Fitzgerald D, et al. </w:t>
      </w:r>
      <w:r w:rsidRPr="0052431D">
        <w:rPr>
          <w:rFonts w:asciiTheme="minorHAnsi" w:hAnsiTheme="minorHAnsi"/>
          <w:noProof/>
          <w:sz w:val="24"/>
          <w:szCs w:val="24"/>
          <w:lang w:val="en-GB"/>
        </w:rPr>
        <w:t xml:space="preserve">High prevalence of sexually transmitted infections in pregnant adolescent girls in Tanzania: a multi-community cross-sectional study. Sex Transm Infect. 2015;91(7):473–8. </w:t>
      </w:r>
    </w:p>
    <w:p w14:paraId="3BD89E66"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19. </w:t>
      </w:r>
      <w:r w:rsidRPr="0052431D">
        <w:rPr>
          <w:rFonts w:asciiTheme="minorHAnsi" w:hAnsiTheme="minorHAnsi"/>
          <w:noProof/>
          <w:sz w:val="24"/>
          <w:szCs w:val="24"/>
          <w:lang w:val="en-GB"/>
        </w:rPr>
        <w:tab/>
        <w:t>Mehta SD, Ghanem KG, Rompalo AM, Erbelding EJ. HIV Seroconversion Among Public Sexually Transmitted Disease Clinic Patients. J Acquir Immun Defic Syn [Internet]. 2006 May [cited 2020 Jan 12];42(1):116–22. Available from: http://www.ncbi.nlm.nih.gov/pubmed/16763500</w:t>
      </w:r>
    </w:p>
    <w:p w14:paraId="00419509"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20. </w:t>
      </w:r>
      <w:r w:rsidRPr="0052431D">
        <w:rPr>
          <w:rFonts w:asciiTheme="minorHAnsi" w:hAnsiTheme="minorHAnsi"/>
          <w:noProof/>
          <w:sz w:val="24"/>
          <w:szCs w:val="24"/>
          <w:lang w:val="en-GB"/>
        </w:rPr>
        <w:tab/>
        <w:t>Hughes JP, Baeten JM, Lingappa JR, Magaret AS, Wald A, de Bruyn G, et al. Determinants of per-coital-act HIV-1 infectivity among African HIV-1-serodiscordant couples. J Infect Dis [Internet]. 2012 Feb 1 [cited 2015 Sep 10];205(3):358–65. Available from: http://www.pubmedcentral.nih.gov/articlerender.fcgi?artid=3256946&amp;tool=pmcentrez&amp;rendertype=abstract</w:t>
      </w:r>
    </w:p>
    <w:p w14:paraId="6EFF35E9"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21. </w:t>
      </w:r>
      <w:r w:rsidRPr="0052431D">
        <w:rPr>
          <w:rFonts w:asciiTheme="minorHAnsi" w:hAnsiTheme="minorHAnsi"/>
          <w:noProof/>
          <w:sz w:val="24"/>
          <w:szCs w:val="24"/>
          <w:lang w:val="en-GB"/>
        </w:rPr>
        <w:tab/>
        <w:t>Johnson LF, Lewis DA. The effect of genital tract infections on HIV-1 shedding in the genital tract: a systematic review and meta-analysis. Sex Transm Dis [Internet]. 2008 Nov [cited 2016 Nov 20];35(11):946–59. Available from: http://www.ncbi.nlm.nih.gov/pubmed/18685546</w:t>
      </w:r>
    </w:p>
    <w:p w14:paraId="4FC41BF6"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22. </w:t>
      </w:r>
      <w:r w:rsidRPr="0052431D">
        <w:rPr>
          <w:rFonts w:asciiTheme="minorHAnsi" w:hAnsiTheme="minorHAnsi"/>
          <w:noProof/>
          <w:sz w:val="24"/>
          <w:szCs w:val="24"/>
          <w:lang w:val="en-GB"/>
        </w:rPr>
        <w:tab/>
        <w:t>Torrone EA, Morrison CS, Chen P-L, Kwok C, Francis SC, Hayes RJ, et al. Prevalence of sexually transmitted infections and bacterial vaginosis among women in sub-Saharan Africa: An individual participant data meta-analysis of 18 HIV prevention studies. Byass P, editor. PLoS Med [Internet]. 2018 Feb 27 [cited 2020 Jan 12];15(2):e1002511. Available from: https://dx.plos.org/10.1371/journal.pmed.1002511</w:t>
      </w:r>
    </w:p>
    <w:p w14:paraId="31719F62"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23. </w:t>
      </w:r>
      <w:r w:rsidRPr="0052431D">
        <w:rPr>
          <w:rFonts w:asciiTheme="minorHAnsi" w:hAnsiTheme="minorHAnsi"/>
          <w:noProof/>
          <w:sz w:val="24"/>
          <w:szCs w:val="24"/>
          <w:lang w:val="en-GB"/>
        </w:rPr>
        <w:tab/>
        <w:t>Bolan RK, Beymer MR, Weiss RE, Flynn RP, Leibowitz AA, Klausner JD. Doxycycline Prophylaxis to Reduce Incident Syphilis among HIV-Infected Men Who Have Sex With Men Who Continue to Engage in High-Risk Sex. Sex Transm Dis [Internet]. 2015 Feb [cited 2020 Jan 12];42(2):98–103. Available from: http://www.ncbi.nlm.nih.gov/pubmed/25585069</w:t>
      </w:r>
    </w:p>
    <w:p w14:paraId="6EFC4578"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24. </w:t>
      </w:r>
      <w:r w:rsidRPr="0052431D">
        <w:rPr>
          <w:rFonts w:asciiTheme="minorHAnsi" w:hAnsiTheme="minorHAnsi"/>
          <w:noProof/>
          <w:sz w:val="24"/>
          <w:szCs w:val="24"/>
          <w:lang w:val="da-DK"/>
        </w:rPr>
        <w:tab/>
        <w:t xml:space="preserve">Molina J-M, Charreau I, Chidiac C, Pialoux G, Cua E, Delaugerre C, et al. </w:t>
      </w:r>
      <w:r w:rsidRPr="0052431D">
        <w:rPr>
          <w:rFonts w:asciiTheme="minorHAnsi" w:hAnsiTheme="minorHAnsi"/>
          <w:noProof/>
          <w:sz w:val="24"/>
          <w:szCs w:val="24"/>
          <w:lang w:val="en-GB"/>
        </w:rPr>
        <w:t>Post-exposure prophylaxis with doxycycline to prevent sexually transmitted infections in men who have sex with men: an open-label randomised substudy of the ANRS IPERGAY trial. Lancet Infect Dis [Internet]. 2018 Mar [cited 2020 Jan 12];18(3):308–17. Available from: http://www.ncbi.nlm.nih.gov/pubmed/29229440</w:t>
      </w:r>
    </w:p>
    <w:p w14:paraId="5F0208C0"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25. </w:t>
      </w:r>
      <w:r w:rsidRPr="0052431D">
        <w:rPr>
          <w:rFonts w:asciiTheme="minorHAnsi" w:hAnsiTheme="minorHAnsi"/>
          <w:noProof/>
          <w:sz w:val="24"/>
          <w:szCs w:val="24"/>
          <w:lang w:val="en-GB"/>
        </w:rPr>
        <w:tab/>
        <w:t xml:space="preserve">Workowski K, Bolan G. Sexually Transmitted Diseases Treatment Guidelines, 2015. Morb Mortal Wkly Rep. 2015;64(RR3):1–137. </w:t>
      </w:r>
    </w:p>
    <w:p w14:paraId="6C1686D6"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26. </w:t>
      </w:r>
      <w:r w:rsidRPr="0052431D">
        <w:rPr>
          <w:rFonts w:asciiTheme="minorHAnsi" w:hAnsiTheme="minorHAnsi"/>
          <w:noProof/>
          <w:sz w:val="24"/>
          <w:szCs w:val="24"/>
          <w:lang w:val="en-GB"/>
        </w:rPr>
        <w:tab/>
        <w:t>Grant JS, Stafylis C, Celum C, Grennan T, Haire B, Kaldor J, et al. Doxycycline prophylaxis for bacterial sexually transmitted infections. Clin Infect Dis [Internet]. 2019 Sep 1 [cited 2019 Dec 31];[Epub ahea. Available from: https://academic.oup.com/cid/advance-article/doi/10.1093/cid/ciz866/5557867</w:t>
      </w:r>
    </w:p>
    <w:p w14:paraId="373FBED2"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27. </w:t>
      </w:r>
      <w:r w:rsidRPr="0052431D">
        <w:rPr>
          <w:rFonts w:asciiTheme="minorHAnsi" w:hAnsiTheme="minorHAnsi"/>
          <w:noProof/>
          <w:sz w:val="24"/>
          <w:szCs w:val="24"/>
          <w:lang w:val="en-GB"/>
        </w:rPr>
        <w:tab/>
        <w:t xml:space="preserve">Downs JA, De Dood CJ, Dee HE, McGeehan M, Khan H, Marenga A, et al. Schistosomiasis and human immunodeficiency virus in men in Tanzania. Am J Trop Med Hyg. 2017;96(4):856–62. </w:t>
      </w:r>
    </w:p>
    <w:p w14:paraId="23885A87"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28. </w:t>
      </w:r>
      <w:r w:rsidRPr="0052431D">
        <w:rPr>
          <w:rFonts w:asciiTheme="minorHAnsi" w:hAnsiTheme="minorHAnsi"/>
          <w:noProof/>
          <w:sz w:val="24"/>
          <w:szCs w:val="24"/>
          <w:lang w:val="en-GB"/>
        </w:rPr>
        <w:tab/>
        <w:t>Karanja DMS, Hightower AW, Colley DG, Mwinzi PNM, Galil K, Andove J, et al. Resistance to reinfection with Schistosoma mansoni in occupationally exposed adults and effect of HIV-1 co-infection on susceptibility to schistosomiasis: a longitudinal study. Lancet [Internet]. 2002 Aug 24;360(9333):592–6. Available from: http://www.ncbi.nlm.nih.gov/pubmed/12241930</w:t>
      </w:r>
    </w:p>
    <w:p w14:paraId="4105B786"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en-GB"/>
        </w:rPr>
        <w:t xml:space="preserve">29. </w:t>
      </w:r>
      <w:r w:rsidRPr="0052431D">
        <w:rPr>
          <w:rFonts w:asciiTheme="minorHAnsi" w:hAnsiTheme="minorHAnsi"/>
          <w:noProof/>
          <w:sz w:val="24"/>
          <w:szCs w:val="24"/>
          <w:lang w:val="en-GB"/>
        </w:rPr>
        <w:tab/>
        <w:t>Oliveira RR, Figueiredo JP, Cardoso LS, Jabar RL, Souza RP, Wells MT, et al. Factors associated with resistance to Schistosoma mansoni infection in an endemic area of Bahia, Brazil. Am J Trop Med Hyg [Internet]. 2012 Feb [cited 2013 May 21];86(2):296–305. Available from: http://www.pubmedcentral.nih.gov/articlerender.fcgi?artid=3269284&amp;tool=pmcentrez&amp;rendertype=abstract</w:t>
      </w:r>
    </w:p>
    <w:p w14:paraId="135E584A" w14:textId="77777777" w:rsidR="00E073B1" w:rsidRPr="0052431D" w:rsidRDefault="00E073B1" w:rsidP="00E073B1">
      <w:pPr>
        <w:widowControl w:val="0"/>
        <w:autoSpaceDE w:val="0"/>
        <w:autoSpaceDN w:val="0"/>
        <w:adjustRightInd w:val="0"/>
        <w:spacing w:after="0" w:line="240" w:lineRule="auto"/>
        <w:ind w:left="640" w:hanging="640"/>
        <w:rPr>
          <w:rFonts w:asciiTheme="minorHAnsi" w:hAnsiTheme="minorHAnsi"/>
          <w:noProof/>
          <w:sz w:val="24"/>
          <w:szCs w:val="24"/>
          <w:lang w:val="en-GB"/>
        </w:rPr>
      </w:pPr>
      <w:r w:rsidRPr="0052431D">
        <w:rPr>
          <w:rFonts w:asciiTheme="minorHAnsi" w:hAnsiTheme="minorHAnsi"/>
          <w:noProof/>
          <w:sz w:val="24"/>
          <w:szCs w:val="24"/>
          <w:lang w:val="da-DK"/>
        </w:rPr>
        <w:t xml:space="preserve">30. </w:t>
      </w:r>
      <w:r w:rsidRPr="0052431D">
        <w:rPr>
          <w:rFonts w:asciiTheme="minorHAnsi" w:hAnsiTheme="minorHAnsi"/>
          <w:noProof/>
          <w:sz w:val="24"/>
          <w:szCs w:val="24"/>
          <w:lang w:val="da-DK"/>
        </w:rPr>
        <w:tab/>
        <w:t xml:space="preserve">Souza R da P, Araújo MI, Lopes DM, Almeida TVVS, Page B, Oliveira RR, et al. </w:t>
      </w:r>
      <w:r w:rsidRPr="0052431D">
        <w:rPr>
          <w:rFonts w:asciiTheme="minorHAnsi" w:hAnsiTheme="minorHAnsi"/>
          <w:noProof/>
          <w:sz w:val="24"/>
          <w:szCs w:val="24"/>
          <w:lang w:val="en-GB"/>
        </w:rPr>
        <w:t>Characterization of memory T cells in individuals resistant to Schistosoma mansoni infection. Parasit Immunol [Internet]. 2019 Dec 8 [cited 2020 Jan 12];41(12):e12671. Available from: http://www.ncbi.nlm.nih.gov/pubmed/31532832</w:t>
      </w:r>
    </w:p>
    <w:p w14:paraId="0347F2A7" w14:textId="1C5845DF" w:rsidR="00442356" w:rsidRDefault="00C579DB" w:rsidP="00B70291">
      <w:pPr>
        <w:spacing w:after="0" w:line="240" w:lineRule="auto"/>
        <w:jc w:val="both"/>
        <w:rPr>
          <w:rFonts w:asciiTheme="minorHAnsi" w:hAnsiTheme="minorHAnsi" w:cs="Arial"/>
          <w:b/>
          <w:bCs/>
          <w:sz w:val="24"/>
          <w:szCs w:val="24"/>
          <w:lang w:val="en-GB"/>
        </w:rPr>
        <w:sectPr w:rsidR="00442356" w:rsidSect="0018210C">
          <w:footerReference w:type="default" r:id="rId10"/>
          <w:pgSz w:w="11906" w:h="16838"/>
          <w:pgMar w:top="1440" w:right="1440" w:bottom="1440" w:left="1440" w:header="708" w:footer="708" w:gutter="0"/>
          <w:lnNumType w:countBy="1" w:restart="continuous"/>
          <w:cols w:space="708"/>
          <w:docGrid w:linePitch="360"/>
        </w:sectPr>
      </w:pPr>
      <w:r w:rsidRPr="0052431D">
        <w:rPr>
          <w:rFonts w:asciiTheme="minorHAnsi" w:hAnsiTheme="minorHAnsi" w:cs="Arial"/>
          <w:b/>
          <w:bCs/>
          <w:sz w:val="24"/>
          <w:szCs w:val="24"/>
          <w:lang w:val="en-GB"/>
        </w:rPr>
        <w:fldChar w:fldCharType="end"/>
      </w:r>
    </w:p>
    <w:p w14:paraId="7D279B97" w14:textId="4F962F14" w:rsidR="008F6A35" w:rsidRDefault="00322294" w:rsidP="005929D7">
      <w:pPr>
        <w:spacing w:after="0" w:line="240" w:lineRule="auto"/>
        <w:rPr>
          <w:rFonts w:cs="Arial"/>
          <w:b/>
          <w:bCs/>
        </w:rPr>
      </w:pPr>
      <w:r>
        <w:rPr>
          <w:rFonts w:cs="Arial"/>
          <w:b/>
          <w:bCs/>
        </w:rPr>
        <w:t>TABLES</w:t>
      </w:r>
    </w:p>
    <w:p w14:paraId="4F98F219" w14:textId="398C8F23" w:rsidR="00322294" w:rsidRDefault="00322294" w:rsidP="005929D7">
      <w:pPr>
        <w:spacing w:after="0" w:line="240" w:lineRule="auto"/>
        <w:rPr>
          <w:rFonts w:cs="Arial"/>
          <w:b/>
          <w:bCs/>
        </w:rPr>
      </w:pPr>
    </w:p>
    <w:tbl>
      <w:tblPr>
        <w:tblW w:w="10222" w:type="dxa"/>
        <w:tblInd w:w="-34" w:type="dxa"/>
        <w:tblLayout w:type="fixed"/>
        <w:tblLook w:val="01E0" w:firstRow="1" w:lastRow="1" w:firstColumn="1" w:lastColumn="1" w:noHBand="0" w:noVBand="0"/>
      </w:tblPr>
      <w:tblGrid>
        <w:gridCol w:w="3544"/>
        <w:gridCol w:w="1418"/>
        <w:gridCol w:w="3685"/>
        <w:gridCol w:w="1575"/>
      </w:tblGrid>
      <w:tr w:rsidR="00322294" w:rsidRPr="00731814" w14:paraId="50A14684" w14:textId="77777777" w:rsidTr="00B97EED">
        <w:tc>
          <w:tcPr>
            <w:tcW w:w="10222" w:type="dxa"/>
            <w:gridSpan w:val="4"/>
            <w:tcBorders>
              <w:bottom w:val="single" w:sz="4" w:space="0" w:color="auto"/>
            </w:tcBorders>
            <w:shd w:val="clear" w:color="auto" w:fill="auto"/>
          </w:tcPr>
          <w:p w14:paraId="42B90059" w14:textId="77777777" w:rsidR="00322294" w:rsidRPr="00731814" w:rsidRDefault="00322294" w:rsidP="00B97EED">
            <w:pPr>
              <w:rPr>
                <w:rFonts w:cs="Calibri"/>
                <w:b/>
                <w:bCs/>
              </w:rPr>
            </w:pPr>
            <w:r w:rsidRPr="00731814">
              <w:rPr>
                <w:rFonts w:cs="Calibri"/>
                <w:b/>
                <w:bCs/>
              </w:rPr>
              <w:t xml:space="preserve">Table </w:t>
            </w:r>
            <w:r>
              <w:rPr>
                <w:rFonts w:cs="Calibri"/>
                <w:b/>
                <w:bCs/>
              </w:rPr>
              <w:t>1</w:t>
            </w:r>
            <w:r w:rsidRPr="00731814">
              <w:rPr>
                <w:rFonts w:cs="Calibri"/>
                <w:b/>
                <w:bCs/>
              </w:rPr>
              <w:t xml:space="preserve">. </w:t>
            </w:r>
            <w:r>
              <w:rPr>
                <w:rFonts w:cs="Calibri"/>
                <w:b/>
                <w:bCs/>
              </w:rPr>
              <w:t xml:space="preserve">Socio-demographic characteristics of the study population </w:t>
            </w:r>
            <w:r w:rsidRPr="00731814">
              <w:rPr>
                <w:rFonts w:cs="Calibri"/>
                <w:b/>
                <w:bCs/>
              </w:rPr>
              <w:t>among fishing communities around Lake Victoria in NW Tanzania</w:t>
            </w:r>
          </w:p>
          <w:p w14:paraId="4E4F3B43" w14:textId="77777777" w:rsidR="00322294" w:rsidRPr="00731814" w:rsidRDefault="00322294" w:rsidP="00B97EED">
            <w:pPr>
              <w:rPr>
                <w:rFonts w:cs="Calibri"/>
                <w:b/>
                <w:bCs/>
              </w:rPr>
            </w:pPr>
          </w:p>
        </w:tc>
      </w:tr>
      <w:tr w:rsidR="00322294" w:rsidRPr="00731814" w14:paraId="678D938D" w14:textId="77777777" w:rsidTr="00B97EED">
        <w:trPr>
          <w:gridAfter w:val="1"/>
          <w:wAfter w:w="1575" w:type="dxa"/>
        </w:trPr>
        <w:tc>
          <w:tcPr>
            <w:tcW w:w="3544" w:type="dxa"/>
            <w:tcBorders>
              <w:top w:val="single" w:sz="4" w:space="0" w:color="auto"/>
              <w:bottom w:val="single" w:sz="4" w:space="0" w:color="auto"/>
            </w:tcBorders>
            <w:shd w:val="clear" w:color="auto" w:fill="auto"/>
          </w:tcPr>
          <w:p w14:paraId="561B133D" w14:textId="77777777" w:rsidR="00322294" w:rsidRPr="00731814" w:rsidRDefault="00322294" w:rsidP="00B97EED">
            <w:pPr>
              <w:rPr>
                <w:rFonts w:cs="Calibri"/>
              </w:rPr>
            </w:pPr>
          </w:p>
        </w:tc>
        <w:tc>
          <w:tcPr>
            <w:tcW w:w="1418" w:type="dxa"/>
            <w:tcBorders>
              <w:top w:val="single" w:sz="4" w:space="0" w:color="auto"/>
              <w:bottom w:val="single" w:sz="4" w:space="0" w:color="auto"/>
            </w:tcBorders>
            <w:shd w:val="clear" w:color="auto" w:fill="auto"/>
            <w:vAlign w:val="bottom"/>
          </w:tcPr>
          <w:p w14:paraId="67BDEA78" w14:textId="77777777" w:rsidR="00322294" w:rsidRPr="00731814" w:rsidRDefault="00322294" w:rsidP="00B97EED">
            <w:pPr>
              <w:jc w:val="center"/>
              <w:rPr>
                <w:rFonts w:cs="Calibri"/>
                <w:b/>
              </w:rPr>
            </w:pPr>
          </w:p>
          <w:p w14:paraId="7BD8D93A" w14:textId="77777777" w:rsidR="00322294" w:rsidRPr="00731814" w:rsidRDefault="00322294" w:rsidP="00B97EED">
            <w:pPr>
              <w:jc w:val="center"/>
              <w:rPr>
                <w:rFonts w:cs="Calibri"/>
                <w:b/>
              </w:rPr>
            </w:pPr>
            <w:r w:rsidRPr="00731814">
              <w:rPr>
                <w:rFonts w:cs="Calibri"/>
                <w:b/>
              </w:rPr>
              <w:t>N</w:t>
            </w:r>
          </w:p>
        </w:tc>
        <w:tc>
          <w:tcPr>
            <w:tcW w:w="3685" w:type="dxa"/>
            <w:tcBorders>
              <w:top w:val="single" w:sz="4" w:space="0" w:color="auto"/>
              <w:bottom w:val="single" w:sz="4" w:space="0" w:color="auto"/>
            </w:tcBorders>
            <w:shd w:val="clear" w:color="auto" w:fill="auto"/>
            <w:vAlign w:val="bottom"/>
          </w:tcPr>
          <w:p w14:paraId="49128BE4" w14:textId="77777777" w:rsidR="00322294" w:rsidRPr="00731814" w:rsidRDefault="00322294" w:rsidP="00B97EED">
            <w:pPr>
              <w:jc w:val="center"/>
              <w:rPr>
                <w:rFonts w:cs="Calibri"/>
                <w:b/>
              </w:rPr>
            </w:pPr>
            <w:r w:rsidRPr="00731814">
              <w:rPr>
                <w:rFonts w:cs="Calibri"/>
                <w:b/>
              </w:rPr>
              <w:t>(%)</w:t>
            </w:r>
          </w:p>
        </w:tc>
      </w:tr>
      <w:tr w:rsidR="00322294" w:rsidRPr="00731814" w14:paraId="6AE8F487" w14:textId="77777777" w:rsidTr="00B97EED">
        <w:trPr>
          <w:gridAfter w:val="1"/>
          <w:wAfter w:w="1575" w:type="dxa"/>
        </w:trPr>
        <w:tc>
          <w:tcPr>
            <w:tcW w:w="3544" w:type="dxa"/>
            <w:tcBorders>
              <w:top w:val="single" w:sz="4" w:space="0" w:color="auto"/>
            </w:tcBorders>
            <w:shd w:val="clear" w:color="auto" w:fill="auto"/>
          </w:tcPr>
          <w:p w14:paraId="3D626D60" w14:textId="77777777" w:rsidR="00322294" w:rsidRPr="00731814" w:rsidRDefault="00322294" w:rsidP="00B97EED">
            <w:pPr>
              <w:rPr>
                <w:rFonts w:cs="Calibri"/>
                <w:b/>
              </w:rPr>
            </w:pPr>
          </w:p>
        </w:tc>
        <w:tc>
          <w:tcPr>
            <w:tcW w:w="1418" w:type="dxa"/>
            <w:tcBorders>
              <w:top w:val="single" w:sz="4" w:space="0" w:color="auto"/>
            </w:tcBorders>
            <w:shd w:val="clear" w:color="auto" w:fill="auto"/>
          </w:tcPr>
          <w:p w14:paraId="040ADDF6" w14:textId="77777777" w:rsidR="00322294" w:rsidRPr="00731814" w:rsidRDefault="00322294" w:rsidP="00B97EED">
            <w:pPr>
              <w:jc w:val="center"/>
              <w:rPr>
                <w:rFonts w:cs="Calibri"/>
              </w:rPr>
            </w:pPr>
          </w:p>
        </w:tc>
        <w:tc>
          <w:tcPr>
            <w:tcW w:w="3685" w:type="dxa"/>
            <w:tcBorders>
              <w:top w:val="single" w:sz="4" w:space="0" w:color="auto"/>
            </w:tcBorders>
            <w:shd w:val="clear" w:color="auto" w:fill="auto"/>
          </w:tcPr>
          <w:p w14:paraId="2FF1D0EE" w14:textId="77777777" w:rsidR="00322294" w:rsidRPr="00731814" w:rsidRDefault="00322294" w:rsidP="00B97EED">
            <w:pPr>
              <w:jc w:val="center"/>
              <w:rPr>
                <w:rFonts w:cs="Calibri"/>
              </w:rPr>
            </w:pPr>
          </w:p>
        </w:tc>
      </w:tr>
      <w:tr w:rsidR="00322294" w:rsidRPr="00731814" w14:paraId="7A10FBE3" w14:textId="77777777" w:rsidTr="00B97EED">
        <w:trPr>
          <w:gridAfter w:val="1"/>
          <w:wAfter w:w="1575" w:type="dxa"/>
        </w:trPr>
        <w:tc>
          <w:tcPr>
            <w:tcW w:w="3544" w:type="dxa"/>
            <w:shd w:val="clear" w:color="auto" w:fill="auto"/>
          </w:tcPr>
          <w:p w14:paraId="05F9D67C" w14:textId="77777777" w:rsidR="00322294" w:rsidRPr="00731814" w:rsidRDefault="00322294" w:rsidP="00B97EED">
            <w:pPr>
              <w:rPr>
                <w:rFonts w:cs="Calibri"/>
                <w:b/>
              </w:rPr>
            </w:pPr>
            <w:r w:rsidRPr="00731814">
              <w:rPr>
                <w:rFonts w:cs="Calibri"/>
                <w:b/>
              </w:rPr>
              <w:t>Sex</w:t>
            </w:r>
          </w:p>
        </w:tc>
        <w:tc>
          <w:tcPr>
            <w:tcW w:w="1418" w:type="dxa"/>
            <w:shd w:val="clear" w:color="auto" w:fill="auto"/>
          </w:tcPr>
          <w:p w14:paraId="5CA5F4D7" w14:textId="77777777" w:rsidR="00322294" w:rsidRPr="00731814" w:rsidRDefault="00322294" w:rsidP="00B97EED">
            <w:pPr>
              <w:jc w:val="center"/>
              <w:rPr>
                <w:rFonts w:cs="Calibri"/>
              </w:rPr>
            </w:pPr>
          </w:p>
        </w:tc>
        <w:tc>
          <w:tcPr>
            <w:tcW w:w="3685" w:type="dxa"/>
            <w:shd w:val="clear" w:color="auto" w:fill="auto"/>
          </w:tcPr>
          <w:p w14:paraId="65AEB2DF" w14:textId="77777777" w:rsidR="00322294" w:rsidRPr="00731814" w:rsidRDefault="00322294" w:rsidP="00B97EED">
            <w:pPr>
              <w:jc w:val="center"/>
              <w:rPr>
                <w:rFonts w:cs="Calibri"/>
              </w:rPr>
            </w:pPr>
          </w:p>
        </w:tc>
      </w:tr>
      <w:tr w:rsidR="00322294" w:rsidRPr="00731814" w14:paraId="51D646C0" w14:textId="77777777" w:rsidTr="00B97EED">
        <w:trPr>
          <w:gridAfter w:val="1"/>
          <w:wAfter w:w="1575" w:type="dxa"/>
        </w:trPr>
        <w:tc>
          <w:tcPr>
            <w:tcW w:w="3544" w:type="dxa"/>
            <w:shd w:val="clear" w:color="auto" w:fill="auto"/>
          </w:tcPr>
          <w:p w14:paraId="789C1C5C" w14:textId="77777777" w:rsidR="00322294" w:rsidRPr="00731814" w:rsidRDefault="00322294" w:rsidP="00B97EED">
            <w:pPr>
              <w:rPr>
                <w:rFonts w:cs="Calibri"/>
              </w:rPr>
            </w:pPr>
            <w:r w:rsidRPr="00731814">
              <w:rPr>
                <w:rFonts w:cs="Calibri"/>
              </w:rPr>
              <w:t xml:space="preserve">   Male</w:t>
            </w:r>
          </w:p>
        </w:tc>
        <w:tc>
          <w:tcPr>
            <w:tcW w:w="1418" w:type="dxa"/>
            <w:shd w:val="clear" w:color="auto" w:fill="auto"/>
          </w:tcPr>
          <w:p w14:paraId="17F90104" w14:textId="77777777" w:rsidR="00322294" w:rsidRPr="00731814" w:rsidRDefault="00322294" w:rsidP="00B97EED">
            <w:pPr>
              <w:jc w:val="center"/>
              <w:rPr>
                <w:rFonts w:cs="Calibri"/>
              </w:rPr>
            </w:pPr>
            <w:r w:rsidRPr="00731814">
              <w:rPr>
                <w:rFonts w:cs="Calibri"/>
              </w:rPr>
              <w:t>584</w:t>
            </w:r>
          </w:p>
        </w:tc>
        <w:tc>
          <w:tcPr>
            <w:tcW w:w="3685" w:type="dxa"/>
            <w:shd w:val="clear" w:color="auto" w:fill="auto"/>
          </w:tcPr>
          <w:p w14:paraId="46A8B937" w14:textId="77777777" w:rsidR="00322294" w:rsidRPr="00731814" w:rsidRDefault="00322294" w:rsidP="00B97EED">
            <w:pPr>
              <w:jc w:val="center"/>
              <w:rPr>
                <w:rFonts w:cs="Calibri"/>
              </w:rPr>
            </w:pPr>
            <w:r>
              <w:rPr>
                <w:rFonts w:cs="Calibri"/>
              </w:rPr>
              <w:t>52.7</w:t>
            </w:r>
          </w:p>
        </w:tc>
      </w:tr>
      <w:tr w:rsidR="00322294" w:rsidRPr="00731814" w14:paraId="438D5F41" w14:textId="77777777" w:rsidTr="00B97EED">
        <w:trPr>
          <w:gridAfter w:val="1"/>
          <w:wAfter w:w="1575" w:type="dxa"/>
        </w:trPr>
        <w:tc>
          <w:tcPr>
            <w:tcW w:w="3544" w:type="dxa"/>
            <w:shd w:val="clear" w:color="auto" w:fill="auto"/>
          </w:tcPr>
          <w:p w14:paraId="24651070" w14:textId="77777777" w:rsidR="00322294" w:rsidRPr="00731814" w:rsidRDefault="00322294" w:rsidP="00B97EED">
            <w:pPr>
              <w:rPr>
                <w:rFonts w:cs="Calibri"/>
              </w:rPr>
            </w:pPr>
            <w:r w:rsidRPr="00731814">
              <w:rPr>
                <w:rFonts w:cs="Calibri"/>
              </w:rPr>
              <w:t xml:space="preserve">   Female </w:t>
            </w:r>
          </w:p>
        </w:tc>
        <w:tc>
          <w:tcPr>
            <w:tcW w:w="1418" w:type="dxa"/>
            <w:shd w:val="clear" w:color="auto" w:fill="auto"/>
          </w:tcPr>
          <w:p w14:paraId="5434669D" w14:textId="77777777" w:rsidR="00322294" w:rsidRPr="00731814" w:rsidRDefault="00322294" w:rsidP="00B97EED">
            <w:pPr>
              <w:jc w:val="center"/>
              <w:rPr>
                <w:rFonts w:cs="Calibri"/>
              </w:rPr>
            </w:pPr>
            <w:r w:rsidRPr="00731814">
              <w:rPr>
                <w:rFonts w:cs="Calibri"/>
              </w:rPr>
              <w:t>537</w:t>
            </w:r>
          </w:p>
        </w:tc>
        <w:tc>
          <w:tcPr>
            <w:tcW w:w="3685" w:type="dxa"/>
            <w:shd w:val="clear" w:color="auto" w:fill="auto"/>
          </w:tcPr>
          <w:p w14:paraId="79516B46" w14:textId="77777777" w:rsidR="00322294" w:rsidRPr="00731814" w:rsidRDefault="00322294" w:rsidP="00B97EED">
            <w:pPr>
              <w:jc w:val="center"/>
              <w:rPr>
                <w:rFonts w:cs="Calibri"/>
              </w:rPr>
            </w:pPr>
            <w:r>
              <w:rPr>
                <w:rFonts w:cs="Calibri"/>
              </w:rPr>
              <w:t>47.9</w:t>
            </w:r>
          </w:p>
        </w:tc>
      </w:tr>
      <w:tr w:rsidR="00322294" w:rsidRPr="00731814" w14:paraId="2AD82F47" w14:textId="77777777" w:rsidTr="00B97EED">
        <w:trPr>
          <w:gridAfter w:val="1"/>
          <w:wAfter w:w="1575" w:type="dxa"/>
        </w:trPr>
        <w:tc>
          <w:tcPr>
            <w:tcW w:w="3544" w:type="dxa"/>
            <w:shd w:val="clear" w:color="auto" w:fill="auto"/>
          </w:tcPr>
          <w:p w14:paraId="218C2026" w14:textId="77777777" w:rsidR="00322294" w:rsidRPr="00731814" w:rsidRDefault="00322294" w:rsidP="00B97EED">
            <w:pPr>
              <w:rPr>
                <w:rFonts w:cs="Calibri"/>
                <w:b/>
              </w:rPr>
            </w:pPr>
            <w:r w:rsidRPr="00731814">
              <w:rPr>
                <w:rFonts w:cs="Calibri"/>
                <w:b/>
              </w:rPr>
              <w:t>Population group</w:t>
            </w:r>
          </w:p>
        </w:tc>
        <w:tc>
          <w:tcPr>
            <w:tcW w:w="1418" w:type="dxa"/>
            <w:shd w:val="clear" w:color="auto" w:fill="auto"/>
          </w:tcPr>
          <w:p w14:paraId="17BA1BFD" w14:textId="77777777" w:rsidR="00322294" w:rsidRPr="00731814" w:rsidRDefault="00322294" w:rsidP="00B97EED">
            <w:pPr>
              <w:jc w:val="center"/>
              <w:rPr>
                <w:rFonts w:cs="Calibri"/>
              </w:rPr>
            </w:pPr>
          </w:p>
        </w:tc>
        <w:tc>
          <w:tcPr>
            <w:tcW w:w="3685" w:type="dxa"/>
            <w:shd w:val="clear" w:color="auto" w:fill="auto"/>
          </w:tcPr>
          <w:p w14:paraId="59D065A4" w14:textId="77777777" w:rsidR="00322294" w:rsidRPr="00731814" w:rsidRDefault="00322294" w:rsidP="00B97EED">
            <w:pPr>
              <w:jc w:val="center"/>
              <w:rPr>
                <w:rFonts w:cs="Calibri"/>
              </w:rPr>
            </w:pPr>
          </w:p>
        </w:tc>
      </w:tr>
      <w:tr w:rsidR="00322294" w:rsidRPr="00731814" w14:paraId="6D3F7B13" w14:textId="77777777" w:rsidTr="00B97EED">
        <w:trPr>
          <w:gridAfter w:val="1"/>
          <w:wAfter w:w="1575" w:type="dxa"/>
        </w:trPr>
        <w:tc>
          <w:tcPr>
            <w:tcW w:w="3544" w:type="dxa"/>
            <w:shd w:val="clear" w:color="auto" w:fill="auto"/>
          </w:tcPr>
          <w:p w14:paraId="429A8372" w14:textId="77777777" w:rsidR="00322294" w:rsidRPr="00731814" w:rsidRDefault="00322294" w:rsidP="00B97EED">
            <w:pPr>
              <w:rPr>
                <w:rFonts w:cs="Calibri"/>
              </w:rPr>
            </w:pPr>
            <w:r w:rsidRPr="00731814">
              <w:rPr>
                <w:rFonts w:cs="Calibri"/>
              </w:rPr>
              <w:t xml:space="preserve">   </w:t>
            </w:r>
            <w:r>
              <w:rPr>
                <w:rFonts w:cs="Calibri"/>
              </w:rPr>
              <w:t>General population</w:t>
            </w:r>
          </w:p>
        </w:tc>
        <w:tc>
          <w:tcPr>
            <w:tcW w:w="1418" w:type="dxa"/>
            <w:shd w:val="clear" w:color="auto" w:fill="auto"/>
          </w:tcPr>
          <w:p w14:paraId="3CB17F49" w14:textId="77777777" w:rsidR="00322294" w:rsidRPr="00731814" w:rsidRDefault="00322294" w:rsidP="00B97EED">
            <w:pPr>
              <w:jc w:val="center"/>
              <w:rPr>
                <w:rFonts w:cs="Calibri"/>
              </w:rPr>
            </w:pPr>
            <w:r w:rsidRPr="00731814">
              <w:rPr>
                <w:rFonts w:cs="Calibri"/>
              </w:rPr>
              <w:t>253</w:t>
            </w:r>
          </w:p>
        </w:tc>
        <w:tc>
          <w:tcPr>
            <w:tcW w:w="3685" w:type="dxa"/>
            <w:shd w:val="clear" w:color="auto" w:fill="auto"/>
          </w:tcPr>
          <w:p w14:paraId="006CE951" w14:textId="77777777" w:rsidR="00322294" w:rsidRPr="00731814" w:rsidRDefault="00322294" w:rsidP="00B97EED">
            <w:pPr>
              <w:jc w:val="center"/>
              <w:rPr>
                <w:rFonts w:cs="Calibri"/>
              </w:rPr>
            </w:pPr>
            <w:r>
              <w:rPr>
                <w:rFonts w:cs="Calibri"/>
              </w:rPr>
              <w:t>22.6</w:t>
            </w:r>
          </w:p>
        </w:tc>
      </w:tr>
      <w:tr w:rsidR="00322294" w:rsidRPr="00731814" w14:paraId="701B4347" w14:textId="77777777" w:rsidTr="00B97EED">
        <w:trPr>
          <w:gridAfter w:val="1"/>
          <w:wAfter w:w="1575" w:type="dxa"/>
        </w:trPr>
        <w:tc>
          <w:tcPr>
            <w:tcW w:w="3544" w:type="dxa"/>
            <w:shd w:val="clear" w:color="auto" w:fill="auto"/>
          </w:tcPr>
          <w:p w14:paraId="37618004" w14:textId="77777777" w:rsidR="00322294" w:rsidRPr="00731814" w:rsidRDefault="00322294" w:rsidP="00B97EED">
            <w:pPr>
              <w:rPr>
                <w:rFonts w:cs="Calibri"/>
              </w:rPr>
            </w:pPr>
            <w:r w:rsidRPr="00731814">
              <w:rPr>
                <w:rFonts w:cs="Calibri"/>
              </w:rPr>
              <w:t xml:space="preserve">   Fishermen or boat crew</w:t>
            </w:r>
          </w:p>
        </w:tc>
        <w:tc>
          <w:tcPr>
            <w:tcW w:w="1418" w:type="dxa"/>
            <w:shd w:val="clear" w:color="auto" w:fill="auto"/>
          </w:tcPr>
          <w:p w14:paraId="3278DF10" w14:textId="77777777" w:rsidR="00322294" w:rsidRPr="00731814" w:rsidRDefault="00322294" w:rsidP="00B97EED">
            <w:pPr>
              <w:jc w:val="center"/>
              <w:rPr>
                <w:rFonts w:cs="Calibri"/>
              </w:rPr>
            </w:pPr>
            <w:r w:rsidRPr="00731814">
              <w:rPr>
                <w:rFonts w:cs="Calibri"/>
              </w:rPr>
              <w:t>355</w:t>
            </w:r>
          </w:p>
        </w:tc>
        <w:tc>
          <w:tcPr>
            <w:tcW w:w="3685" w:type="dxa"/>
            <w:shd w:val="clear" w:color="auto" w:fill="auto"/>
          </w:tcPr>
          <w:p w14:paraId="621238D6" w14:textId="77777777" w:rsidR="00322294" w:rsidRPr="00731814" w:rsidRDefault="00322294" w:rsidP="00B97EED">
            <w:pPr>
              <w:jc w:val="center"/>
              <w:rPr>
                <w:rFonts w:cs="Calibri"/>
              </w:rPr>
            </w:pPr>
            <w:r>
              <w:rPr>
                <w:rFonts w:cs="Calibri"/>
              </w:rPr>
              <w:t>31.7</w:t>
            </w:r>
          </w:p>
        </w:tc>
      </w:tr>
      <w:tr w:rsidR="00322294" w:rsidRPr="00731814" w14:paraId="15F0E4A7" w14:textId="77777777" w:rsidTr="00B97EED">
        <w:trPr>
          <w:gridAfter w:val="1"/>
          <w:wAfter w:w="1575" w:type="dxa"/>
        </w:trPr>
        <w:tc>
          <w:tcPr>
            <w:tcW w:w="3544" w:type="dxa"/>
            <w:shd w:val="clear" w:color="auto" w:fill="auto"/>
          </w:tcPr>
          <w:p w14:paraId="60F0FD51" w14:textId="77777777" w:rsidR="00322294" w:rsidRPr="00731814" w:rsidRDefault="00322294" w:rsidP="00B97EED">
            <w:pPr>
              <w:rPr>
                <w:rFonts w:cs="Calibri"/>
              </w:rPr>
            </w:pPr>
            <w:r w:rsidRPr="00731814">
              <w:rPr>
                <w:rFonts w:cs="Calibri"/>
              </w:rPr>
              <w:t xml:space="preserve">   Fish processors &amp; traders</w:t>
            </w:r>
          </w:p>
        </w:tc>
        <w:tc>
          <w:tcPr>
            <w:tcW w:w="1418" w:type="dxa"/>
            <w:shd w:val="clear" w:color="auto" w:fill="auto"/>
          </w:tcPr>
          <w:p w14:paraId="1832F674" w14:textId="77777777" w:rsidR="00322294" w:rsidRPr="00731814" w:rsidRDefault="00322294" w:rsidP="00B97EED">
            <w:pPr>
              <w:jc w:val="center"/>
              <w:rPr>
                <w:rFonts w:cs="Calibri"/>
              </w:rPr>
            </w:pPr>
            <w:r w:rsidRPr="00731814">
              <w:rPr>
                <w:rFonts w:cs="Calibri"/>
              </w:rPr>
              <w:t>227</w:t>
            </w:r>
          </w:p>
        </w:tc>
        <w:tc>
          <w:tcPr>
            <w:tcW w:w="3685" w:type="dxa"/>
            <w:shd w:val="clear" w:color="auto" w:fill="auto"/>
          </w:tcPr>
          <w:p w14:paraId="76257470" w14:textId="77777777" w:rsidR="00322294" w:rsidRPr="00731814" w:rsidRDefault="00322294" w:rsidP="00B97EED">
            <w:pPr>
              <w:jc w:val="center"/>
              <w:rPr>
                <w:rFonts w:cs="Calibri"/>
              </w:rPr>
            </w:pPr>
            <w:r>
              <w:rPr>
                <w:rFonts w:cs="Calibri"/>
              </w:rPr>
              <w:t>20.2</w:t>
            </w:r>
          </w:p>
        </w:tc>
      </w:tr>
      <w:tr w:rsidR="00322294" w:rsidRPr="00731814" w14:paraId="12053674" w14:textId="77777777" w:rsidTr="00B97EED">
        <w:trPr>
          <w:gridAfter w:val="1"/>
          <w:wAfter w:w="1575" w:type="dxa"/>
        </w:trPr>
        <w:tc>
          <w:tcPr>
            <w:tcW w:w="3544" w:type="dxa"/>
            <w:shd w:val="clear" w:color="auto" w:fill="auto"/>
          </w:tcPr>
          <w:p w14:paraId="558086CD" w14:textId="77777777" w:rsidR="00322294" w:rsidRPr="00731814" w:rsidRDefault="00322294" w:rsidP="00B97EED">
            <w:pPr>
              <w:rPr>
                <w:rFonts w:cs="Calibri"/>
              </w:rPr>
            </w:pPr>
            <w:r w:rsidRPr="00731814">
              <w:rPr>
                <w:rFonts w:cs="Calibri"/>
              </w:rPr>
              <w:t xml:space="preserve">   </w:t>
            </w:r>
            <w:r>
              <w:rPr>
                <w:rFonts w:cs="Calibri"/>
              </w:rPr>
              <w:t>Recreational facility workers</w:t>
            </w:r>
          </w:p>
        </w:tc>
        <w:tc>
          <w:tcPr>
            <w:tcW w:w="1418" w:type="dxa"/>
            <w:shd w:val="clear" w:color="auto" w:fill="auto"/>
          </w:tcPr>
          <w:p w14:paraId="3EC03FCA" w14:textId="77777777" w:rsidR="00322294" w:rsidRPr="00731814" w:rsidRDefault="00322294" w:rsidP="00B97EED">
            <w:pPr>
              <w:jc w:val="center"/>
              <w:rPr>
                <w:rFonts w:cs="Calibri"/>
              </w:rPr>
            </w:pPr>
            <w:r w:rsidRPr="00731814">
              <w:rPr>
                <w:rFonts w:cs="Calibri"/>
              </w:rPr>
              <w:t>286</w:t>
            </w:r>
          </w:p>
        </w:tc>
        <w:tc>
          <w:tcPr>
            <w:tcW w:w="3685" w:type="dxa"/>
            <w:shd w:val="clear" w:color="auto" w:fill="auto"/>
          </w:tcPr>
          <w:p w14:paraId="705BEFA3" w14:textId="77777777" w:rsidR="00322294" w:rsidRPr="00731814" w:rsidRDefault="00322294" w:rsidP="00B97EED">
            <w:pPr>
              <w:jc w:val="center"/>
              <w:rPr>
                <w:rFonts w:cs="Calibri"/>
              </w:rPr>
            </w:pPr>
            <w:r>
              <w:rPr>
                <w:rFonts w:cs="Calibri"/>
              </w:rPr>
              <w:t>25.5</w:t>
            </w:r>
          </w:p>
        </w:tc>
      </w:tr>
      <w:tr w:rsidR="00322294" w:rsidRPr="00731814" w14:paraId="53776F1F" w14:textId="77777777" w:rsidTr="00B97EED">
        <w:trPr>
          <w:gridAfter w:val="1"/>
          <w:wAfter w:w="1575" w:type="dxa"/>
        </w:trPr>
        <w:tc>
          <w:tcPr>
            <w:tcW w:w="3544" w:type="dxa"/>
            <w:shd w:val="clear" w:color="auto" w:fill="auto"/>
          </w:tcPr>
          <w:p w14:paraId="6D06CBE4" w14:textId="77777777" w:rsidR="00322294" w:rsidRPr="00731814" w:rsidRDefault="00322294" w:rsidP="00B97EED">
            <w:pPr>
              <w:rPr>
                <w:rFonts w:cs="Calibri"/>
                <w:b/>
              </w:rPr>
            </w:pPr>
            <w:r w:rsidRPr="00731814">
              <w:rPr>
                <w:rFonts w:cs="Calibri"/>
                <w:b/>
              </w:rPr>
              <w:t>Religion</w:t>
            </w:r>
          </w:p>
        </w:tc>
        <w:tc>
          <w:tcPr>
            <w:tcW w:w="1418" w:type="dxa"/>
            <w:shd w:val="clear" w:color="auto" w:fill="auto"/>
          </w:tcPr>
          <w:p w14:paraId="38C8DC2B" w14:textId="77777777" w:rsidR="00322294" w:rsidRPr="00731814" w:rsidRDefault="00322294" w:rsidP="00B97EED">
            <w:pPr>
              <w:jc w:val="center"/>
              <w:rPr>
                <w:rFonts w:cs="Calibri"/>
              </w:rPr>
            </w:pPr>
          </w:p>
        </w:tc>
        <w:tc>
          <w:tcPr>
            <w:tcW w:w="3685" w:type="dxa"/>
            <w:shd w:val="clear" w:color="auto" w:fill="auto"/>
          </w:tcPr>
          <w:p w14:paraId="0CB33EA8" w14:textId="77777777" w:rsidR="00322294" w:rsidRPr="00731814" w:rsidRDefault="00322294" w:rsidP="00B97EED">
            <w:pPr>
              <w:jc w:val="center"/>
              <w:rPr>
                <w:rFonts w:cs="Calibri"/>
              </w:rPr>
            </w:pPr>
          </w:p>
        </w:tc>
      </w:tr>
      <w:tr w:rsidR="00322294" w:rsidRPr="00731814" w14:paraId="0A8E0C45" w14:textId="77777777" w:rsidTr="00B97EED">
        <w:trPr>
          <w:gridAfter w:val="1"/>
          <w:wAfter w:w="1575" w:type="dxa"/>
        </w:trPr>
        <w:tc>
          <w:tcPr>
            <w:tcW w:w="3544" w:type="dxa"/>
            <w:shd w:val="clear" w:color="auto" w:fill="auto"/>
          </w:tcPr>
          <w:p w14:paraId="27EEEC07" w14:textId="77777777" w:rsidR="00322294" w:rsidRPr="00731814" w:rsidRDefault="00322294" w:rsidP="00B97EED">
            <w:pPr>
              <w:rPr>
                <w:rFonts w:cs="Calibri"/>
              </w:rPr>
            </w:pPr>
            <w:r w:rsidRPr="00731814">
              <w:rPr>
                <w:rFonts w:cs="Calibri"/>
              </w:rPr>
              <w:t xml:space="preserve">   Christian</w:t>
            </w:r>
          </w:p>
        </w:tc>
        <w:tc>
          <w:tcPr>
            <w:tcW w:w="1418" w:type="dxa"/>
            <w:shd w:val="clear" w:color="auto" w:fill="auto"/>
          </w:tcPr>
          <w:p w14:paraId="13E19460" w14:textId="77777777" w:rsidR="00322294" w:rsidRPr="00731814" w:rsidRDefault="00322294" w:rsidP="00B97EED">
            <w:pPr>
              <w:jc w:val="center"/>
              <w:rPr>
                <w:rFonts w:cs="Calibri"/>
              </w:rPr>
            </w:pPr>
            <w:r w:rsidRPr="00731814">
              <w:rPr>
                <w:rFonts w:cs="Calibri"/>
              </w:rPr>
              <w:t>895</w:t>
            </w:r>
          </w:p>
        </w:tc>
        <w:tc>
          <w:tcPr>
            <w:tcW w:w="3685" w:type="dxa"/>
            <w:shd w:val="clear" w:color="auto" w:fill="auto"/>
          </w:tcPr>
          <w:p w14:paraId="5005D375" w14:textId="77777777" w:rsidR="00322294" w:rsidRPr="00731814" w:rsidRDefault="00322294" w:rsidP="00B97EED">
            <w:pPr>
              <w:jc w:val="center"/>
              <w:rPr>
                <w:rFonts w:cs="Calibri"/>
              </w:rPr>
            </w:pPr>
            <w:r>
              <w:rPr>
                <w:rFonts w:cs="Calibri"/>
              </w:rPr>
              <w:t>79.8</w:t>
            </w:r>
          </w:p>
        </w:tc>
      </w:tr>
      <w:tr w:rsidR="00322294" w:rsidRPr="00731814" w14:paraId="7D8D2701" w14:textId="77777777" w:rsidTr="00B97EED">
        <w:trPr>
          <w:gridAfter w:val="1"/>
          <w:wAfter w:w="1575" w:type="dxa"/>
        </w:trPr>
        <w:tc>
          <w:tcPr>
            <w:tcW w:w="3544" w:type="dxa"/>
            <w:shd w:val="clear" w:color="auto" w:fill="auto"/>
          </w:tcPr>
          <w:p w14:paraId="0679619A" w14:textId="77777777" w:rsidR="00322294" w:rsidRPr="00731814" w:rsidRDefault="00322294" w:rsidP="00B97EED">
            <w:pPr>
              <w:rPr>
                <w:rFonts w:cs="Calibri"/>
              </w:rPr>
            </w:pPr>
            <w:r w:rsidRPr="00731814">
              <w:rPr>
                <w:rFonts w:cs="Calibri"/>
              </w:rPr>
              <w:t xml:space="preserve">   Muslim</w:t>
            </w:r>
          </w:p>
        </w:tc>
        <w:tc>
          <w:tcPr>
            <w:tcW w:w="1418" w:type="dxa"/>
            <w:shd w:val="clear" w:color="auto" w:fill="auto"/>
          </w:tcPr>
          <w:p w14:paraId="79A1FCB3" w14:textId="77777777" w:rsidR="00322294" w:rsidRPr="00731814" w:rsidRDefault="00322294" w:rsidP="00B97EED">
            <w:pPr>
              <w:jc w:val="center"/>
              <w:rPr>
                <w:rFonts w:cs="Calibri"/>
              </w:rPr>
            </w:pPr>
            <w:r w:rsidRPr="00731814">
              <w:rPr>
                <w:rFonts w:cs="Calibri"/>
              </w:rPr>
              <w:t>115</w:t>
            </w:r>
          </w:p>
        </w:tc>
        <w:tc>
          <w:tcPr>
            <w:tcW w:w="3685" w:type="dxa"/>
            <w:shd w:val="clear" w:color="auto" w:fill="auto"/>
          </w:tcPr>
          <w:p w14:paraId="5668623A" w14:textId="77777777" w:rsidR="00322294" w:rsidRPr="00731814" w:rsidRDefault="00322294" w:rsidP="00B97EED">
            <w:pPr>
              <w:jc w:val="center"/>
              <w:rPr>
                <w:rFonts w:cs="Calibri"/>
              </w:rPr>
            </w:pPr>
            <w:r>
              <w:rPr>
                <w:rFonts w:cs="Calibri"/>
              </w:rPr>
              <w:t>10.3</w:t>
            </w:r>
          </w:p>
        </w:tc>
      </w:tr>
      <w:tr w:rsidR="00322294" w:rsidRPr="00731814" w14:paraId="6A2D9208" w14:textId="77777777" w:rsidTr="00B97EED">
        <w:trPr>
          <w:gridAfter w:val="1"/>
          <w:wAfter w:w="1575" w:type="dxa"/>
        </w:trPr>
        <w:tc>
          <w:tcPr>
            <w:tcW w:w="3544" w:type="dxa"/>
            <w:shd w:val="clear" w:color="auto" w:fill="auto"/>
          </w:tcPr>
          <w:p w14:paraId="2B1E4CB2" w14:textId="77777777" w:rsidR="00322294" w:rsidRPr="00731814" w:rsidRDefault="00322294" w:rsidP="00B97EED">
            <w:pPr>
              <w:rPr>
                <w:rFonts w:cs="Calibri"/>
              </w:rPr>
            </w:pPr>
            <w:r w:rsidRPr="00731814">
              <w:rPr>
                <w:rFonts w:cs="Calibri"/>
              </w:rPr>
              <w:t xml:space="preserve">   Other</w:t>
            </w:r>
          </w:p>
        </w:tc>
        <w:tc>
          <w:tcPr>
            <w:tcW w:w="1418" w:type="dxa"/>
            <w:shd w:val="clear" w:color="auto" w:fill="auto"/>
          </w:tcPr>
          <w:p w14:paraId="447121E7" w14:textId="77777777" w:rsidR="00322294" w:rsidRPr="00731814" w:rsidRDefault="00322294" w:rsidP="00B97EED">
            <w:pPr>
              <w:jc w:val="center"/>
              <w:rPr>
                <w:rFonts w:cs="Calibri"/>
              </w:rPr>
            </w:pPr>
            <w:r w:rsidRPr="00731814">
              <w:rPr>
                <w:rFonts w:cs="Calibri"/>
              </w:rPr>
              <w:t>111</w:t>
            </w:r>
          </w:p>
        </w:tc>
        <w:tc>
          <w:tcPr>
            <w:tcW w:w="3685" w:type="dxa"/>
            <w:shd w:val="clear" w:color="auto" w:fill="auto"/>
          </w:tcPr>
          <w:p w14:paraId="432E8192" w14:textId="77777777" w:rsidR="00322294" w:rsidRPr="00731814" w:rsidRDefault="00322294" w:rsidP="00B97EED">
            <w:pPr>
              <w:jc w:val="center"/>
              <w:rPr>
                <w:rFonts w:cs="Calibri"/>
              </w:rPr>
            </w:pPr>
            <w:r>
              <w:rPr>
                <w:rFonts w:cs="Calibri"/>
              </w:rPr>
              <w:t>9.9</w:t>
            </w:r>
          </w:p>
        </w:tc>
      </w:tr>
      <w:tr w:rsidR="00322294" w:rsidRPr="00731814" w14:paraId="274A158E" w14:textId="77777777" w:rsidTr="00B97EED">
        <w:trPr>
          <w:gridAfter w:val="1"/>
          <w:wAfter w:w="1575" w:type="dxa"/>
        </w:trPr>
        <w:tc>
          <w:tcPr>
            <w:tcW w:w="3544" w:type="dxa"/>
            <w:shd w:val="clear" w:color="auto" w:fill="auto"/>
          </w:tcPr>
          <w:p w14:paraId="71482E7F" w14:textId="77777777" w:rsidR="00322294" w:rsidRPr="00731814" w:rsidRDefault="00322294" w:rsidP="00B97EED">
            <w:pPr>
              <w:rPr>
                <w:rFonts w:cs="Calibri"/>
                <w:b/>
              </w:rPr>
            </w:pPr>
            <w:r w:rsidRPr="00731814">
              <w:rPr>
                <w:rFonts w:cs="Calibri"/>
                <w:b/>
              </w:rPr>
              <w:t>Age group</w:t>
            </w:r>
          </w:p>
        </w:tc>
        <w:tc>
          <w:tcPr>
            <w:tcW w:w="1418" w:type="dxa"/>
            <w:shd w:val="clear" w:color="auto" w:fill="auto"/>
          </w:tcPr>
          <w:p w14:paraId="792CA60F" w14:textId="77777777" w:rsidR="00322294" w:rsidRPr="00731814" w:rsidRDefault="00322294" w:rsidP="00B97EED">
            <w:pPr>
              <w:jc w:val="center"/>
              <w:rPr>
                <w:rFonts w:cs="Calibri"/>
                <w:b/>
              </w:rPr>
            </w:pPr>
          </w:p>
        </w:tc>
        <w:tc>
          <w:tcPr>
            <w:tcW w:w="3685" w:type="dxa"/>
            <w:shd w:val="clear" w:color="auto" w:fill="auto"/>
          </w:tcPr>
          <w:p w14:paraId="40EB8B41" w14:textId="77777777" w:rsidR="00322294" w:rsidRPr="00731814" w:rsidRDefault="00322294" w:rsidP="00B97EED">
            <w:pPr>
              <w:jc w:val="center"/>
              <w:rPr>
                <w:rFonts w:cs="Calibri"/>
                <w:b/>
              </w:rPr>
            </w:pPr>
          </w:p>
        </w:tc>
      </w:tr>
      <w:tr w:rsidR="00322294" w:rsidRPr="00731814" w14:paraId="1BCF36FA" w14:textId="77777777" w:rsidTr="00B97EED">
        <w:trPr>
          <w:gridAfter w:val="1"/>
          <w:wAfter w:w="1575" w:type="dxa"/>
        </w:trPr>
        <w:tc>
          <w:tcPr>
            <w:tcW w:w="3544" w:type="dxa"/>
            <w:shd w:val="clear" w:color="auto" w:fill="auto"/>
          </w:tcPr>
          <w:p w14:paraId="6029B35D" w14:textId="77777777" w:rsidR="00322294" w:rsidRPr="00731814" w:rsidRDefault="00322294" w:rsidP="00B97EED">
            <w:pPr>
              <w:rPr>
                <w:rFonts w:cs="Calibri"/>
              </w:rPr>
            </w:pPr>
            <w:r w:rsidRPr="00731814">
              <w:rPr>
                <w:rFonts w:cs="Calibri"/>
              </w:rPr>
              <w:t xml:space="preserve">   18-24 years</w:t>
            </w:r>
          </w:p>
        </w:tc>
        <w:tc>
          <w:tcPr>
            <w:tcW w:w="1418" w:type="dxa"/>
            <w:shd w:val="clear" w:color="auto" w:fill="auto"/>
          </w:tcPr>
          <w:p w14:paraId="3AD2DB44" w14:textId="77777777" w:rsidR="00322294" w:rsidRPr="00731814" w:rsidRDefault="00322294" w:rsidP="00B97EED">
            <w:pPr>
              <w:jc w:val="center"/>
              <w:rPr>
                <w:rFonts w:cs="Calibri"/>
              </w:rPr>
            </w:pPr>
            <w:r w:rsidRPr="00731814">
              <w:rPr>
                <w:rFonts w:cs="Calibri"/>
              </w:rPr>
              <w:t>180</w:t>
            </w:r>
          </w:p>
        </w:tc>
        <w:tc>
          <w:tcPr>
            <w:tcW w:w="3685" w:type="dxa"/>
            <w:shd w:val="clear" w:color="auto" w:fill="auto"/>
          </w:tcPr>
          <w:p w14:paraId="4632896F" w14:textId="77777777" w:rsidR="00322294" w:rsidRPr="00731814" w:rsidRDefault="00322294" w:rsidP="00B97EED">
            <w:pPr>
              <w:jc w:val="center"/>
              <w:rPr>
                <w:rFonts w:cs="Calibri"/>
              </w:rPr>
            </w:pPr>
            <w:r>
              <w:rPr>
                <w:rFonts w:cs="Calibri"/>
              </w:rPr>
              <w:t>16.3</w:t>
            </w:r>
          </w:p>
        </w:tc>
      </w:tr>
      <w:tr w:rsidR="00322294" w:rsidRPr="00731814" w14:paraId="5C90DDAC" w14:textId="77777777" w:rsidTr="00B97EED">
        <w:trPr>
          <w:gridAfter w:val="1"/>
          <w:wAfter w:w="1575" w:type="dxa"/>
        </w:trPr>
        <w:tc>
          <w:tcPr>
            <w:tcW w:w="3544" w:type="dxa"/>
            <w:shd w:val="clear" w:color="auto" w:fill="auto"/>
          </w:tcPr>
          <w:p w14:paraId="777CCB84" w14:textId="77777777" w:rsidR="00322294" w:rsidRPr="00731814" w:rsidRDefault="00322294" w:rsidP="00B97EED">
            <w:pPr>
              <w:rPr>
                <w:rFonts w:cs="Calibri"/>
              </w:rPr>
            </w:pPr>
            <w:r w:rsidRPr="00731814">
              <w:rPr>
                <w:rFonts w:cs="Calibri"/>
              </w:rPr>
              <w:t xml:space="preserve">   25-29 years</w:t>
            </w:r>
          </w:p>
        </w:tc>
        <w:tc>
          <w:tcPr>
            <w:tcW w:w="1418" w:type="dxa"/>
            <w:shd w:val="clear" w:color="auto" w:fill="auto"/>
          </w:tcPr>
          <w:p w14:paraId="099877B9" w14:textId="77777777" w:rsidR="00322294" w:rsidRPr="00731814" w:rsidRDefault="00322294" w:rsidP="00B97EED">
            <w:pPr>
              <w:jc w:val="center"/>
              <w:rPr>
                <w:rFonts w:cs="Calibri"/>
              </w:rPr>
            </w:pPr>
            <w:r w:rsidRPr="00731814">
              <w:rPr>
                <w:rFonts w:cs="Calibri"/>
              </w:rPr>
              <w:t>220</w:t>
            </w:r>
          </w:p>
        </w:tc>
        <w:tc>
          <w:tcPr>
            <w:tcW w:w="3685" w:type="dxa"/>
            <w:shd w:val="clear" w:color="auto" w:fill="auto"/>
          </w:tcPr>
          <w:p w14:paraId="3935B5EB" w14:textId="77777777" w:rsidR="00322294" w:rsidRPr="00731814" w:rsidRDefault="00322294" w:rsidP="00B97EED">
            <w:pPr>
              <w:jc w:val="center"/>
              <w:rPr>
                <w:rFonts w:cs="Calibri"/>
              </w:rPr>
            </w:pPr>
            <w:r>
              <w:rPr>
                <w:rFonts w:cs="Calibri"/>
              </w:rPr>
              <w:t>19.9</w:t>
            </w:r>
          </w:p>
        </w:tc>
      </w:tr>
      <w:tr w:rsidR="00322294" w:rsidRPr="00731814" w14:paraId="5F045E3D" w14:textId="77777777" w:rsidTr="00B97EED">
        <w:trPr>
          <w:gridAfter w:val="1"/>
          <w:wAfter w:w="1575" w:type="dxa"/>
        </w:trPr>
        <w:tc>
          <w:tcPr>
            <w:tcW w:w="3544" w:type="dxa"/>
            <w:shd w:val="clear" w:color="auto" w:fill="auto"/>
          </w:tcPr>
          <w:p w14:paraId="3C94FF81" w14:textId="77777777" w:rsidR="00322294" w:rsidRPr="00731814" w:rsidRDefault="00322294" w:rsidP="00B97EED">
            <w:pPr>
              <w:rPr>
                <w:rFonts w:cs="Calibri"/>
              </w:rPr>
            </w:pPr>
            <w:r w:rsidRPr="00731814">
              <w:rPr>
                <w:rFonts w:cs="Calibri"/>
              </w:rPr>
              <w:t xml:space="preserve">   30-39 years</w:t>
            </w:r>
          </w:p>
        </w:tc>
        <w:tc>
          <w:tcPr>
            <w:tcW w:w="1418" w:type="dxa"/>
            <w:shd w:val="clear" w:color="auto" w:fill="auto"/>
          </w:tcPr>
          <w:p w14:paraId="3B1AC08B" w14:textId="77777777" w:rsidR="00322294" w:rsidRPr="00731814" w:rsidRDefault="00322294" w:rsidP="00B97EED">
            <w:pPr>
              <w:jc w:val="center"/>
              <w:rPr>
                <w:rFonts w:cs="Calibri"/>
              </w:rPr>
            </w:pPr>
            <w:r w:rsidRPr="00731814">
              <w:rPr>
                <w:rFonts w:cs="Calibri"/>
              </w:rPr>
              <w:t>437</w:t>
            </w:r>
          </w:p>
        </w:tc>
        <w:tc>
          <w:tcPr>
            <w:tcW w:w="3685" w:type="dxa"/>
            <w:shd w:val="clear" w:color="auto" w:fill="auto"/>
          </w:tcPr>
          <w:p w14:paraId="0C5975AE" w14:textId="77777777" w:rsidR="00322294" w:rsidRPr="00731814" w:rsidRDefault="00322294" w:rsidP="00B97EED">
            <w:pPr>
              <w:jc w:val="center"/>
              <w:rPr>
                <w:rFonts w:cs="Calibri"/>
              </w:rPr>
            </w:pPr>
            <w:r>
              <w:rPr>
                <w:rFonts w:cs="Calibri"/>
              </w:rPr>
              <w:t>39.5</w:t>
            </w:r>
          </w:p>
        </w:tc>
      </w:tr>
      <w:tr w:rsidR="00322294" w:rsidRPr="00731814" w14:paraId="04C7DF75" w14:textId="77777777" w:rsidTr="00B97EED">
        <w:trPr>
          <w:gridAfter w:val="1"/>
          <w:wAfter w:w="1575" w:type="dxa"/>
        </w:trPr>
        <w:tc>
          <w:tcPr>
            <w:tcW w:w="3544" w:type="dxa"/>
            <w:shd w:val="clear" w:color="auto" w:fill="auto"/>
          </w:tcPr>
          <w:p w14:paraId="45A035AF" w14:textId="77777777" w:rsidR="00322294" w:rsidRPr="00731814" w:rsidRDefault="00322294" w:rsidP="00B97EED">
            <w:pPr>
              <w:rPr>
                <w:rFonts w:cs="Calibri"/>
              </w:rPr>
            </w:pPr>
            <w:r w:rsidRPr="00731814">
              <w:rPr>
                <w:rFonts w:cs="Calibri"/>
              </w:rPr>
              <w:t xml:space="preserve">   40-49 years</w:t>
            </w:r>
          </w:p>
        </w:tc>
        <w:tc>
          <w:tcPr>
            <w:tcW w:w="1418" w:type="dxa"/>
            <w:shd w:val="clear" w:color="auto" w:fill="auto"/>
          </w:tcPr>
          <w:p w14:paraId="2E384727" w14:textId="77777777" w:rsidR="00322294" w:rsidRPr="00731814" w:rsidRDefault="00322294" w:rsidP="00B97EED">
            <w:pPr>
              <w:jc w:val="center"/>
              <w:rPr>
                <w:rFonts w:cs="Calibri"/>
              </w:rPr>
            </w:pPr>
            <w:r w:rsidRPr="00731814">
              <w:rPr>
                <w:rFonts w:cs="Calibri"/>
              </w:rPr>
              <w:t>200</w:t>
            </w:r>
          </w:p>
        </w:tc>
        <w:tc>
          <w:tcPr>
            <w:tcW w:w="3685" w:type="dxa"/>
            <w:shd w:val="clear" w:color="auto" w:fill="auto"/>
          </w:tcPr>
          <w:p w14:paraId="400E6F12" w14:textId="77777777" w:rsidR="00322294" w:rsidRPr="00731814" w:rsidRDefault="00322294" w:rsidP="00B97EED">
            <w:pPr>
              <w:jc w:val="center"/>
              <w:rPr>
                <w:rFonts w:cs="Calibri"/>
              </w:rPr>
            </w:pPr>
            <w:r>
              <w:rPr>
                <w:rFonts w:cs="Calibri"/>
              </w:rPr>
              <w:t>18.1</w:t>
            </w:r>
          </w:p>
        </w:tc>
      </w:tr>
      <w:tr w:rsidR="00322294" w:rsidRPr="00731814" w14:paraId="2DA2A243" w14:textId="77777777" w:rsidTr="00B97EED">
        <w:trPr>
          <w:gridAfter w:val="1"/>
          <w:wAfter w:w="1575" w:type="dxa"/>
        </w:trPr>
        <w:tc>
          <w:tcPr>
            <w:tcW w:w="3544" w:type="dxa"/>
            <w:shd w:val="clear" w:color="auto" w:fill="auto"/>
          </w:tcPr>
          <w:p w14:paraId="02D43DC9" w14:textId="77777777" w:rsidR="00322294" w:rsidRPr="00731814" w:rsidRDefault="00322294" w:rsidP="00B97EED">
            <w:pPr>
              <w:rPr>
                <w:rFonts w:cs="Calibri"/>
              </w:rPr>
            </w:pPr>
            <w:r w:rsidRPr="00731814">
              <w:rPr>
                <w:rFonts w:cs="Calibri"/>
              </w:rPr>
              <w:t xml:space="preserve">   ≥50    years</w:t>
            </w:r>
          </w:p>
        </w:tc>
        <w:tc>
          <w:tcPr>
            <w:tcW w:w="1418" w:type="dxa"/>
            <w:shd w:val="clear" w:color="auto" w:fill="auto"/>
          </w:tcPr>
          <w:p w14:paraId="2352F6ED" w14:textId="77777777" w:rsidR="00322294" w:rsidRPr="00731814" w:rsidRDefault="00322294" w:rsidP="00B97EED">
            <w:pPr>
              <w:jc w:val="center"/>
              <w:rPr>
                <w:rFonts w:cs="Calibri"/>
              </w:rPr>
            </w:pPr>
            <w:r w:rsidRPr="00731814">
              <w:rPr>
                <w:rFonts w:cs="Calibri"/>
              </w:rPr>
              <w:t>69</w:t>
            </w:r>
          </w:p>
        </w:tc>
        <w:tc>
          <w:tcPr>
            <w:tcW w:w="3685" w:type="dxa"/>
            <w:shd w:val="clear" w:color="auto" w:fill="auto"/>
          </w:tcPr>
          <w:p w14:paraId="40D7B0B3" w14:textId="77777777" w:rsidR="00322294" w:rsidRPr="00731814" w:rsidRDefault="00322294" w:rsidP="00B97EED">
            <w:pPr>
              <w:jc w:val="center"/>
              <w:rPr>
                <w:rFonts w:cs="Calibri"/>
              </w:rPr>
            </w:pPr>
            <w:r>
              <w:rPr>
                <w:rFonts w:cs="Calibri"/>
              </w:rPr>
              <w:t>6.2</w:t>
            </w:r>
          </w:p>
        </w:tc>
      </w:tr>
      <w:tr w:rsidR="00322294" w:rsidRPr="00731814" w14:paraId="07304483" w14:textId="77777777" w:rsidTr="00B97EED">
        <w:trPr>
          <w:gridAfter w:val="1"/>
          <w:wAfter w:w="1575" w:type="dxa"/>
        </w:trPr>
        <w:tc>
          <w:tcPr>
            <w:tcW w:w="3544" w:type="dxa"/>
            <w:shd w:val="clear" w:color="auto" w:fill="auto"/>
          </w:tcPr>
          <w:p w14:paraId="5337B902" w14:textId="77777777" w:rsidR="00322294" w:rsidRPr="00731814" w:rsidRDefault="00322294" w:rsidP="00B97EED">
            <w:pPr>
              <w:rPr>
                <w:rFonts w:cs="Calibri"/>
                <w:b/>
              </w:rPr>
            </w:pPr>
            <w:r w:rsidRPr="00731814">
              <w:rPr>
                <w:rFonts w:cs="Calibri"/>
                <w:b/>
              </w:rPr>
              <w:t>Marital status</w:t>
            </w:r>
          </w:p>
        </w:tc>
        <w:tc>
          <w:tcPr>
            <w:tcW w:w="1418" w:type="dxa"/>
            <w:shd w:val="clear" w:color="auto" w:fill="auto"/>
          </w:tcPr>
          <w:p w14:paraId="1BC1654F" w14:textId="77777777" w:rsidR="00322294" w:rsidRPr="00731814" w:rsidRDefault="00322294" w:rsidP="00B97EED">
            <w:pPr>
              <w:jc w:val="center"/>
              <w:rPr>
                <w:rFonts w:cs="Calibri"/>
                <w:b/>
              </w:rPr>
            </w:pPr>
          </w:p>
        </w:tc>
        <w:tc>
          <w:tcPr>
            <w:tcW w:w="3685" w:type="dxa"/>
            <w:shd w:val="clear" w:color="auto" w:fill="auto"/>
          </w:tcPr>
          <w:p w14:paraId="65584A89" w14:textId="77777777" w:rsidR="00322294" w:rsidRPr="00731814" w:rsidRDefault="00322294" w:rsidP="00B97EED">
            <w:pPr>
              <w:jc w:val="center"/>
              <w:rPr>
                <w:rFonts w:cs="Calibri"/>
                <w:b/>
              </w:rPr>
            </w:pPr>
          </w:p>
        </w:tc>
      </w:tr>
      <w:tr w:rsidR="00322294" w:rsidRPr="00731814" w14:paraId="1AF95D7D" w14:textId="77777777" w:rsidTr="00B97EED">
        <w:trPr>
          <w:gridAfter w:val="1"/>
          <w:wAfter w:w="1575" w:type="dxa"/>
        </w:trPr>
        <w:tc>
          <w:tcPr>
            <w:tcW w:w="3544" w:type="dxa"/>
            <w:shd w:val="clear" w:color="auto" w:fill="auto"/>
          </w:tcPr>
          <w:p w14:paraId="61C107CA" w14:textId="77777777" w:rsidR="00322294" w:rsidRPr="00731814" w:rsidRDefault="00322294" w:rsidP="00B97EED">
            <w:pPr>
              <w:rPr>
                <w:rFonts w:cs="Calibri"/>
              </w:rPr>
            </w:pPr>
            <w:r w:rsidRPr="00731814">
              <w:rPr>
                <w:rFonts w:cs="Calibri"/>
              </w:rPr>
              <w:t xml:space="preserve">   Married or cohabiting</w:t>
            </w:r>
          </w:p>
        </w:tc>
        <w:tc>
          <w:tcPr>
            <w:tcW w:w="1418" w:type="dxa"/>
            <w:shd w:val="clear" w:color="auto" w:fill="auto"/>
          </w:tcPr>
          <w:p w14:paraId="4554C50C" w14:textId="77777777" w:rsidR="00322294" w:rsidRPr="00731814" w:rsidRDefault="00322294" w:rsidP="00B97EED">
            <w:pPr>
              <w:jc w:val="center"/>
              <w:rPr>
                <w:rFonts w:cs="Calibri"/>
              </w:rPr>
            </w:pPr>
            <w:r w:rsidRPr="00731814">
              <w:rPr>
                <w:rFonts w:cs="Calibri"/>
              </w:rPr>
              <w:t>624</w:t>
            </w:r>
          </w:p>
        </w:tc>
        <w:tc>
          <w:tcPr>
            <w:tcW w:w="3685" w:type="dxa"/>
            <w:shd w:val="clear" w:color="auto" w:fill="auto"/>
            <w:vAlign w:val="bottom"/>
          </w:tcPr>
          <w:p w14:paraId="60183014" w14:textId="77777777" w:rsidR="00322294" w:rsidRPr="00731814" w:rsidRDefault="00322294" w:rsidP="00B97EED">
            <w:pPr>
              <w:jc w:val="center"/>
              <w:rPr>
                <w:rFonts w:cs="Calibri"/>
                <w:color w:val="000000"/>
                <w:lang w:eastAsia="en-GB"/>
              </w:rPr>
            </w:pPr>
            <w:r>
              <w:rPr>
                <w:rFonts w:cs="Calibri"/>
                <w:color w:val="000000"/>
                <w:lang w:eastAsia="en-GB"/>
              </w:rPr>
              <w:t>55.7</w:t>
            </w:r>
          </w:p>
        </w:tc>
      </w:tr>
      <w:tr w:rsidR="00322294" w:rsidRPr="00731814" w14:paraId="360A8EFB" w14:textId="77777777" w:rsidTr="00B97EED">
        <w:trPr>
          <w:gridAfter w:val="1"/>
          <w:wAfter w:w="1575" w:type="dxa"/>
        </w:trPr>
        <w:tc>
          <w:tcPr>
            <w:tcW w:w="3544" w:type="dxa"/>
            <w:shd w:val="clear" w:color="auto" w:fill="auto"/>
          </w:tcPr>
          <w:p w14:paraId="6B843F4D" w14:textId="77777777" w:rsidR="00322294" w:rsidRPr="00731814" w:rsidRDefault="00322294" w:rsidP="00B97EED">
            <w:pPr>
              <w:rPr>
                <w:rFonts w:cs="Calibri"/>
              </w:rPr>
            </w:pPr>
            <w:r w:rsidRPr="00731814">
              <w:rPr>
                <w:rFonts w:cs="Calibri"/>
              </w:rPr>
              <w:t xml:space="preserve">   Widowed</w:t>
            </w:r>
          </w:p>
        </w:tc>
        <w:tc>
          <w:tcPr>
            <w:tcW w:w="1418" w:type="dxa"/>
            <w:shd w:val="clear" w:color="auto" w:fill="auto"/>
          </w:tcPr>
          <w:p w14:paraId="4B7D6455" w14:textId="77777777" w:rsidR="00322294" w:rsidRPr="00731814" w:rsidRDefault="00322294" w:rsidP="00B97EED">
            <w:pPr>
              <w:jc w:val="center"/>
              <w:rPr>
                <w:rFonts w:cs="Calibri"/>
              </w:rPr>
            </w:pPr>
            <w:r w:rsidRPr="00731814">
              <w:rPr>
                <w:rFonts w:cs="Calibri"/>
              </w:rPr>
              <w:t>31</w:t>
            </w:r>
          </w:p>
        </w:tc>
        <w:tc>
          <w:tcPr>
            <w:tcW w:w="3685" w:type="dxa"/>
            <w:shd w:val="clear" w:color="auto" w:fill="auto"/>
            <w:vAlign w:val="bottom"/>
          </w:tcPr>
          <w:p w14:paraId="247EF85B" w14:textId="77777777" w:rsidR="00322294" w:rsidRPr="00731814" w:rsidRDefault="00322294" w:rsidP="00B97EED">
            <w:pPr>
              <w:jc w:val="center"/>
              <w:rPr>
                <w:rFonts w:cs="Calibri"/>
                <w:color w:val="000000"/>
              </w:rPr>
            </w:pPr>
            <w:r>
              <w:rPr>
                <w:rFonts w:cs="Calibri"/>
                <w:color w:val="000000"/>
              </w:rPr>
              <w:t>2.8</w:t>
            </w:r>
          </w:p>
        </w:tc>
      </w:tr>
      <w:tr w:rsidR="00322294" w:rsidRPr="00731814" w14:paraId="14FDF253" w14:textId="77777777" w:rsidTr="00B97EED">
        <w:trPr>
          <w:gridAfter w:val="1"/>
          <w:wAfter w:w="1575" w:type="dxa"/>
        </w:trPr>
        <w:tc>
          <w:tcPr>
            <w:tcW w:w="3544" w:type="dxa"/>
            <w:shd w:val="clear" w:color="auto" w:fill="auto"/>
          </w:tcPr>
          <w:p w14:paraId="4E1BF771" w14:textId="77777777" w:rsidR="00322294" w:rsidRPr="00731814" w:rsidRDefault="00322294" w:rsidP="00B97EED">
            <w:pPr>
              <w:rPr>
                <w:rFonts w:cs="Calibri"/>
              </w:rPr>
            </w:pPr>
            <w:r w:rsidRPr="00731814">
              <w:rPr>
                <w:rFonts w:cs="Calibri"/>
              </w:rPr>
              <w:t xml:space="preserve">   Separated or divorced</w:t>
            </w:r>
          </w:p>
        </w:tc>
        <w:tc>
          <w:tcPr>
            <w:tcW w:w="1418" w:type="dxa"/>
            <w:shd w:val="clear" w:color="auto" w:fill="auto"/>
          </w:tcPr>
          <w:p w14:paraId="21F09619" w14:textId="77777777" w:rsidR="00322294" w:rsidRPr="00731814" w:rsidRDefault="00322294" w:rsidP="00B97EED">
            <w:pPr>
              <w:jc w:val="center"/>
              <w:rPr>
                <w:rFonts w:cs="Calibri"/>
              </w:rPr>
            </w:pPr>
            <w:r w:rsidRPr="00731814">
              <w:rPr>
                <w:rFonts w:cs="Calibri"/>
              </w:rPr>
              <w:t>347</w:t>
            </w:r>
          </w:p>
        </w:tc>
        <w:tc>
          <w:tcPr>
            <w:tcW w:w="3685" w:type="dxa"/>
            <w:shd w:val="clear" w:color="auto" w:fill="auto"/>
            <w:vAlign w:val="bottom"/>
          </w:tcPr>
          <w:p w14:paraId="25BB1413" w14:textId="77777777" w:rsidR="00322294" w:rsidRPr="00731814" w:rsidRDefault="00322294" w:rsidP="00B97EED">
            <w:pPr>
              <w:jc w:val="center"/>
              <w:rPr>
                <w:rFonts w:cs="Calibri"/>
                <w:color w:val="000000"/>
              </w:rPr>
            </w:pPr>
            <w:r>
              <w:rPr>
                <w:rFonts w:cs="Calibri"/>
                <w:color w:val="000000"/>
              </w:rPr>
              <w:t>30.9</w:t>
            </w:r>
          </w:p>
        </w:tc>
      </w:tr>
      <w:tr w:rsidR="00322294" w:rsidRPr="00731814" w14:paraId="71A54EC8" w14:textId="77777777" w:rsidTr="00B97EED">
        <w:trPr>
          <w:gridAfter w:val="1"/>
          <w:wAfter w:w="1575" w:type="dxa"/>
        </w:trPr>
        <w:tc>
          <w:tcPr>
            <w:tcW w:w="3544" w:type="dxa"/>
            <w:shd w:val="clear" w:color="auto" w:fill="auto"/>
          </w:tcPr>
          <w:p w14:paraId="6D461053" w14:textId="77777777" w:rsidR="00322294" w:rsidRPr="00731814" w:rsidRDefault="00322294" w:rsidP="00B97EED">
            <w:pPr>
              <w:rPr>
                <w:rFonts w:cs="Calibri"/>
              </w:rPr>
            </w:pPr>
            <w:r w:rsidRPr="00731814">
              <w:rPr>
                <w:rFonts w:cs="Calibri"/>
              </w:rPr>
              <w:t xml:space="preserve">   Single – never married</w:t>
            </w:r>
          </w:p>
        </w:tc>
        <w:tc>
          <w:tcPr>
            <w:tcW w:w="1418" w:type="dxa"/>
            <w:shd w:val="clear" w:color="auto" w:fill="auto"/>
          </w:tcPr>
          <w:p w14:paraId="33ED2681" w14:textId="77777777" w:rsidR="00322294" w:rsidRPr="00731814" w:rsidRDefault="00322294" w:rsidP="00B97EED">
            <w:pPr>
              <w:jc w:val="center"/>
              <w:rPr>
                <w:rFonts w:cs="Calibri"/>
              </w:rPr>
            </w:pPr>
            <w:r w:rsidRPr="00731814">
              <w:rPr>
                <w:rFonts w:cs="Calibri"/>
              </w:rPr>
              <w:t>119</w:t>
            </w:r>
          </w:p>
        </w:tc>
        <w:tc>
          <w:tcPr>
            <w:tcW w:w="3685" w:type="dxa"/>
            <w:shd w:val="clear" w:color="auto" w:fill="auto"/>
            <w:vAlign w:val="bottom"/>
          </w:tcPr>
          <w:p w14:paraId="2BEB0180" w14:textId="77777777" w:rsidR="00322294" w:rsidRPr="00731814" w:rsidRDefault="00322294" w:rsidP="00B97EED">
            <w:pPr>
              <w:jc w:val="center"/>
              <w:rPr>
                <w:rFonts w:cs="Calibri"/>
                <w:color w:val="000000"/>
              </w:rPr>
            </w:pPr>
            <w:r>
              <w:rPr>
                <w:rFonts w:cs="Calibri"/>
                <w:color w:val="000000"/>
              </w:rPr>
              <w:t>10.6</w:t>
            </w:r>
          </w:p>
        </w:tc>
      </w:tr>
      <w:tr w:rsidR="00322294" w:rsidRPr="00731814" w14:paraId="15AE1B6C" w14:textId="77777777" w:rsidTr="00B97EED">
        <w:trPr>
          <w:gridAfter w:val="1"/>
          <w:wAfter w:w="1575" w:type="dxa"/>
        </w:trPr>
        <w:tc>
          <w:tcPr>
            <w:tcW w:w="3544" w:type="dxa"/>
            <w:shd w:val="clear" w:color="auto" w:fill="auto"/>
          </w:tcPr>
          <w:p w14:paraId="6DCC5334" w14:textId="77777777" w:rsidR="00322294" w:rsidRPr="00731814" w:rsidRDefault="00322294" w:rsidP="00B97EED">
            <w:pPr>
              <w:rPr>
                <w:rFonts w:cs="Calibri"/>
                <w:b/>
              </w:rPr>
            </w:pPr>
            <w:r w:rsidRPr="00731814">
              <w:rPr>
                <w:rFonts w:cs="Calibri"/>
                <w:b/>
              </w:rPr>
              <w:t>Education</w:t>
            </w:r>
          </w:p>
        </w:tc>
        <w:tc>
          <w:tcPr>
            <w:tcW w:w="1418" w:type="dxa"/>
            <w:shd w:val="clear" w:color="auto" w:fill="auto"/>
          </w:tcPr>
          <w:p w14:paraId="52A0D82B" w14:textId="77777777" w:rsidR="00322294" w:rsidRPr="00731814" w:rsidRDefault="00322294" w:rsidP="00B97EED">
            <w:pPr>
              <w:jc w:val="center"/>
              <w:rPr>
                <w:rFonts w:cs="Calibri"/>
                <w:b/>
              </w:rPr>
            </w:pPr>
          </w:p>
        </w:tc>
        <w:tc>
          <w:tcPr>
            <w:tcW w:w="3685" w:type="dxa"/>
            <w:shd w:val="clear" w:color="auto" w:fill="auto"/>
          </w:tcPr>
          <w:p w14:paraId="7F91C135" w14:textId="77777777" w:rsidR="00322294" w:rsidRPr="00731814" w:rsidRDefault="00322294" w:rsidP="00B97EED">
            <w:pPr>
              <w:jc w:val="center"/>
              <w:rPr>
                <w:rFonts w:cs="Calibri"/>
                <w:b/>
              </w:rPr>
            </w:pPr>
          </w:p>
        </w:tc>
      </w:tr>
      <w:tr w:rsidR="00322294" w:rsidRPr="00731814" w14:paraId="5710BA21" w14:textId="77777777" w:rsidTr="00B97EED">
        <w:trPr>
          <w:gridAfter w:val="1"/>
          <w:wAfter w:w="1575" w:type="dxa"/>
        </w:trPr>
        <w:tc>
          <w:tcPr>
            <w:tcW w:w="3544" w:type="dxa"/>
            <w:shd w:val="clear" w:color="auto" w:fill="auto"/>
          </w:tcPr>
          <w:p w14:paraId="535EB9CD" w14:textId="77777777" w:rsidR="00322294" w:rsidRPr="00731814" w:rsidRDefault="00322294" w:rsidP="00B97EED">
            <w:pPr>
              <w:rPr>
                <w:rFonts w:cs="Calibri"/>
              </w:rPr>
            </w:pPr>
            <w:r w:rsidRPr="00731814">
              <w:rPr>
                <w:rFonts w:cs="Calibri"/>
              </w:rPr>
              <w:t xml:space="preserve">   No formal schooling</w:t>
            </w:r>
          </w:p>
        </w:tc>
        <w:tc>
          <w:tcPr>
            <w:tcW w:w="1418" w:type="dxa"/>
            <w:shd w:val="clear" w:color="auto" w:fill="auto"/>
          </w:tcPr>
          <w:p w14:paraId="740AD6D2" w14:textId="77777777" w:rsidR="00322294" w:rsidRPr="00731814" w:rsidRDefault="00322294" w:rsidP="00B97EED">
            <w:pPr>
              <w:jc w:val="center"/>
              <w:rPr>
                <w:rFonts w:cs="Calibri"/>
              </w:rPr>
            </w:pPr>
            <w:r w:rsidRPr="00731814">
              <w:rPr>
                <w:rFonts w:cs="Calibri"/>
              </w:rPr>
              <w:t>103</w:t>
            </w:r>
          </w:p>
        </w:tc>
        <w:tc>
          <w:tcPr>
            <w:tcW w:w="3685" w:type="dxa"/>
            <w:shd w:val="clear" w:color="auto" w:fill="auto"/>
            <w:vAlign w:val="bottom"/>
          </w:tcPr>
          <w:p w14:paraId="5EE01EF6" w14:textId="77777777" w:rsidR="00322294" w:rsidRPr="00731814" w:rsidRDefault="00322294" w:rsidP="00B97EED">
            <w:pPr>
              <w:jc w:val="center"/>
              <w:rPr>
                <w:rFonts w:cs="Calibri"/>
                <w:color w:val="000000"/>
                <w:lang w:eastAsia="en-GB"/>
              </w:rPr>
            </w:pPr>
            <w:r>
              <w:rPr>
                <w:rFonts w:cs="Calibri"/>
                <w:color w:val="000000"/>
                <w:lang w:eastAsia="en-GB"/>
              </w:rPr>
              <w:t>9.2</w:t>
            </w:r>
          </w:p>
        </w:tc>
      </w:tr>
      <w:tr w:rsidR="00322294" w:rsidRPr="00731814" w14:paraId="1BC9B667" w14:textId="77777777" w:rsidTr="00B97EED">
        <w:trPr>
          <w:gridAfter w:val="1"/>
          <w:wAfter w:w="1575" w:type="dxa"/>
        </w:trPr>
        <w:tc>
          <w:tcPr>
            <w:tcW w:w="3544" w:type="dxa"/>
            <w:shd w:val="clear" w:color="auto" w:fill="auto"/>
          </w:tcPr>
          <w:p w14:paraId="37C15A02" w14:textId="77777777" w:rsidR="00322294" w:rsidRPr="00731814" w:rsidRDefault="00322294" w:rsidP="00B97EED">
            <w:pPr>
              <w:rPr>
                <w:rFonts w:cs="Calibri"/>
              </w:rPr>
            </w:pPr>
            <w:r w:rsidRPr="00731814">
              <w:rPr>
                <w:rFonts w:cs="Calibri"/>
              </w:rPr>
              <w:t xml:space="preserve">   Incomplete primary school</w:t>
            </w:r>
          </w:p>
        </w:tc>
        <w:tc>
          <w:tcPr>
            <w:tcW w:w="1418" w:type="dxa"/>
            <w:shd w:val="clear" w:color="auto" w:fill="auto"/>
          </w:tcPr>
          <w:p w14:paraId="0FA6C649" w14:textId="77777777" w:rsidR="00322294" w:rsidRPr="00731814" w:rsidRDefault="00322294" w:rsidP="00B97EED">
            <w:pPr>
              <w:jc w:val="center"/>
              <w:rPr>
                <w:rFonts w:cs="Calibri"/>
              </w:rPr>
            </w:pPr>
            <w:r w:rsidRPr="00731814">
              <w:rPr>
                <w:rFonts w:cs="Calibri"/>
              </w:rPr>
              <w:t>251</w:t>
            </w:r>
          </w:p>
        </w:tc>
        <w:tc>
          <w:tcPr>
            <w:tcW w:w="3685" w:type="dxa"/>
            <w:shd w:val="clear" w:color="auto" w:fill="auto"/>
            <w:vAlign w:val="bottom"/>
          </w:tcPr>
          <w:p w14:paraId="0C11A3E8" w14:textId="77777777" w:rsidR="00322294" w:rsidRPr="00731814" w:rsidRDefault="00322294" w:rsidP="00B97EED">
            <w:pPr>
              <w:jc w:val="center"/>
              <w:rPr>
                <w:rFonts w:cs="Calibri"/>
                <w:color w:val="000000"/>
              </w:rPr>
            </w:pPr>
            <w:r>
              <w:rPr>
                <w:rFonts w:cs="Calibri"/>
                <w:color w:val="000000"/>
              </w:rPr>
              <w:t>22.4</w:t>
            </w:r>
          </w:p>
        </w:tc>
      </w:tr>
      <w:tr w:rsidR="00322294" w:rsidRPr="00731814" w14:paraId="02A1D8B9" w14:textId="77777777" w:rsidTr="00B97EED">
        <w:trPr>
          <w:gridAfter w:val="1"/>
          <w:wAfter w:w="1575" w:type="dxa"/>
        </w:trPr>
        <w:tc>
          <w:tcPr>
            <w:tcW w:w="3544" w:type="dxa"/>
            <w:shd w:val="clear" w:color="auto" w:fill="auto"/>
          </w:tcPr>
          <w:p w14:paraId="24674CF6" w14:textId="77777777" w:rsidR="00322294" w:rsidRPr="00731814" w:rsidRDefault="00322294" w:rsidP="00B97EED">
            <w:pPr>
              <w:rPr>
                <w:rFonts w:cs="Calibri"/>
              </w:rPr>
            </w:pPr>
            <w:r w:rsidRPr="00731814">
              <w:rPr>
                <w:rFonts w:cs="Calibri"/>
              </w:rPr>
              <w:t xml:space="preserve">   Completed primary school</w:t>
            </w:r>
          </w:p>
        </w:tc>
        <w:tc>
          <w:tcPr>
            <w:tcW w:w="1418" w:type="dxa"/>
            <w:shd w:val="clear" w:color="auto" w:fill="auto"/>
          </w:tcPr>
          <w:p w14:paraId="2A002E0B" w14:textId="77777777" w:rsidR="00322294" w:rsidRPr="00731814" w:rsidRDefault="00322294" w:rsidP="00B97EED">
            <w:pPr>
              <w:jc w:val="center"/>
              <w:rPr>
                <w:rFonts w:cs="Calibri"/>
              </w:rPr>
            </w:pPr>
            <w:r w:rsidRPr="00731814">
              <w:rPr>
                <w:rFonts w:cs="Calibri"/>
              </w:rPr>
              <w:t>608</w:t>
            </w:r>
          </w:p>
        </w:tc>
        <w:tc>
          <w:tcPr>
            <w:tcW w:w="3685" w:type="dxa"/>
            <w:shd w:val="clear" w:color="auto" w:fill="auto"/>
            <w:vAlign w:val="bottom"/>
          </w:tcPr>
          <w:p w14:paraId="63F32A12" w14:textId="77777777" w:rsidR="00322294" w:rsidRPr="00731814" w:rsidRDefault="00322294" w:rsidP="00B97EED">
            <w:pPr>
              <w:jc w:val="center"/>
              <w:rPr>
                <w:rFonts w:cs="Calibri"/>
                <w:color w:val="000000"/>
              </w:rPr>
            </w:pPr>
            <w:r>
              <w:rPr>
                <w:rFonts w:cs="Calibri"/>
                <w:color w:val="000000"/>
              </w:rPr>
              <w:t>54.2</w:t>
            </w:r>
          </w:p>
        </w:tc>
      </w:tr>
      <w:tr w:rsidR="00322294" w:rsidRPr="00731814" w14:paraId="0B3D641C" w14:textId="77777777" w:rsidTr="00B97EED">
        <w:trPr>
          <w:gridAfter w:val="1"/>
          <w:wAfter w:w="1575" w:type="dxa"/>
        </w:trPr>
        <w:tc>
          <w:tcPr>
            <w:tcW w:w="3544" w:type="dxa"/>
            <w:shd w:val="clear" w:color="auto" w:fill="auto"/>
          </w:tcPr>
          <w:p w14:paraId="1603DF11" w14:textId="77777777" w:rsidR="00322294" w:rsidRPr="00731814" w:rsidRDefault="00322294" w:rsidP="00B97EED">
            <w:pPr>
              <w:rPr>
                <w:rFonts w:cs="Calibri"/>
              </w:rPr>
            </w:pPr>
            <w:r w:rsidRPr="00731814">
              <w:rPr>
                <w:rFonts w:cs="Calibri"/>
              </w:rPr>
              <w:t xml:space="preserve">   Incomplete secondary (form 1-4)</w:t>
            </w:r>
          </w:p>
        </w:tc>
        <w:tc>
          <w:tcPr>
            <w:tcW w:w="1418" w:type="dxa"/>
            <w:shd w:val="clear" w:color="auto" w:fill="auto"/>
          </w:tcPr>
          <w:p w14:paraId="2D9148F3" w14:textId="77777777" w:rsidR="00322294" w:rsidRPr="00731814" w:rsidRDefault="00322294" w:rsidP="00B97EED">
            <w:pPr>
              <w:jc w:val="center"/>
              <w:rPr>
                <w:rFonts w:cs="Calibri"/>
              </w:rPr>
            </w:pPr>
            <w:r w:rsidRPr="00731814">
              <w:rPr>
                <w:rFonts w:cs="Calibri"/>
              </w:rPr>
              <w:t>92</w:t>
            </w:r>
          </w:p>
        </w:tc>
        <w:tc>
          <w:tcPr>
            <w:tcW w:w="3685" w:type="dxa"/>
            <w:shd w:val="clear" w:color="auto" w:fill="auto"/>
            <w:vAlign w:val="bottom"/>
          </w:tcPr>
          <w:p w14:paraId="39A85E7B" w14:textId="77777777" w:rsidR="00322294" w:rsidRPr="00731814" w:rsidRDefault="00322294" w:rsidP="00B97EED">
            <w:pPr>
              <w:jc w:val="center"/>
              <w:rPr>
                <w:rFonts w:cs="Calibri"/>
                <w:color w:val="000000"/>
              </w:rPr>
            </w:pPr>
            <w:r>
              <w:rPr>
                <w:rFonts w:cs="Calibri"/>
                <w:color w:val="000000"/>
              </w:rPr>
              <w:t>8.2</w:t>
            </w:r>
          </w:p>
        </w:tc>
      </w:tr>
      <w:tr w:rsidR="00322294" w:rsidRPr="00731814" w14:paraId="0F5E83CF" w14:textId="77777777" w:rsidTr="00B97EED">
        <w:trPr>
          <w:gridAfter w:val="1"/>
          <w:wAfter w:w="1575" w:type="dxa"/>
        </w:trPr>
        <w:tc>
          <w:tcPr>
            <w:tcW w:w="3544" w:type="dxa"/>
            <w:shd w:val="clear" w:color="auto" w:fill="auto"/>
          </w:tcPr>
          <w:p w14:paraId="4D364E54" w14:textId="77777777" w:rsidR="00322294" w:rsidRPr="00731814" w:rsidRDefault="00322294" w:rsidP="00B97EED">
            <w:pPr>
              <w:rPr>
                <w:rFonts w:cs="Calibri"/>
              </w:rPr>
            </w:pPr>
            <w:r w:rsidRPr="00731814">
              <w:rPr>
                <w:rFonts w:cs="Calibri"/>
                <w:b/>
              </w:rPr>
              <w:t xml:space="preserve">   </w:t>
            </w:r>
            <w:r w:rsidRPr="00731814">
              <w:rPr>
                <w:rFonts w:cs="Calibri"/>
              </w:rPr>
              <w:t>Secondary or higher education</w:t>
            </w:r>
          </w:p>
        </w:tc>
        <w:tc>
          <w:tcPr>
            <w:tcW w:w="1418" w:type="dxa"/>
            <w:shd w:val="clear" w:color="auto" w:fill="auto"/>
          </w:tcPr>
          <w:p w14:paraId="3767C349" w14:textId="77777777" w:rsidR="00322294" w:rsidRPr="00731814" w:rsidRDefault="00322294" w:rsidP="00B97EED">
            <w:pPr>
              <w:jc w:val="center"/>
              <w:rPr>
                <w:rFonts w:cs="Calibri"/>
              </w:rPr>
            </w:pPr>
            <w:r w:rsidRPr="00731814">
              <w:rPr>
                <w:rFonts w:cs="Calibri"/>
              </w:rPr>
              <w:t>67</w:t>
            </w:r>
          </w:p>
        </w:tc>
        <w:tc>
          <w:tcPr>
            <w:tcW w:w="3685" w:type="dxa"/>
            <w:shd w:val="clear" w:color="auto" w:fill="auto"/>
            <w:vAlign w:val="bottom"/>
          </w:tcPr>
          <w:p w14:paraId="22BB8809" w14:textId="77777777" w:rsidR="00322294" w:rsidRPr="00731814" w:rsidRDefault="00322294" w:rsidP="00B97EED">
            <w:pPr>
              <w:jc w:val="center"/>
              <w:rPr>
                <w:rFonts w:cs="Calibri"/>
                <w:color w:val="000000"/>
              </w:rPr>
            </w:pPr>
            <w:r>
              <w:rPr>
                <w:rFonts w:cs="Calibri"/>
                <w:color w:val="000000"/>
              </w:rPr>
              <w:t>6.0</w:t>
            </w:r>
          </w:p>
        </w:tc>
      </w:tr>
      <w:tr w:rsidR="00322294" w:rsidRPr="00731814" w14:paraId="411390CD" w14:textId="77777777" w:rsidTr="00B97EED">
        <w:trPr>
          <w:gridAfter w:val="1"/>
          <w:wAfter w:w="1575" w:type="dxa"/>
        </w:trPr>
        <w:tc>
          <w:tcPr>
            <w:tcW w:w="3544" w:type="dxa"/>
            <w:shd w:val="clear" w:color="auto" w:fill="auto"/>
          </w:tcPr>
          <w:p w14:paraId="37F35B11" w14:textId="77777777" w:rsidR="00322294" w:rsidRPr="00731814" w:rsidRDefault="00322294" w:rsidP="00B97EED">
            <w:pPr>
              <w:rPr>
                <w:rFonts w:cs="Calibri"/>
                <w:b/>
              </w:rPr>
            </w:pPr>
            <w:r w:rsidRPr="00731814">
              <w:rPr>
                <w:rFonts w:cs="Calibri"/>
                <w:b/>
              </w:rPr>
              <w:t xml:space="preserve">Sexual partners (in the last </w:t>
            </w:r>
            <w:proofErr w:type="gramStart"/>
            <w:r w:rsidRPr="00731814">
              <w:rPr>
                <w:rFonts w:cs="Calibri"/>
                <w:b/>
              </w:rPr>
              <w:t>year)</w:t>
            </w:r>
            <w:r>
              <w:rPr>
                <w:rFonts w:cs="Calibri"/>
                <w:b/>
              </w:rPr>
              <w:t>*</w:t>
            </w:r>
            <w:proofErr w:type="gramEnd"/>
          </w:p>
        </w:tc>
        <w:tc>
          <w:tcPr>
            <w:tcW w:w="1418" w:type="dxa"/>
            <w:shd w:val="clear" w:color="auto" w:fill="auto"/>
          </w:tcPr>
          <w:p w14:paraId="0DF95DDE" w14:textId="77777777" w:rsidR="00322294" w:rsidRPr="00731814" w:rsidRDefault="00322294" w:rsidP="00B97EED">
            <w:pPr>
              <w:jc w:val="center"/>
              <w:rPr>
                <w:rFonts w:cs="Calibri"/>
                <w:b/>
              </w:rPr>
            </w:pPr>
          </w:p>
        </w:tc>
        <w:tc>
          <w:tcPr>
            <w:tcW w:w="3685" w:type="dxa"/>
            <w:shd w:val="clear" w:color="auto" w:fill="auto"/>
          </w:tcPr>
          <w:p w14:paraId="3292B416" w14:textId="77777777" w:rsidR="00322294" w:rsidRPr="00731814" w:rsidRDefault="00322294" w:rsidP="00B97EED">
            <w:pPr>
              <w:jc w:val="center"/>
              <w:rPr>
                <w:rFonts w:cs="Calibri"/>
                <w:b/>
              </w:rPr>
            </w:pPr>
          </w:p>
        </w:tc>
      </w:tr>
      <w:tr w:rsidR="00322294" w:rsidRPr="00731814" w14:paraId="234AC5E9" w14:textId="77777777" w:rsidTr="00B97EED">
        <w:trPr>
          <w:gridAfter w:val="1"/>
          <w:wAfter w:w="1575" w:type="dxa"/>
        </w:trPr>
        <w:tc>
          <w:tcPr>
            <w:tcW w:w="3544" w:type="dxa"/>
            <w:shd w:val="clear" w:color="auto" w:fill="auto"/>
          </w:tcPr>
          <w:p w14:paraId="26A6D606" w14:textId="77777777" w:rsidR="00322294" w:rsidRPr="00731814" w:rsidRDefault="00322294" w:rsidP="00B97EED">
            <w:pPr>
              <w:rPr>
                <w:rFonts w:cs="Calibri"/>
              </w:rPr>
            </w:pPr>
            <w:r w:rsidRPr="00731814">
              <w:rPr>
                <w:rFonts w:cs="Calibri"/>
              </w:rPr>
              <w:t xml:space="preserve">   Zero or one</w:t>
            </w:r>
          </w:p>
        </w:tc>
        <w:tc>
          <w:tcPr>
            <w:tcW w:w="1418" w:type="dxa"/>
            <w:shd w:val="clear" w:color="auto" w:fill="auto"/>
          </w:tcPr>
          <w:p w14:paraId="696D7DF1" w14:textId="77777777" w:rsidR="00322294" w:rsidRPr="00731814" w:rsidRDefault="00322294" w:rsidP="00B97EED">
            <w:pPr>
              <w:jc w:val="center"/>
              <w:rPr>
                <w:rFonts w:cs="Calibri"/>
              </w:rPr>
            </w:pPr>
            <w:r w:rsidRPr="00731814">
              <w:rPr>
                <w:rFonts w:cs="Calibri"/>
              </w:rPr>
              <w:t>279</w:t>
            </w:r>
          </w:p>
        </w:tc>
        <w:tc>
          <w:tcPr>
            <w:tcW w:w="3685" w:type="dxa"/>
            <w:shd w:val="clear" w:color="auto" w:fill="auto"/>
            <w:vAlign w:val="bottom"/>
          </w:tcPr>
          <w:p w14:paraId="2885779F" w14:textId="77777777" w:rsidR="00322294" w:rsidRPr="00731814" w:rsidRDefault="00322294" w:rsidP="00B97EED">
            <w:pPr>
              <w:jc w:val="center"/>
              <w:rPr>
                <w:rFonts w:cs="Calibri"/>
                <w:color w:val="000000"/>
                <w:lang w:eastAsia="en-GB"/>
              </w:rPr>
            </w:pPr>
            <w:r>
              <w:rPr>
                <w:rFonts w:cs="Calibri"/>
                <w:color w:val="000000"/>
                <w:lang w:eastAsia="en-GB"/>
              </w:rPr>
              <w:t>30.3</w:t>
            </w:r>
          </w:p>
        </w:tc>
      </w:tr>
      <w:tr w:rsidR="00322294" w:rsidRPr="00731814" w14:paraId="676CA6A7" w14:textId="77777777" w:rsidTr="00B97EED">
        <w:trPr>
          <w:gridAfter w:val="1"/>
          <w:wAfter w:w="1575" w:type="dxa"/>
        </w:trPr>
        <w:tc>
          <w:tcPr>
            <w:tcW w:w="3544" w:type="dxa"/>
            <w:shd w:val="clear" w:color="auto" w:fill="auto"/>
          </w:tcPr>
          <w:p w14:paraId="06974980" w14:textId="77777777" w:rsidR="00322294" w:rsidRPr="00731814" w:rsidRDefault="00322294" w:rsidP="00B97EED">
            <w:pPr>
              <w:rPr>
                <w:rFonts w:cs="Calibri"/>
              </w:rPr>
            </w:pPr>
            <w:r w:rsidRPr="00731814">
              <w:rPr>
                <w:rFonts w:cs="Calibri"/>
              </w:rPr>
              <w:t xml:space="preserve">   Two</w:t>
            </w:r>
          </w:p>
        </w:tc>
        <w:tc>
          <w:tcPr>
            <w:tcW w:w="1418" w:type="dxa"/>
            <w:shd w:val="clear" w:color="auto" w:fill="auto"/>
          </w:tcPr>
          <w:p w14:paraId="74EB5C68" w14:textId="77777777" w:rsidR="00322294" w:rsidRPr="00731814" w:rsidRDefault="00322294" w:rsidP="00B97EED">
            <w:pPr>
              <w:jc w:val="center"/>
              <w:rPr>
                <w:rFonts w:cs="Calibri"/>
              </w:rPr>
            </w:pPr>
            <w:r w:rsidRPr="00731814">
              <w:rPr>
                <w:rFonts w:cs="Calibri"/>
              </w:rPr>
              <w:t>202</w:t>
            </w:r>
          </w:p>
        </w:tc>
        <w:tc>
          <w:tcPr>
            <w:tcW w:w="3685" w:type="dxa"/>
            <w:shd w:val="clear" w:color="auto" w:fill="auto"/>
            <w:vAlign w:val="bottom"/>
          </w:tcPr>
          <w:p w14:paraId="044508BB" w14:textId="77777777" w:rsidR="00322294" w:rsidRPr="00731814" w:rsidRDefault="00322294" w:rsidP="00B97EED">
            <w:pPr>
              <w:jc w:val="center"/>
              <w:rPr>
                <w:rFonts w:cs="Calibri"/>
                <w:color w:val="000000"/>
              </w:rPr>
            </w:pPr>
            <w:r>
              <w:rPr>
                <w:rFonts w:cs="Calibri"/>
                <w:color w:val="000000"/>
              </w:rPr>
              <w:t>21.9</w:t>
            </w:r>
          </w:p>
        </w:tc>
      </w:tr>
      <w:tr w:rsidR="00322294" w:rsidRPr="00731814" w14:paraId="4E903840" w14:textId="77777777" w:rsidTr="00B97EED">
        <w:trPr>
          <w:gridAfter w:val="1"/>
          <w:wAfter w:w="1575" w:type="dxa"/>
        </w:trPr>
        <w:tc>
          <w:tcPr>
            <w:tcW w:w="3544" w:type="dxa"/>
            <w:shd w:val="clear" w:color="auto" w:fill="auto"/>
          </w:tcPr>
          <w:p w14:paraId="4E4241C3" w14:textId="77777777" w:rsidR="00322294" w:rsidRPr="00731814" w:rsidRDefault="00322294" w:rsidP="00B97EED">
            <w:pPr>
              <w:rPr>
                <w:rFonts w:cs="Calibri"/>
              </w:rPr>
            </w:pPr>
            <w:r w:rsidRPr="00731814">
              <w:rPr>
                <w:rFonts w:cs="Calibri"/>
              </w:rPr>
              <w:t xml:space="preserve">   Three or four</w:t>
            </w:r>
          </w:p>
        </w:tc>
        <w:tc>
          <w:tcPr>
            <w:tcW w:w="1418" w:type="dxa"/>
            <w:shd w:val="clear" w:color="auto" w:fill="auto"/>
          </w:tcPr>
          <w:p w14:paraId="5EE1C1A9" w14:textId="77777777" w:rsidR="00322294" w:rsidRPr="00731814" w:rsidRDefault="00322294" w:rsidP="00B97EED">
            <w:pPr>
              <w:jc w:val="center"/>
              <w:rPr>
                <w:rFonts w:cs="Calibri"/>
              </w:rPr>
            </w:pPr>
            <w:r w:rsidRPr="00731814">
              <w:rPr>
                <w:rFonts w:cs="Calibri"/>
              </w:rPr>
              <w:t>242</w:t>
            </w:r>
          </w:p>
        </w:tc>
        <w:tc>
          <w:tcPr>
            <w:tcW w:w="3685" w:type="dxa"/>
            <w:shd w:val="clear" w:color="auto" w:fill="auto"/>
            <w:vAlign w:val="bottom"/>
          </w:tcPr>
          <w:p w14:paraId="15CF58D9" w14:textId="77777777" w:rsidR="00322294" w:rsidRPr="00731814" w:rsidRDefault="00322294" w:rsidP="00B97EED">
            <w:pPr>
              <w:jc w:val="center"/>
              <w:rPr>
                <w:rFonts w:cs="Calibri"/>
                <w:color w:val="000000"/>
              </w:rPr>
            </w:pPr>
            <w:r>
              <w:rPr>
                <w:rFonts w:cs="Calibri"/>
                <w:color w:val="000000"/>
              </w:rPr>
              <w:t>26.3</w:t>
            </w:r>
          </w:p>
        </w:tc>
      </w:tr>
      <w:tr w:rsidR="00322294" w:rsidRPr="00731814" w14:paraId="1F74B54F" w14:textId="77777777" w:rsidTr="00B97EED">
        <w:trPr>
          <w:gridAfter w:val="1"/>
          <w:wAfter w:w="1575" w:type="dxa"/>
        </w:trPr>
        <w:tc>
          <w:tcPr>
            <w:tcW w:w="3544" w:type="dxa"/>
            <w:shd w:val="clear" w:color="auto" w:fill="auto"/>
          </w:tcPr>
          <w:p w14:paraId="0DCACAAA" w14:textId="77777777" w:rsidR="00322294" w:rsidRPr="00731814" w:rsidRDefault="00322294" w:rsidP="00B97EED">
            <w:pPr>
              <w:rPr>
                <w:rFonts w:cs="Calibri"/>
              </w:rPr>
            </w:pPr>
            <w:r w:rsidRPr="00731814">
              <w:rPr>
                <w:rFonts w:cs="Calibri"/>
              </w:rPr>
              <w:t xml:space="preserve">   Five or more</w:t>
            </w:r>
          </w:p>
        </w:tc>
        <w:tc>
          <w:tcPr>
            <w:tcW w:w="1418" w:type="dxa"/>
            <w:shd w:val="clear" w:color="auto" w:fill="auto"/>
          </w:tcPr>
          <w:p w14:paraId="37CDA650" w14:textId="77777777" w:rsidR="00322294" w:rsidRPr="00731814" w:rsidRDefault="00322294" w:rsidP="00B97EED">
            <w:pPr>
              <w:jc w:val="center"/>
              <w:rPr>
                <w:rFonts w:cs="Calibri"/>
              </w:rPr>
            </w:pPr>
            <w:r w:rsidRPr="00731814">
              <w:rPr>
                <w:rFonts w:cs="Calibri"/>
              </w:rPr>
              <w:t>198</w:t>
            </w:r>
          </w:p>
        </w:tc>
        <w:tc>
          <w:tcPr>
            <w:tcW w:w="3685" w:type="dxa"/>
            <w:shd w:val="clear" w:color="auto" w:fill="auto"/>
            <w:vAlign w:val="bottom"/>
          </w:tcPr>
          <w:p w14:paraId="67721AA2" w14:textId="77777777" w:rsidR="00322294" w:rsidRPr="00731814" w:rsidRDefault="00322294" w:rsidP="00B97EED">
            <w:pPr>
              <w:jc w:val="center"/>
              <w:rPr>
                <w:rFonts w:cs="Calibri"/>
                <w:color w:val="000000"/>
              </w:rPr>
            </w:pPr>
            <w:r>
              <w:rPr>
                <w:rFonts w:cs="Calibri"/>
                <w:color w:val="000000"/>
              </w:rPr>
              <w:t>21.5</w:t>
            </w:r>
          </w:p>
        </w:tc>
      </w:tr>
      <w:tr w:rsidR="00322294" w:rsidRPr="00731814" w14:paraId="7269F4AD" w14:textId="77777777" w:rsidTr="00B97EED">
        <w:trPr>
          <w:gridAfter w:val="1"/>
          <w:wAfter w:w="1575" w:type="dxa"/>
        </w:trPr>
        <w:tc>
          <w:tcPr>
            <w:tcW w:w="3544" w:type="dxa"/>
            <w:shd w:val="clear" w:color="auto" w:fill="auto"/>
          </w:tcPr>
          <w:p w14:paraId="5B5C6639" w14:textId="77777777" w:rsidR="00322294" w:rsidRPr="00731814" w:rsidRDefault="00322294" w:rsidP="00B97EED">
            <w:pPr>
              <w:rPr>
                <w:rFonts w:cs="Calibri"/>
                <w:b/>
              </w:rPr>
            </w:pPr>
            <w:r>
              <w:rPr>
                <w:rFonts w:cs="Calibri"/>
                <w:b/>
              </w:rPr>
              <w:t>Male c</w:t>
            </w:r>
            <w:r w:rsidRPr="00731814">
              <w:rPr>
                <w:rFonts w:cs="Calibri"/>
                <w:b/>
              </w:rPr>
              <w:t xml:space="preserve">ircumcision (men </w:t>
            </w:r>
            <w:proofErr w:type="gramStart"/>
            <w:r w:rsidRPr="00731814">
              <w:rPr>
                <w:rFonts w:cs="Calibri"/>
                <w:b/>
              </w:rPr>
              <w:t>only)</w:t>
            </w:r>
            <w:r>
              <w:rPr>
                <w:rFonts w:cs="Calibri"/>
                <w:b/>
              </w:rPr>
              <w:t>*</w:t>
            </w:r>
            <w:proofErr w:type="gramEnd"/>
            <w:r>
              <w:rPr>
                <w:rFonts w:cs="Calibri"/>
                <w:b/>
              </w:rPr>
              <w:t>*</w:t>
            </w:r>
          </w:p>
        </w:tc>
        <w:tc>
          <w:tcPr>
            <w:tcW w:w="1418" w:type="dxa"/>
            <w:shd w:val="clear" w:color="auto" w:fill="auto"/>
          </w:tcPr>
          <w:p w14:paraId="02CA8056" w14:textId="77777777" w:rsidR="00322294" w:rsidRPr="00731814" w:rsidRDefault="00322294" w:rsidP="00B97EED">
            <w:pPr>
              <w:jc w:val="center"/>
              <w:rPr>
                <w:rFonts w:cs="Calibri"/>
                <w:b/>
              </w:rPr>
            </w:pPr>
          </w:p>
        </w:tc>
        <w:tc>
          <w:tcPr>
            <w:tcW w:w="3685" w:type="dxa"/>
            <w:shd w:val="clear" w:color="auto" w:fill="auto"/>
          </w:tcPr>
          <w:p w14:paraId="2DAA1EBD" w14:textId="77777777" w:rsidR="00322294" w:rsidRPr="00731814" w:rsidRDefault="00322294" w:rsidP="00B97EED">
            <w:pPr>
              <w:jc w:val="center"/>
              <w:rPr>
                <w:rFonts w:cs="Calibri"/>
                <w:b/>
              </w:rPr>
            </w:pPr>
          </w:p>
        </w:tc>
      </w:tr>
      <w:tr w:rsidR="00322294" w:rsidRPr="00731814" w14:paraId="5B1AAC7A" w14:textId="77777777" w:rsidTr="00B97EED">
        <w:trPr>
          <w:gridAfter w:val="1"/>
          <w:wAfter w:w="1575" w:type="dxa"/>
        </w:trPr>
        <w:tc>
          <w:tcPr>
            <w:tcW w:w="3544" w:type="dxa"/>
            <w:shd w:val="clear" w:color="auto" w:fill="auto"/>
          </w:tcPr>
          <w:p w14:paraId="65DC94A5" w14:textId="77777777" w:rsidR="00322294" w:rsidRPr="00731814" w:rsidRDefault="00322294" w:rsidP="00B97EED">
            <w:pPr>
              <w:rPr>
                <w:rFonts w:cs="Calibri"/>
              </w:rPr>
            </w:pPr>
            <w:r w:rsidRPr="00731814">
              <w:rPr>
                <w:rFonts w:cs="Calibri"/>
              </w:rPr>
              <w:t xml:space="preserve">   Circumcised</w:t>
            </w:r>
          </w:p>
        </w:tc>
        <w:tc>
          <w:tcPr>
            <w:tcW w:w="1418" w:type="dxa"/>
            <w:shd w:val="clear" w:color="auto" w:fill="auto"/>
          </w:tcPr>
          <w:p w14:paraId="5A3F6B43" w14:textId="77777777" w:rsidR="00322294" w:rsidRPr="00731814" w:rsidRDefault="00322294" w:rsidP="00B97EED">
            <w:pPr>
              <w:jc w:val="center"/>
              <w:rPr>
                <w:rFonts w:cs="Calibri"/>
              </w:rPr>
            </w:pPr>
            <w:r w:rsidRPr="00731814">
              <w:rPr>
                <w:rFonts w:cs="Calibri"/>
              </w:rPr>
              <w:t>534</w:t>
            </w:r>
          </w:p>
        </w:tc>
        <w:tc>
          <w:tcPr>
            <w:tcW w:w="3685" w:type="dxa"/>
            <w:shd w:val="clear" w:color="auto" w:fill="auto"/>
          </w:tcPr>
          <w:p w14:paraId="4E02C3B4" w14:textId="77777777" w:rsidR="00322294" w:rsidRPr="00731814" w:rsidRDefault="00322294" w:rsidP="00B97EED">
            <w:pPr>
              <w:jc w:val="center"/>
              <w:rPr>
                <w:rFonts w:cs="Calibri"/>
              </w:rPr>
            </w:pPr>
            <w:r>
              <w:rPr>
                <w:rFonts w:cs="Calibri"/>
              </w:rPr>
              <w:t>91.6</w:t>
            </w:r>
          </w:p>
        </w:tc>
      </w:tr>
      <w:tr w:rsidR="00322294" w:rsidRPr="00731814" w14:paraId="6F5042EF" w14:textId="77777777" w:rsidTr="00B97EED">
        <w:trPr>
          <w:gridAfter w:val="1"/>
          <w:wAfter w:w="1575" w:type="dxa"/>
        </w:trPr>
        <w:tc>
          <w:tcPr>
            <w:tcW w:w="3544" w:type="dxa"/>
            <w:shd w:val="clear" w:color="auto" w:fill="auto"/>
          </w:tcPr>
          <w:p w14:paraId="2957A73A" w14:textId="77777777" w:rsidR="00322294" w:rsidRPr="00731814" w:rsidRDefault="00322294" w:rsidP="00B97EED">
            <w:pPr>
              <w:rPr>
                <w:rFonts w:cs="Calibri"/>
              </w:rPr>
            </w:pPr>
            <w:r w:rsidRPr="00731814">
              <w:rPr>
                <w:rFonts w:cs="Calibri"/>
              </w:rPr>
              <w:t xml:space="preserve">   Not circumcised</w:t>
            </w:r>
          </w:p>
        </w:tc>
        <w:tc>
          <w:tcPr>
            <w:tcW w:w="1418" w:type="dxa"/>
            <w:shd w:val="clear" w:color="auto" w:fill="auto"/>
          </w:tcPr>
          <w:p w14:paraId="22B72CEC" w14:textId="77777777" w:rsidR="00322294" w:rsidRPr="00731814" w:rsidRDefault="00322294" w:rsidP="00B97EED">
            <w:pPr>
              <w:jc w:val="center"/>
              <w:rPr>
                <w:rFonts w:cs="Calibri"/>
              </w:rPr>
            </w:pPr>
            <w:r w:rsidRPr="00731814">
              <w:rPr>
                <w:rFonts w:cs="Calibri"/>
              </w:rPr>
              <w:t>49</w:t>
            </w:r>
          </w:p>
        </w:tc>
        <w:tc>
          <w:tcPr>
            <w:tcW w:w="3685" w:type="dxa"/>
            <w:shd w:val="clear" w:color="auto" w:fill="auto"/>
          </w:tcPr>
          <w:p w14:paraId="68430CD5" w14:textId="77777777" w:rsidR="00322294" w:rsidRPr="00731814" w:rsidRDefault="00322294" w:rsidP="00B97EED">
            <w:pPr>
              <w:jc w:val="center"/>
              <w:rPr>
                <w:rFonts w:cs="Calibri"/>
              </w:rPr>
            </w:pPr>
            <w:r>
              <w:rPr>
                <w:rFonts w:cs="Calibri"/>
              </w:rPr>
              <w:t>8.4</w:t>
            </w:r>
          </w:p>
        </w:tc>
      </w:tr>
      <w:tr w:rsidR="00322294" w:rsidRPr="006331DF" w14:paraId="67DA6955" w14:textId="77777777" w:rsidTr="00B97EED">
        <w:trPr>
          <w:gridAfter w:val="1"/>
          <w:wAfter w:w="1575" w:type="dxa"/>
        </w:trPr>
        <w:tc>
          <w:tcPr>
            <w:tcW w:w="3544" w:type="dxa"/>
            <w:tcBorders>
              <w:bottom w:val="single" w:sz="4" w:space="0" w:color="auto"/>
            </w:tcBorders>
            <w:shd w:val="clear" w:color="auto" w:fill="auto"/>
          </w:tcPr>
          <w:p w14:paraId="7524B8D1" w14:textId="77777777" w:rsidR="00322294" w:rsidRPr="006331DF" w:rsidRDefault="00322294" w:rsidP="00B97EED"/>
        </w:tc>
        <w:tc>
          <w:tcPr>
            <w:tcW w:w="1418" w:type="dxa"/>
            <w:tcBorders>
              <w:bottom w:val="single" w:sz="4" w:space="0" w:color="auto"/>
            </w:tcBorders>
            <w:shd w:val="clear" w:color="auto" w:fill="auto"/>
          </w:tcPr>
          <w:p w14:paraId="1CD31CA5" w14:textId="77777777" w:rsidR="00322294" w:rsidRPr="006331DF" w:rsidRDefault="00322294" w:rsidP="00B97EED">
            <w:pPr>
              <w:jc w:val="center"/>
            </w:pPr>
          </w:p>
        </w:tc>
        <w:tc>
          <w:tcPr>
            <w:tcW w:w="3685" w:type="dxa"/>
            <w:tcBorders>
              <w:bottom w:val="single" w:sz="4" w:space="0" w:color="auto"/>
            </w:tcBorders>
            <w:shd w:val="clear" w:color="auto" w:fill="auto"/>
          </w:tcPr>
          <w:p w14:paraId="69FE9D03" w14:textId="77777777" w:rsidR="00322294" w:rsidRPr="006331DF" w:rsidRDefault="00322294" w:rsidP="00B97EED">
            <w:pPr>
              <w:jc w:val="center"/>
            </w:pPr>
          </w:p>
        </w:tc>
      </w:tr>
    </w:tbl>
    <w:p w14:paraId="4107DBA3" w14:textId="77777777" w:rsidR="00322294" w:rsidRDefault="00322294" w:rsidP="00322294">
      <w:pPr>
        <w:ind w:left="-709"/>
        <w:rPr>
          <w:sz w:val="20"/>
          <w:szCs w:val="20"/>
        </w:rPr>
      </w:pPr>
      <w:r>
        <w:rPr>
          <w:sz w:val="20"/>
          <w:szCs w:val="20"/>
        </w:rPr>
        <w:tab/>
        <w:t xml:space="preserve">*Missing from 200 participants who reported not to be sexually active in the past 12 months; **This information was obtained from men only </w:t>
      </w:r>
    </w:p>
    <w:p w14:paraId="605BF453" w14:textId="291ACB2A" w:rsidR="00322294" w:rsidRDefault="00322294" w:rsidP="005929D7">
      <w:pPr>
        <w:spacing w:after="0" w:line="240" w:lineRule="auto"/>
        <w:rPr>
          <w:rFonts w:cs="Arial"/>
          <w:b/>
          <w:bCs/>
        </w:rPr>
      </w:pPr>
    </w:p>
    <w:p w14:paraId="03F0CC33" w14:textId="0C3B3541" w:rsidR="00322294" w:rsidRDefault="00322294">
      <w:pPr>
        <w:spacing w:after="160" w:line="259" w:lineRule="auto"/>
        <w:rPr>
          <w:rFonts w:cs="Arial"/>
          <w:b/>
          <w:bCs/>
        </w:rPr>
      </w:pPr>
      <w:r>
        <w:rPr>
          <w:rFonts w:cs="Arial"/>
          <w:b/>
          <w:bCs/>
        </w:rPr>
        <w:br w:type="page"/>
      </w:r>
    </w:p>
    <w:p w14:paraId="586ACC4A" w14:textId="7BD1FBBB" w:rsidR="00322294" w:rsidRDefault="00322294" w:rsidP="00322294">
      <w:r w:rsidRPr="00322294">
        <w:rPr>
          <w:noProof/>
        </w:rPr>
        <w:drawing>
          <wp:inline distT="0" distB="0" distL="0" distR="0" wp14:anchorId="733D8D2A" wp14:editId="019B66BD">
            <wp:extent cx="6428572" cy="2481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35876" cy="2523002"/>
                    </a:xfrm>
                    <a:prstGeom prst="rect">
                      <a:avLst/>
                    </a:prstGeom>
                  </pic:spPr>
                </pic:pic>
              </a:graphicData>
            </a:graphic>
          </wp:inline>
        </w:drawing>
      </w:r>
    </w:p>
    <w:p w14:paraId="41B33AFB" w14:textId="6431B441" w:rsidR="00322294" w:rsidRDefault="00322294" w:rsidP="00322294"/>
    <w:tbl>
      <w:tblPr>
        <w:tblW w:w="10980" w:type="dxa"/>
        <w:tblInd w:w="-792" w:type="dxa"/>
        <w:tblLayout w:type="fixed"/>
        <w:tblLook w:val="01E0" w:firstRow="1" w:lastRow="1" w:firstColumn="1" w:lastColumn="1" w:noHBand="0" w:noVBand="0"/>
      </w:tblPr>
      <w:tblGrid>
        <w:gridCol w:w="3472"/>
        <w:gridCol w:w="776"/>
        <w:gridCol w:w="972"/>
        <w:gridCol w:w="1980"/>
        <w:gridCol w:w="900"/>
        <w:gridCol w:w="1980"/>
        <w:gridCol w:w="900"/>
      </w:tblGrid>
      <w:tr w:rsidR="00322294" w:rsidRPr="00731814" w14:paraId="68B60911" w14:textId="77777777" w:rsidTr="00B97EED">
        <w:tc>
          <w:tcPr>
            <w:tcW w:w="10980" w:type="dxa"/>
            <w:gridSpan w:val="7"/>
            <w:tcBorders>
              <w:bottom w:val="single" w:sz="4" w:space="0" w:color="auto"/>
            </w:tcBorders>
            <w:shd w:val="clear" w:color="auto" w:fill="auto"/>
          </w:tcPr>
          <w:p w14:paraId="796D375B" w14:textId="77777777" w:rsidR="00322294" w:rsidRPr="00731814" w:rsidRDefault="00322294" w:rsidP="00B97EED">
            <w:pPr>
              <w:rPr>
                <w:rFonts w:cs="Calibri"/>
                <w:b/>
                <w:bCs/>
              </w:rPr>
            </w:pPr>
            <w:r w:rsidRPr="00731814">
              <w:rPr>
                <w:rFonts w:cs="Calibri"/>
                <w:b/>
                <w:bCs/>
              </w:rPr>
              <w:t xml:space="preserve">Table </w:t>
            </w:r>
            <w:r>
              <w:rPr>
                <w:rFonts w:cs="Calibri"/>
                <w:b/>
                <w:bCs/>
              </w:rPr>
              <w:t>3</w:t>
            </w:r>
            <w:r w:rsidRPr="00731814">
              <w:rPr>
                <w:rFonts w:cs="Calibri"/>
                <w:b/>
                <w:bCs/>
              </w:rPr>
              <w:t xml:space="preserve">. Associations between HIV infection and sociodemographic, </w:t>
            </w:r>
            <w:proofErr w:type="spellStart"/>
            <w:r w:rsidRPr="00731814">
              <w:rPr>
                <w:rFonts w:cs="Calibri"/>
                <w:b/>
                <w:bCs/>
              </w:rPr>
              <w:t>behavioural</w:t>
            </w:r>
            <w:proofErr w:type="spellEnd"/>
            <w:r w:rsidRPr="00731814">
              <w:rPr>
                <w:rFonts w:cs="Calibri"/>
                <w:b/>
                <w:bCs/>
              </w:rPr>
              <w:t xml:space="preserve"> and clinical factors among fishing communities around Lake Victoria in NW Tanzania</w:t>
            </w:r>
          </w:p>
          <w:p w14:paraId="6DF19A36" w14:textId="77777777" w:rsidR="00322294" w:rsidRPr="00731814" w:rsidRDefault="00322294" w:rsidP="00B97EED">
            <w:pPr>
              <w:rPr>
                <w:rFonts w:cs="Calibri"/>
                <w:b/>
                <w:bCs/>
              </w:rPr>
            </w:pPr>
          </w:p>
        </w:tc>
      </w:tr>
      <w:tr w:rsidR="00322294" w:rsidRPr="00731814" w14:paraId="12E36330" w14:textId="77777777" w:rsidTr="00B97EED">
        <w:tc>
          <w:tcPr>
            <w:tcW w:w="3472" w:type="dxa"/>
            <w:tcBorders>
              <w:top w:val="single" w:sz="4" w:space="0" w:color="auto"/>
              <w:bottom w:val="single" w:sz="4" w:space="0" w:color="auto"/>
            </w:tcBorders>
            <w:shd w:val="clear" w:color="auto" w:fill="auto"/>
          </w:tcPr>
          <w:p w14:paraId="2A86D055" w14:textId="77777777" w:rsidR="00322294" w:rsidRPr="00731814" w:rsidRDefault="00322294" w:rsidP="00B97EED">
            <w:pPr>
              <w:rPr>
                <w:rFonts w:cs="Calibri"/>
              </w:rPr>
            </w:pPr>
          </w:p>
        </w:tc>
        <w:tc>
          <w:tcPr>
            <w:tcW w:w="776" w:type="dxa"/>
            <w:tcBorders>
              <w:top w:val="single" w:sz="4" w:space="0" w:color="auto"/>
              <w:bottom w:val="single" w:sz="4" w:space="0" w:color="auto"/>
            </w:tcBorders>
            <w:shd w:val="clear" w:color="auto" w:fill="auto"/>
            <w:vAlign w:val="bottom"/>
          </w:tcPr>
          <w:p w14:paraId="10F309B9" w14:textId="77777777" w:rsidR="00322294" w:rsidRPr="00731814" w:rsidRDefault="00322294" w:rsidP="00B97EED">
            <w:pPr>
              <w:jc w:val="center"/>
              <w:rPr>
                <w:rFonts w:cs="Calibri"/>
                <w:b/>
              </w:rPr>
            </w:pPr>
          </w:p>
          <w:p w14:paraId="56C8C490" w14:textId="77777777" w:rsidR="00322294" w:rsidRPr="00731814" w:rsidRDefault="00322294" w:rsidP="00B97EED">
            <w:pPr>
              <w:jc w:val="center"/>
              <w:rPr>
                <w:rFonts w:cs="Calibri"/>
                <w:b/>
              </w:rPr>
            </w:pPr>
            <w:r w:rsidRPr="00731814">
              <w:rPr>
                <w:rFonts w:cs="Calibri"/>
                <w:b/>
              </w:rPr>
              <w:t>N</w:t>
            </w:r>
          </w:p>
        </w:tc>
        <w:tc>
          <w:tcPr>
            <w:tcW w:w="972" w:type="dxa"/>
            <w:tcBorders>
              <w:top w:val="single" w:sz="4" w:space="0" w:color="auto"/>
              <w:bottom w:val="single" w:sz="4" w:space="0" w:color="auto"/>
            </w:tcBorders>
            <w:shd w:val="clear" w:color="auto" w:fill="auto"/>
            <w:vAlign w:val="bottom"/>
          </w:tcPr>
          <w:p w14:paraId="6F29B7A7" w14:textId="77777777" w:rsidR="00322294" w:rsidRPr="00731814" w:rsidRDefault="00322294" w:rsidP="00B97EED">
            <w:pPr>
              <w:jc w:val="center"/>
              <w:rPr>
                <w:rFonts w:cs="Calibri"/>
                <w:b/>
              </w:rPr>
            </w:pPr>
            <w:r w:rsidRPr="00731814">
              <w:rPr>
                <w:rFonts w:cs="Calibri"/>
                <w:b/>
              </w:rPr>
              <w:t>HIV+</w:t>
            </w:r>
          </w:p>
          <w:p w14:paraId="2E777EBA" w14:textId="77777777" w:rsidR="00322294" w:rsidRPr="00731814" w:rsidRDefault="00322294" w:rsidP="00B97EED">
            <w:pPr>
              <w:jc w:val="center"/>
              <w:rPr>
                <w:rFonts w:cs="Calibri"/>
                <w:b/>
              </w:rPr>
            </w:pPr>
            <w:r w:rsidRPr="00731814">
              <w:rPr>
                <w:rFonts w:cs="Calibri"/>
                <w:b/>
              </w:rPr>
              <w:t>n (%)</w:t>
            </w:r>
          </w:p>
        </w:tc>
        <w:tc>
          <w:tcPr>
            <w:tcW w:w="1980" w:type="dxa"/>
            <w:tcBorders>
              <w:top w:val="single" w:sz="4" w:space="0" w:color="auto"/>
              <w:bottom w:val="single" w:sz="4" w:space="0" w:color="auto"/>
            </w:tcBorders>
            <w:shd w:val="clear" w:color="auto" w:fill="auto"/>
            <w:vAlign w:val="bottom"/>
          </w:tcPr>
          <w:p w14:paraId="39455F31" w14:textId="77777777" w:rsidR="00322294" w:rsidRPr="00731814" w:rsidRDefault="00322294" w:rsidP="00B97EED">
            <w:pPr>
              <w:jc w:val="center"/>
              <w:rPr>
                <w:rFonts w:cs="Calibri"/>
                <w:b/>
              </w:rPr>
            </w:pPr>
            <w:r w:rsidRPr="00731814">
              <w:rPr>
                <w:rFonts w:cs="Calibri"/>
                <w:b/>
              </w:rPr>
              <w:t>Odds ratio</w:t>
            </w:r>
          </w:p>
          <w:p w14:paraId="3561A86D" w14:textId="77777777" w:rsidR="00322294" w:rsidRPr="00731814" w:rsidRDefault="00322294" w:rsidP="00B97EED">
            <w:pPr>
              <w:jc w:val="center"/>
              <w:rPr>
                <w:rFonts w:cs="Calibri"/>
                <w:b/>
              </w:rPr>
            </w:pPr>
            <w:r w:rsidRPr="00731814">
              <w:rPr>
                <w:rFonts w:cs="Calibri"/>
                <w:b/>
              </w:rPr>
              <w:t>(95% CI)</w:t>
            </w:r>
          </w:p>
        </w:tc>
        <w:tc>
          <w:tcPr>
            <w:tcW w:w="900" w:type="dxa"/>
            <w:tcBorders>
              <w:top w:val="single" w:sz="4" w:space="0" w:color="auto"/>
              <w:bottom w:val="single" w:sz="4" w:space="0" w:color="auto"/>
            </w:tcBorders>
            <w:shd w:val="clear" w:color="auto" w:fill="auto"/>
            <w:vAlign w:val="bottom"/>
          </w:tcPr>
          <w:p w14:paraId="7E873E54" w14:textId="77777777" w:rsidR="00322294" w:rsidRPr="00731814" w:rsidRDefault="00322294" w:rsidP="00B97EED">
            <w:pPr>
              <w:jc w:val="center"/>
              <w:rPr>
                <w:rFonts w:cs="Calibri"/>
                <w:b/>
              </w:rPr>
            </w:pPr>
            <w:r w:rsidRPr="00731814">
              <w:rPr>
                <w:rFonts w:cs="Calibri"/>
                <w:b/>
              </w:rPr>
              <w:t>p</w:t>
            </w:r>
          </w:p>
        </w:tc>
        <w:tc>
          <w:tcPr>
            <w:tcW w:w="1980" w:type="dxa"/>
            <w:tcBorders>
              <w:top w:val="single" w:sz="4" w:space="0" w:color="auto"/>
              <w:bottom w:val="single" w:sz="4" w:space="0" w:color="auto"/>
            </w:tcBorders>
            <w:shd w:val="clear" w:color="auto" w:fill="auto"/>
            <w:vAlign w:val="bottom"/>
          </w:tcPr>
          <w:p w14:paraId="256F0977" w14:textId="77777777" w:rsidR="00322294" w:rsidRPr="00731814" w:rsidRDefault="00322294" w:rsidP="00B97EED">
            <w:pPr>
              <w:jc w:val="center"/>
              <w:rPr>
                <w:rFonts w:cs="Calibri"/>
                <w:b/>
              </w:rPr>
            </w:pPr>
            <w:r w:rsidRPr="00731814">
              <w:rPr>
                <w:rFonts w:cs="Calibri"/>
                <w:b/>
              </w:rPr>
              <w:t xml:space="preserve">Adjusted odds ratio (95% CI) </w:t>
            </w:r>
            <w:r w:rsidRPr="00731814">
              <w:rPr>
                <w:rFonts w:cs="Calibri"/>
              </w:rPr>
              <w:t>§</w:t>
            </w:r>
          </w:p>
        </w:tc>
        <w:tc>
          <w:tcPr>
            <w:tcW w:w="900" w:type="dxa"/>
            <w:tcBorders>
              <w:top w:val="single" w:sz="4" w:space="0" w:color="auto"/>
              <w:bottom w:val="single" w:sz="4" w:space="0" w:color="auto"/>
            </w:tcBorders>
            <w:shd w:val="clear" w:color="auto" w:fill="auto"/>
            <w:vAlign w:val="bottom"/>
          </w:tcPr>
          <w:p w14:paraId="2FCAD1E7" w14:textId="77777777" w:rsidR="00322294" w:rsidRPr="00731814" w:rsidRDefault="00322294" w:rsidP="00B97EED">
            <w:pPr>
              <w:jc w:val="center"/>
              <w:rPr>
                <w:rFonts w:cs="Calibri"/>
                <w:b/>
              </w:rPr>
            </w:pPr>
            <w:r w:rsidRPr="00731814">
              <w:rPr>
                <w:rFonts w:cs="Calibri"/>
                <w:b/>
              </w:rPr>
              <w:t>p</w:t>
            </w:r>
          </w:p>
        </w:tc>
      </w:tr>
      <w:tr w:rsidR="00322294" w:rsidRPr="00731814" w14:paraId="3884D00C" w14:textId="77777777" w:rsidTr="00B97EED">
        <w:tc>
          <w:tcPr>
            <w:tcW w:w="3472" w:type="dxa"/>
            <w:tcBorders>
              <w:top w:val="single" w:sz="4" w:space="0" w:color="auto"/>
            </w:tcBorders>
            <w:shd w:val="clear" w:color="auto" w:fill="auto"/>
          </w:tcPr>
          <w:p w14:paraId="3860DADD" w14:textId="77777777" w:rsidR="00322294" w:rsidRPr="00731814" w:rsidRDefault="00322294" w:rsidP="00B97EED">
            <w:pPr>
              <w:rPr>
                <w:rFonts w:cs="Calibri"/>
                <w:b/>
              </w:rPr>
            </w:pPr>
          </w:p>
        </w:tc>
        <w:tc>
          <w:tcPr>
            <w:tcW w:w="776" w:type="dxa"/>
            <w:tcBorders>
              <w:top w:val="single" w:sz="4" w:space="0" w:color="auto"/>
            </w:tcBorders>
            <w:shd w:val="clear" w:color="auto" w:fill="auto"/>
          </w:tcPr>
          <w:p w14:paraId="76B9337D" w14:textId="77777777" w:rsidR="00322294" w:rsidRPr="00731814" w:rsidRDefault="00322294" w:rsidP="00B97EED">
            <w:pPr>
              <w:jc w:val="center"/>
              <w:rPr>
                <w:rFonts w:cs="Calibri"/>
              </w:rPr>
            </w:pPr>
          </w:p>
        </w:tc>
        <w:tc>
          <w:tcPr>
            <w:tcW w:w="972" w:type="dxa"/>
            <w:tcBorders>
              <w:top w:val="single" w:sz="4" w:space="0" w:color="auto"/>
            </w:tcBorders>
            <w:shd w:val="clear" w:color="auto" w:fill="auto"/>
          </w:tcPr>
          <w:p w14:paraId="39F92F22" w14:textId="77777777" w:rsidR="00322294" w:rsidRPr="00731814" w:rsidRDefault="00322294" w:rsidP="00B97EED">
            <w:pPr>
              <w:jc w:val="center"/>
              <w:rPr>
                <w:rFonts w:cs="Calibri"/>
              </w:rPr>
            </w:pPr>
          </w:p>
        </w:tc>
        <w:tc>
          <w:tcPr>
            <w:tcW w:w="1980" w:type="dxa"/>
            <w:tcBorders>
              <w:top w:val="single" w:sz="4" w:space="0" w:color="auto"/>
            </w:tcBorders>
            <w:shd w:val="clear" w:color="auto" w:fill="auto"/>
          </w:tcPr>
          <w:p w14:paraId="2791F469" w14:textId="77777777" w:rsidR="00322294" w:rsidRPr="00731814" w:rsidRDefault="00322294" w:rsidP="00B97EED">
            <w:pPr>
              <w:jc w:val="center"/>
              <w:rPr>
                <w:rFonts w:cs="Calibri"/>
              </w:rPr>
            </w:pPr>
          </w:p>
        </w:tc>
        <w:tc>
          <w:tcPr>
            <w:tcW w:w="900" w:type="dxa"/>
            <w:tcBorders>
              <w:top w:val="single" w:sz="4" w:space="0" w:color="auto"/>
            </w:tcBorders>
            <w:shd w:val="clear" w:color="auto" w:fill="auto"/>
          </w:tcPr>
          <w:p w14:paraId="255A1772" w14:textId="77777777" w:rsidR="00322294" w:rsidRPr="00731814" w:rsidRDefault="00322294" w:rsidP="00B97EED">
            <w:pPr>
              <w:jc w:val="center"/>
              <w:rPr>
                <w:rFonts w:cs="Calibri"/>
              </w:rPr>
            </w:pPr>
          </w:p>
        </w:tc>
        <w:tc>
          <w:tcPr>
            <w:tcW w:w="1980" w:type="dxa"/>
            <w:tcBorders>
              <w:top w:val="single" w:sz="4" w:space="0" w:color="auto"/>
            </w:tcBorders>
            <w:shd w:val="clear" w:color="auto" w:fill="auto"/>
          </w:tcPr>
          <w:p w14:paraId="0C4225D7" w14:textId="77777777" w:rsidR="00322294" w:rsidRPr="00731814" w:rsidRDefault="00322294" w:rsidP="00B97EED">
            <w:pPr>
              <w:jc w:val="center"/>
              <w:rPr>
                <w:rFonts w:cs="Calibri"/>
              </w:rPr>
            </w:pPr>
          </w:p>
        </w:tc>
        <w:tc>
          <w:tcPr>
            <w:tcW w:w="900" w:type="dxa"/>
            <w:tcBorders>
              <w:top w:val="single" w:sz="4" w:space="0" w:color="auto"/>
            </w:tcBorders>
            <w:shd w:val="clear" w:color="auto" w:fill="auto"/>
          </w:tcPr>
          <w:p w14:paraId="60B27023" w14:textId="77777777" w:rsidR="00322294" w:rsidRPr="00731814" w:rsidRDefault="00322294" w:rsidP="00B97EED">
            <w:pPr>
              <w:jc w:val="center"/>
              <w:rPr>
                <w:rFonts w:cs="Calibri"/>
              </w:rPr>
            </w:pPr>
          </w:p>
        </w:tc>
      </w:tr>
      <w:tr w:rsidR="00322294" w:rsidRPr="00731814" w14:paraId="3C214920" w14:textId="77777777" w:rsidTr="00B97EED">
        <w:tc>
          <w:tcPr>
            <w:tcW w:w="4248" w:type="dxa"/>
            <w:gridSpan w:val="2"/>
            <w:shd w:val="clear" w:color="auto" w:fill="D9D9D9"/>
          </w:tcPr>
          <w:p w14:paraId="5A2E3453" w14:textId="77777777" w:rsidR="00322294" w:rsidRPr="00731814" w:rsidRDefault="00322294" w:rsidP="00B97EED">
            <w:pPr>
              <w:rPr>
                <w:rFonts w:cs="Calibri"/>
              </w:rPr>
            </w:pPr>
            <w:r w:rsidRPr="00731814">
              <w:rPr>
                <w:rFonts w:cs="Calibri"/>
                <w:b/>
              </w:rPr>
              <w:t>SOCIO-DEMOGRAPHIC FACTORS</w:t>
            </w:r>
          </w:p>
        </w:tc>
        <w:tc>
          <w:tcPr>
            <w:tcW w:w="972" w:type="dxa"/>
            <w:shd w:val="clear" w:color="auto" w:fill="D9D9D9"/>
          </w:tcPr>
          <w:p w14:paraId="399A376F" w14:textId="77777777" w:rsidR="00322294" w:rsidRPr="00731814" w:rsidRDefault="00322294" w:rsidP="00B97EED">
            <w:pPr>
              <w:jc w:val="center"/>
              <w:rPr>
                <w:rFonts w:cs="Calibri"/>
              </w:rPr>
            </w:pPr>
          </w:p>
        </w:tc>
        <w:tc>
          <w:tcPr>
            <w:tcW w:w="1980" w:type="dxa"/>
            <w:shd w:val="clear" w:color="auto" w:fill="D9D9D9"/>
          </w:tcPr>
          <w:p w14:paraId="6C4D6AA6" w14:textId="77777777" w:rsidR="00322294" w:rsidRPr="00731814" w:rsidRDefault="00322294" w:rsidP="00B97EED">
            <w:pPr>
              <w:jc w:val="center"/>
              <w:rPr>
                <w:rFonts w:cs="Calibri"/>
              </w:rPr>
            </w:pPr>
          </w:p>
        </w:tc>
        <w:tc>
          <w:tcPr>
            <w:tcW w:w="900" w:type="dxa"/>
            <w:shd w:val="clear" w:color="auto" w:fill="D9D9D9"/>
          </w:tcPr>
          <w:p w14:paraId="71014D86" w14:textId="77777777" w:rsidR="00322294" w:rsidRPr="00731814" w:rsidRDefault="00322294" w:rsidP="00B97EED">
            <w:pPr>
              <w:jc w:val="center"/>
              <w:rPr>
                <w:rFonts w:cs="Calibri"/>
              </w:rPr>
            </w:pPr>
          </w:p>
        </w:tc>
        <w:tc>
          <w:tcPr>
            <w:tcW w:w="1980" w:type="dxa"/>
            <w:shd w:val="clear" w:color="auto" w:fill="D9D9D9"/>
          </w:tcPr>
          <w:p w14:paraId="5A080B2F" w14:textId="77777777" w:rsidR="00322294" w:rsidRPr="00731814" w:rsidRDefault="00322294" w:rsidP="00B97EED">
            <w:pPr>
              <w:jc w:val="center"/>
              <w:rPr>
                <w:rFonts w:cs="Calibri"/>
              </w:rPr>
            </w:pPr>
          </w:p>
        </w:tc>
        <w:tc>
          <w:tcPr>
            <w:tcW w:w="900" w:type="dxa"/>
            <w:shd w:val="clear" w:color="auto" w:fill="D9D9D9"/>
          </w:tcPr>
          <w:p w14:paraId="01A1ED82" w14:textId="77777777" w:rsidR="00322294" w:rsidRPr="00731814" w:rsidRDefault="00322294" w:rsidP="00B97EED">
            <w:pPr>
              <w:jc w:val="center"/>
              <w:rPr>
                <w:rFonts w:cs="Calibri"/>
              </w:rPr>
            </w:pPr>
          </w:p>
        </w:tc>
      </w:tr>
      <w:tr w:rsidR="00322294" w:rsidRPr="00731814" w14:paraId="6B58A26A" w14:textId="77777777" w:rsidTr="00B97EED">
        <w:tc>
          <w:tcPr>
            <w:tcW w:w="3472" w:type="dxa"/>
            <w:shd w:val="clear" w:color="auto" w:fill="auto"/>
          </w:tcPr>
          <w:p w14:paraId="63FF339B" w14:textId="77777777" w:rsidR="00322294" w:rsidRPr="00731814" w:rsidRDefault="00322294" w:rsidP="00B97EED">
            <w:pPr>
              <w:rPr>
                <w:rFonts w:cs="Calibri"/>
                <w:b/>
              </w:rPr>
            </w:pPr>
            <w:r w:rsidRPr="00731814">
              <w:rPr>
                <w:rFonts w:cs="Calibri"/>
                <w:b/>
              </w:rPr>
              <w:t>Sex</w:t>
            </w:r>
          </w:p>
        </w:tc>
        <w:tc>
          <w:tcPr>
            <w:tcW w:w="776" w:type="dxa"/>
            <w:shd w:val="clear" w:color="auto" w:fill="auto"/>
          </w:tcPr>
          <w:p w14:paraId="506BA497" w14:textId="77777777" w:rsidR="00322294" w:rsidRPr="00731814" w:rsidRDefault="00322294" w:rsidP="00B97EED">
            <w:pPr>
              <w:jc w:val="center"/>
              <w:rPr>
                <w:rFonts w:cs="Calibri"/>
              </w:rPr>
            </w:pPr>
          </w:p>
        </w:tc>
        <w:tc>
          <w:tcPr>
            <w:tcW w:w="972" w:type="dxa"/>
            <w:shd w:val="clear" w:color="auto" w:fill="auto"/>
          </w:tcPr>
          <w:p w14:paraId="4C96022E" w14:textId="77777777" w:rsidR="00322294" w:rsidRPr="00731814" w:rsidRDefault="00322294" w:rsidP="00B97EED">
            <w:pPr>
              <w:jc w:val="center"/>
              <w:rPr>
                <w:rFonts w:cs="Calibri"/>
              </w:rPr>
            </w:pPr>
          </w:p>
        </w:tc>
        <w:tc>
          <w:tcPr>
            <w:tcW w:w="1980" w:type="dxa"/>
            <w:shd w:val="clear" w:color="auto" w:fill="auto"/>
          </w:tcPr>
          <w:p w14:paraId="31DE89EF" w14:textId="77777777" w:rsidR="00322294" w:rsidRPr="00731814" w:rsidRDefault="00322294" w:rsidP="00B97EED">
            <w:pPr>
              <w:jc w:val="center"/>
              <w:rPr>
                <w:rFonts w:cs="Calibri"/>
              </w:rPr>
            </w:pPr>
          </w:p>
        </w:tc>
        <w:tc>
          <w:tcPr>
            <w:tcW w:w="900" w:type="dxa"/>
            <w:shd w:val="clear" w:color="auto" w:fill="auto"/>
            <w:vAlign w:val="bottom"/>
          </w:tcPr>
          <w:p w14:paraId="415E6CE4" w14:textId="77777777" w:rsidR="00322294" w:rsidRPr="00731814" w:rsidRDefault="00322294" w:rsidP="00B97EED">
            <w:pPr>
              <w:rPr>
                <w:rFonts w:cs="Calibri"/>
                <w:lang w:eastAsia="en-GB"/>
              </w:rPr>
            </w:pPr>
          </w:p>
        </w:tc>
        <w:tc>
          <w:tcPr>
            <w:tcW w:w="1980" w:type="dxa"/>
            <w:shd w:val="clear" w:color="auto" w:fill="auto"/>
          </w:tcPr>
          <w:p w14:paraId="5E844337" w14:textId="77777777" w:rsidR="00322294" w:rsidRPr="00731814" w:rsidRDefault="00322294" w:rsidP="00B97EED">
            <w:pPr>
              <w:jc w:val="center"/>
              <w:rPr>
                <w:rFonts w:cs="Calibri"/>
              </w:rPr>
            </w:pPr>
          </w:p>
        </w:tc>
        <w:tc>
          <w:tcPr>
            <w:tcW w:w="900" w:type="dxa"/>
            <w:shd w:val="clear" w:color="auto" w:fill="auto"/>
          </w:tcPr>
          <w:p w14:paraId="13136D66" w14:textId="77777777" w:rsidR="00322294" w:rsidRPr="00731814" w:rsidRDefault="00322294" w:rsidP="00B97EED">
            <w:pPr>
              <w:jc w:val="center"/>
              <w:rPr>
                <w:rFonts w:cs="Calibri"/>
              </w:rPr>
            </w:pPr>
          </w:p>
        </w:tc>
      </w:tr>
      <w:tr w:rsidR="00322294" w:rsidRPr="00731814" w14:paraId="695A2E95" w14:textId="77777777" w:rsidTr="00B97EED">
        <w:tc>
          <w:tcPr>
            <w:tcW w:w="3472" w:type="dxa"/>
            <w:shd w:val="clear" w:color="auto" w:fill="auto"/>
          </w:tcPr>
          <w:p w14:paraId="425BBDD6" w14:textId="77777777" w:rsidR="00322294" w:rsidRPr="00731814" w:rsidRDefault="00322294" w:rsidP="00B97EED">
            <w:pPr>
              <w:rPr>
                <w:rFonts w:cs="Calibri"/>
              </w:rPr>
            </w:pPr>
            <w:r w:rsidRPr="00731814">
              <w:rPr>
                <w:rFonts w:cs="Calibri"/>
              </w:rPr>
              <w:t xml:space="preserve">   Male</w:t>
            </w:r>
          </w:p>
        </w:tc>
        <w:tc>
          <w:tcPr>
            <w:tcW w:w="776" w:type="dxa"/>
            <w:shd w:val="clear" w:color="auto" w:fill="auto"/>
          </w:tcPr>
          <w:p w14:paraId="548E8200" w14:textId="77777777" w:rsidR="00322294" w:rsidRPr="00731814" w:rsidRDefault="00322294" w:rsidP="00B97EED">
            <w:pPr>
              <w:jc w:val="center"/>
              <w:rPr>
                <w:rFonts w:cs="Calibri"/>
              </w:rPr>
            </w:pPr>
            <w:r w:rsidRPr="00731814">
              <w:rPr>
                <w:rFonts w:cs="Calibri"/>
              </w:rPr>
              <w:t>584</w:t>
            </w:r>
          </w:p>
        </w:tc>
        <w:tc>
          <w:tcPr>
            <w:tcW w:w="972" w:type="dxa"/>
            <w:shd w:val="clear" w:color="auto" w:fill="auto"/>
          </w:tcPr>
          <w:p w14:paraId="7A1E09DF" w14:textId="77777777" w:rsidR="00322294" w:rsidRPr="00731814" w:rsidRDefault="00322294" w:rsidP="00B97EED">
            <w:pPr>
              <w:jc w:val="center"/>
              <w:rPr>
                <w:rFonts w:cs="Calibri"/>
              </w:rPr>
            </w:pPr>
            <w:r w:rsidRPr="00731814">
              <w:rPr>
                <w:rFonts w:cs="Calibri"/>
              </w:rPr>
              <w:t xml:space="preserve">  43 </w:t>
            </w:r>
            <w:proofErr w:type="gramStart"/>
            <w:r w:rsidRPr="00731814">
              <w:rPr>
                <w:rFonts w:cs="Calibri"/>
              </w:rPr>
              <w:t>(  7</w:t>
            </w:r>
            <w:proofErr w:type="gramEnd"/>
            <w:r w:rsidRPr="00731814">
              <w:rPr>
                <w:rFonts w:cs="Calibri"/>
              </w:rPr>
              <w:t>)</w:t>
            </w:r>
          </w:p>
        </w:tc>
        <w:tc>
          <w:tcPr>
            <w:tcW w:w="1980" w:type="dxa"/>
            <w:shd w:val="clear" w:color="auto" w:fill="auto"/>
          </w:tcPr>
          <w:p w14:paraId="6D6DA1FA"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21EBD84D"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6FD5CBC6"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77F767E8" w14:textId="77777777" w:rsidR="00322294" w:rsidRPr="00731814" w:rsidRDefault="00322294" w:rsidP="00B97EED">
            <w:pPr>
              <w:jc w:val="center"/>
              <w:rPr>
                <w:rFonts w:cs="Calibri"/>
              </w:rPr>
            </w:pPr>
            <w:r w:rsidRPr="00731814">
              <w:rPr>
                <w:rFonts w:cs="Calibri"/>
              </w:rPr>
              <w:t>0.040</w:t>
            </w:r>
          </w:p>
        </w:tc>
      </w:tr>
      <w:tr w:rsidR="00322294" w:rsidRPr="00731814" w14:paraId="62EA92A6" w14:textId="77777777" w:rsidTr="00B97EED">
        <w:tc>
          <w:tcPr>
            <w:tcW w:w="3472" w:type="dxa"/>
            <w:shd w:val="clear" w:color="auto" w:fill="auto"/>
          </w:tcPr>
          <w:p w14:paraId="43B9FB58" w14:textId="77777777" w:rsidR="00322294" w:rsidRPr="00731814" w:rsidRDefault="00322294" w:rsidP="00B97EED">
            <w:pPr>
              <w:rPr>
                <w:rFonts w:cs="Calibri"/>
              </w:rPr>
            </w:pPr>
            <w:r w:rsidRPr="00731814">
              <w:rPr>
                <w:rFonts w:cs="Calibri"/>
              </w:rPr>
              <w:t xml:space="preserve">   Female </w:t>
            </w:r>
          </w:p>
        </w:tc>
        <w:tc>
          <w:tcPr>
            <w:tcW w:w="776" w:type="dxa"/>
            <w:shd w:val="clear" w:color="auto" w:fill="auto"/>
          </w:tcPr>
          <w:p w14:paraId="50EC4A6A" w14:textId="77777777" w:rsidR="00322294" w:rsidRPr="00731814" w:rsidRDefault="00322294" w:rsidP="00B97EED">
            <w:pPr>
              <w:jc w:val="center"/>
              <w:rPr>
                <w:rFonts w:cs="Calibri"/>
              </w:rPr>
            </w:pPr>
            <w:r w:rsidRPr="00731814">
              <w:rPr>
                <w:rFonts w:cs="Calibri"/>
              </w:rPr>
              <w:t>537</w:t>
            </w:r>
          </w:p>
        </w:tc>
        <w:tc>
          <w:tcPr>
            <w:tcW w:w="972" w:type="dxa"/>
            <w:shd w:val="clear" w:color="auto" w:fill="auto"/>
          </w:tcPr>
          <w:p w14:paraId="13EFB07C" w14:textId="77777777" w:rsidR="00322294" w:rsidRPr="00731814" w:rsidRDefault="00322294" w:rsidP="00B97EED">
            <w:pPr>
              <w:jc w:val="center"/>
              <w:rPr>
                <w:rFonts w:cs="Calibri"/>
              </w:rPr>
            </w:pPr>
            <w:r w:rsidRPr="00731814">
              <w:rPr>
                <w:rFonts w:cs="Calibri"/>
              </w:rPr>
              <w:t>116 (22)</w:t>
            </w:r>
          </w:p>
        </w:tc>
        <w:tc>
          <w:tcPr>
            <w:tcW w:w="1980" w:type="dxa"/>
            <w:shd w:val="clear" w:color="auto" w:fill="auto"/>
          </w:tcPr>
          <w:p w14:paraId="6D522EB4" w14:textId="77777777" w:rsidR="00322294" w:rsidRPr="00731814" w:rsidRDefault="00322294" w:rsidP="00B97EED">
            <w:pPr>
              <w:jc w:val="center"/>
              <w:rPr>
                <w:rFonts w:cs="Calibri"/>
                <w:color w:val="000000"/>
                <w:lang w:eastAsia="en-GB"/>
              </w:rPr>
            </w:pPr>
            <w:r w:rsidRPr="00731814">
              <w:rPr>
                <w:rFonts w:cs="Calibri"/>
                <w:color w:val="000000"/>
              </w:rPr>
              <w:t>3.47 (2.39 to 5.03)</w:t>
            </w:r>
          </w:p>
        </w:tc>
        <w:tc>
          <w:tcPr>
            <w:tcW w:w="900" w:type="dxa"/>
            <w:shd w:val="clear" w:color="auto" w:fill="auto"/>
            <w:vAlign w:val="bottom"/>
          </w:tcPr>
          <w:p w14:paraId="04D6AF4C" w14:textId="77777777" w:rsidR="00322294" w:rsidRPr="00731814" w:rsidRDefault="00322294" w:rsidP="00B97EED">
            <w:pPr>
              <w:jc w:val="center"/>
              <w:rPr>
                <w:rFonts w:cs="Calibri"/>
                <w:color w:val="000000"/>
              </w:rPr>
            </w:pPr>
          </w:p>
        </w:tc>
        <w:tc>
          <w:tcPr>
            <w:tcW w:w="1980" w:type="dxa"/>
            <w:shd w:val="clear" w:color="auto" w:fill="auto"/>
          </w:tcPr>
          <w:p w14:paraId="3B0FAC7C" w14:textId="77777777" w:rsidR="00322294" w:rsidRPr="00731814" w:rsidRDefault="00322294" w:rsidP="00B97EED">
            <w:pPr>
              <w:jc w:val="center"/>
              <w:rPr>
                <w:rFonts w:cs="Calibri"/>
              </w:rPr>
            </w:pPr>
            <w:r w:rsidRPr="00731814">
              <w:rPr>
                <w:rFonts w:cs="Calibri"/>
              </w:rPr>
              <w:t>2.01 (1.03 to 3.90)</w:t>
            </w:r>
          </w:p>
        </w:tc>
        <w:tc>
          <w:tcPr>
            <w:tcW w:w="900" w:type="dxa"/>
            <w:shd w:val="clear" w:color="auto" w:fill="auto"/>
          </w:tcPr>
          <w:p w14:paraId="6358DB86" w14:textId="77777777" w:rsidR="00322294" w:rsidRPr="00731814" w:rsidRDefault="00322294" w:rsidP="00B97EED">
            <w:pPr>
              <w:jc w:val="center"/>
              <w:rPr>
                <w:rFonts w:cs="Calibri"/>
              </w:rPr>
            </w:pPr>
          </w:p>
        </w:tc>
      </w:tr>
      <w:tr w:rsidR="00322294" w:rsidRPr="00731814" w14:paraId="1200EFEE" w14:textId="77777777" w:rsidTr="00B97EED">
        <w:tc>
          <w:tcPr>
            <w:tcW w:w="3472" w:type="dxa"/>
            <w:shd w:val="clear" w:color="auto" w:fill="auto"/>
          </w:tcPr>
          <w:p w14:paraId="5C08C484" w14:textId="77777777" w:rsidR="00322294" w:rsidRPr="00731814" w:rsidRDefault="00322294" w:rsidP="00B97EED">
            <w:pPr>
              <w:rPr>
                <w:rFonts w:cs="Calibri"/>
                <w:b/>
              </w:rPr>
            </w:pPr>
            <w:r w:rsidRPr="00731814">
              <w:rPr>
                <w:rFonts w:cs="Calibri"/>
                <w:b/>
              </w:rPr>
              <w:t>Population group</w:t>
            </w:r>
          </w:p>
        </w:tc>
        <w:tc>
          <w:tcPr>
            <w:tcW w:w="776" w:type="dxa"/>
            <w:shd w:val="clear" w:color="auto" w:fill="auto"/>
          </w:tcPr>
          <w:p w14:paraId="5767F077" w14:textId="77777777" w:rsidR="00322294" w:rsidRPr="00731814" w:rsidRDefault="00322294" w:rsidP="00B97EED">
            <w:pPr>
              <w:jc w:val="center"/>
              <w:rPr>
                <w:rFonts w:cs="Calibri"/>
              </w:rPr>
            </w:pPr>
          </w:p>
        </w:tc>
        <w:tc>
          <w:tcPr>
            <w:tcW w:w="972" w:type="dxa"/>
            <w:shd w:val="clear" w:color="auto" w:fill="auto"/>
          </w:tcPr>
          <w:p w14:paraId="4980F061" w14:textId="77777777" w:rsidR="00322294" w:rsidRPr="00731814" w:rsidRDefault="00322294" w:rsidP="00B97EED">
            <w:pPr>
              <w:jc w:val="center"/>
              <w:rPr>
                <w:rFonts w:cs="Calibri"/>
              </w:rPr>
            </w:pPr>
          </w:p>
        </w:tc>
        <w:tc>
          <w:tcPr>
            <w:tcW w:w="1980" w:type="dxa"/>
            <w:shd w:val="clear" w:color="auto" w:fill="auto"/>
          </w:tcPr>
          <w:p w14:paraId="72928955" w14:textId="77777777" w:rsidR="00322294" w:rsidRPr="00731814" w:rsidRDefault="00322294" w:rsidP="00B97EED">
            <w:pPr>
              <w:jc w:val="center"/>
              <w:rPr>
                <w:rFonts w:cs="Calibri"/>
              </w:rPr>
            </w:pPr>
          </w:p>
        </w:tc>
        <w:tc>
          <w:tcPr>
            <w:tcW w:w="900" w:type="dxa"/>
            <w:shd w:val="clear" w:color="auto" w:fill="auto"/>
            <w:vAlign w:val="bottom"/>
          </w:tcPr>
          <w:p w14:paraId="7AAB88BF" w14:textId="77777777" w:rsidR="00322294" w:rsidRPr="00731814" w:rsidRDefault="00322294" w:rsidP="00B97EED">
            <w:pPr>
              <w:jc w:val="center"/>
              <w:rPr>
                <w:rFonts w:cs="Calibri"/>
              </w:rPr>
            </w:pPr>
          </w:p>
        </w:tc>
        <w:tc>
          <w:tcPr>
            <w:tcW w:w="1980" w:type="dxa"/>
            <w:shd w:val="clear" w:color="auto" w:fill="auto"/>
          </w:tcPr>
          <w:p w14:paraId="21AA05CB" w14:textId="77777777" w:rsidR="00322294" w:rsidRPr="00731814" w:rsidRDefault="00322294" w:rsidP="00B97EED">
            <w:pPr>
              <w:jc w:val="center"/>
              <w:rPr>
                <w:rFonts w:cs="Calibri"/>
              </w:rPr>
            </w:pPr>
          </w:p>
        </w:tc>
        <w:tc>
          <w:tcPr>
            <w:tcW w:w="900" w:type="dxa"/>
            <w:shd w:val="clear" w:color="auto" w:fill="auto"/>
          </w:tcPr>
          <w:p w14:paraId="12AD00B6" w14:textId="77777777" w:rsidR="00322294" w:rsidRPr="00731814" w:rsidRDefault="00322294" w:rsidP="00B97EED">
            <w:pPr>
              <w:jc w:val="center"/>
              <w:rPr>
                <w:rFonts w:cs="Calibri"/>
              </w:rPr>
            </w:pPr>
          </w:p>
        </w:tc>
      </w:tr>
      <w:tr w:rsidR="00322294" w:rsidRPr="00731814" w14:paraId="7A483CB5" w14:textId="77777777" w:rsidTr="00B97EED">
        <w:tc>
          <w:tcPr>
            <w:tcW w:w="3472" w:type="dxa"/>
            <w:shd w:val="clear" w:color="auto" w:fill="auto"/>
          </w:tcPr>
          <w:p w14:paraId="49013E93" w14:textId="77777777" w:rsidR="00322294" w:rsidRPr="00731814" w:rsidRDefault="00322294" w:rsidP="00B97EED">
            <w:pPr>
              <w:rPr>
                <w:rFonts w:cs="Calibri"/>
              </w:rPr>
            </w:pPr>
            <w:r w:rsidRPr="00731814">
              <w:rPr>
                <w:rFonts w:cs="Calibri"/>
              </w:rPr>
              <w:t xml:space="preserve">   </w:t>
            </w:r>
            <w:r>
              <w:rPr>
                <w:rFonts w:cs="Calibri"/>
              </w:rPr>
              <w:t>General population</w:t>
            </w:r>
          </w:p>
        </w:tc>
        <w:tc>
          <w:tcPr>
            <w:tcW w:w="776" w:type="dxa"/>
            <w:shd w:val="clear" w:color="auto" w:fill="auto"/>
          </w:tcPr>
          <w:p w14:paraId="4FCA6152" w14:textId="77777777" w:rsidR="00322294" w:rsidRPr="00731814" w:rsidRDefault="00322294" w:rsidP="00B97EED">
            <w:pPr>
              <w:jc w:val="center"/>
              <w:rPr>
                <w:rFonts w:cs="Calibri"/>
              </w:rPr>
            </w:pPr>
            <w:r w:rsidRPr="00731814">
              <w:rPr>
                <w:rFonts w:cs="Calibri"/>
              </w:rPr>
              <w:t>253</w:t>
            </w:r>
          </w:p>
        </w:tc>
        <w:tc>
          <w:tcPr>
            <w:tcW w:w="972" w:type="dxa"/>
            <w:shd w:val="clear" w:color="auto" w:fill="auto"/>
          </w:tcPr>
          <w:p w14:paraId="2204716A" w14:textId="77777777" w:rsidR="00322294" w:rsidRPr="00731814" w:rsidRDefault="00322294" w:rsidP="00B97EED">
            <w:pPr>
              <w:jc w:val="center"/>
              <w:rPr>
                <w:rFonts w:cs="Calibri"/>
              </w:rPr>
            </w:pPr>
            <w:r w:rsidRPr="00731814">
              <w:rPr>
                <w:rFonts w:cs="Calibri"/>
              </w:rPr>
              <w:t xml:space="preserve">  24 </w:t>
            </w:r>
            <w:proofErr w:type="gramStart"/>
            <w:r w:rsidRPr="00731814">
              <w:rPr>
                <w:rFonts w:cs="Calibri"/>
              </w:rPr>
              <w:t>(  9</w:t>
            </w:r>
            <w:proofErr w:type="gramEnd"/>
            <w:r w:rsidRPr="00731814">
              <w:rPr>
                <w:rFonts w:cs="Calibri"/>
              </w:rPr>
              <w:t>)</w:t>
            </w:r>
          </w:p>
        </w:tc>
        <w:tc>
          <w:tcPr>
            <w:tcW w:w="1980" w:type="dxa"/>
            <w:shd w:val="clear" w:color="auto" w:fill="auto"/>
          </w:tcPr>
          <w:p w14:paraId="1F7FB532"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0156EFCC"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7F3A1429"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72246BCB" w14:textId="77777777" w:rsidR="00322294" w:rsidRPr="00731814" w:rsidRDefault="00322294" w:rsidP="00B97EED">
            <w:pPr>
              <w:jc w:val="center"/>
              <w:rPr>
                <w:rFonts w:cs="Calibri"/>
              </w:rPr>
            </w:pPr>
            <w:r w:rsidRPr="00731814">
              <w:rPr>
                <w:rFonts w:cs="Calibri"/>
              </w:rPr>
              <w:t>&lt;0.001</w:t>
            </w:r>
          </w:p>
        </w:tc>
      </w:tr>
      <w:tr w:rsidR="00322294" w:rsidRPr="00731814" w14:paraId="016BCEBE" w14:textId="77777777" w:rsidTr="00B97EED">
        <w:tc>
          <w:tcPr>
            <w:tcW w:w="3472" w:type="dxa"/>
            <w:shd w:val="clear" w:color="auto" w:fill="auto"/>
          </w:tcPr>
          <w:p w14:paraId="404DF699" w14:textId="77777777" w:rsidR="00322294" w:rsidRPr="00731814" w:rsidRDefault="00322294" w:rsidP="00B97EED">
            <w:pPr>
              <w:rPr>
                <w:rFonts w:cs="Calibri"/>
              </w:rPr>
            </w:pPr>
            <w:r w:rsidRPr="00731814">
              <w:rPr>
                <w:rFonts w:cs="Calibri"/>
              </w:rPr>
              <w:t xml:space="preserve">   Fishermen or boat crew</w:t>
            </w:r>
          </w:p>
        </w:tc>
        <w:tc>
          <w:tcPr>
            <w:tcW w:w="776" w:type="dxa"/>
            <w:shd w:val="clear" w:color="auto" w:fill="auto"/>
          </w:tcPr>
          <w:p w14:paraId="09FA1564" w14:textId="77777777" w:rsidR="00322294" w:rsidRPr="00731814" w:rsidRDefault="00322294" w:rsidP="00B97EED">
            <w:pPr>
              <w:jc w:val="center"/>
              <w:rPr>
                <w:rFonts w:cs="Calibri"/>
              </w:rPr>
            </w:pPr>
            <w:r w:rsidRPr="00731814">
              <w:rPr>
                <w:rFonts w:cs="Calibri"/>
              </w:rPr>
              <w:t>355</w:t>
            </w:r>
          </w:p>
        </w:tc>
        <w:tc>
          <w:tcPr>
            <w:tcW w:w="972" w:type="dxa"/>
            <w:shd w:val="clear" w:color="auto" w:fill="auto"/>
          </w:tcPr>
          <w:p w14:paraId="5A134D95" w14:textId="77777777" w:rsidR="00322294" w:rsidRPr="00731814" w:rsidRDefault="00322294" w:rsidP="00B97EED">
            <w:pPr>
              <w:jc w:val="center"/>
              <w:rPr>
                <w:rFonts w:cs="Calibri"/>
              </w:rPr>
            </w:pPr>
            <w:r w:rsidRPr="00731814">
              <w:rPr>
                <w:rFonts w:cs="Calibri"/>
              </w:rPr>
              <w:t xml:space="preserve">  29 </w:t>
            </w:r>
            <w:proofErr w:type="gramStart"/>
            <w:r w:rsidRPr="00731814">
              <w:rPr>
                <w:rFonts w:cs="Calibri"/>
              </w:rPr>
              <w:t>(  8</w:t>
            </w:r>
            <w:proofErr w:type="gramEnd"/>
            <w:r w:rsidRPr="00731814">
              <w:rPr>
                <w:rFonts w:cs="Calibri"/>
              </w:rPr>
              <w:t>)</w:t>
            </w:r>
          </w:p>
        </w:tc>
        <w:tc>
          <w:tcPr>
            <w:tcW w:w="1980" w:type="dxa"/>
            <w:shd w:val="clear" w:color="auto" w:fill="auto"/>
            <w:vAlign w:val="bottom"/>
          </w:tcPr>
          <w:p w14:paraId="31942612" w14:textId="77777777" w:rsidR="00322294" w:rsidRPr="00731814" w:rsidRDefault="00322294" w:rsidP="00B97EED">
            <w:pPr>
              <w:jc w:val="center"/>
              <w:rPr>
                <w:rFonts w:cs="Calibri"/>
                <w:color w:val="000000"/>
                <w:lang w:eastAsia="en-GB"/>
              </w:rPr>
            </w:pPr>
            <w:r w:rsidRPr="00731814">
              <w:rPr>
                <w:rFonts w:cs="Calibri"/>
                <w:color w:val="000000"/>
              </w:rPr>
              <w:t>0.85 (0.48 to 1.50)</w:t>
            </w:r>
          </w:p>
        </w:tc>
        <w:tc>
          <w:tcPr>
            <w:tcW w:w="900" w:type="dxa"/>
            <w:shd w:val="clear" w:color="auto" w:fill="auto"/>
            <w:vAlign w:val="bottom"/>
          </w:tcPr>
          <w:p w14:paraId="1B854B52" w14:textId="77777777" w:rsidR="00322294" w:rsidRPr="00731814" w:rsidRDefault="00322294" w:rsidP="00B97EED">
            <w:pPr>
              <w:jc w:val="center"/>
              <w:rPr>
                <w:rFonts w:cs="Calibri"/>
                <w:color w:val="000000"/>
              </w:rPr>
            </w:pPr>
          </w:p>
        </w:tc>
        <w:tc>
          <w:tcPr>
            <w:tcW w:w="1980" w:type="dxa"/>
            <w:shd w:val="clear" w:color="auto" w:fill="auto"/>
          </w:tcPr>
          <w:p w14:paraId="63A746E7" w14:textId="77777777" w:rsidR="00322294" w:rsidRPr="00731814" w:rsidRDefault="00322294" w:rsidP="00B97EED">
            <w:pPr>
              <w:jc w:val="center"/>
              <w:rPr>
                <w:rFonts w:cs="Calibri"/>
              </w:rPr>
            </w:pPr>
            <w:r w:rsidRPr="00731814">
              <w:rPr>
                <w:rFonts w:cs="Calibri"/>
              </w:rPr>
              <w:t>1.12 (0.56 to 2.26)</w:t>
            </w:r>
          </w:p>
        </w:tc>
        <w:tc>
          <w:tcPr>
            <w:tcW w:w="900" w:type="dxa"/>
            <w:shd w:val="clear" w:color="auto" w:fill="auto"/>
          </w:tcPr>
          <w:p w14:paraId="2357FC03" w14:textId="77777777" w:rsidR="00322294" w:rsidRPr="00731814" w:rsidRDefault="00322294" w:rsidP="00B97EED">
            <w:pPr>
              <w:jc w:val="center"/>
              <w:rPr>
                <w:rFonts w:cs="Calibri"/>
              </w:rPr>
            </w:pPr>
          </w:p>
        </w:tc>
      </w:tr>
      <w:tr w:rsidR="00322294" w:rsidRPr="00731814" w14:paraId="09EC776D" w14:textId="77777777" w:rsidTr="00B97EED">
        <w:tc>
          <w:tcPr>
            <w:tcW w:w="3472" w:type="dxa"/>
            <w:shd w:val="clear" w:color="auto" w:fill="auto"/>
          </w:tcPr>
          <w:p w14:paraId="1FE705B9" w14:textId="77777777" w:rsidR="00322294" w:rsidRPr="00731814" w:rsidRDefault="00322294" w:rsidP="00B97EED">
            <w:pPr>
              <w:rPr>
                <w:rFonts w:cs="Calibri"/>
              </w:rPr>
            </w:pPr>
            <w:r w:rsidRPr="00731814">
              <w:rPr>
                <w:rFonts w:cs="Calibri"/>
              </w:rPr>
              <w:t xml:space="preserve">   Fish processors &amp; traders</w:t>
            </w:r>
          </w:p>
        </w:tc>
        <w:tc>
          <w:tcPr>
            <w:tcW w:w="776" w:type="dxa"/>
            <w:shd w:val="clear" w:color="auto" w:fill="auto"/>
          </w:tcPr>
          <w:p w14:paraId="7CD3549C" w14:textId="77777777" w:rsidR="00322294" w:rsidRPr="00731814" w:rsidRDefault="00322294" w:rsidP="00B97EED">
            <w:pPr>
              <w:jc w:val="center"/>
              <w:rPr>
                <w:rFonts w:cs="Calibri"/>
              </w:rPr>
            </w:pPr>
            <w:r w:rsidRPr="00731814">
              <w:rPr>
                <w:rFonts w:cs="Calibri"/>
              </w:rPr>
              <w:t>227</w:t>
            </w:r>
          </w:p>
        </w:tc>
        <w:tc>
          <w:tcPr>
            <w:tcW w:w="972" w:type="dxa"/>
            <w:shd w:val="clear" w:color="auto" w:fill="auto"/>
          </w:tcPr>
          <w:p w14:paraId="5261D82C" w14:textId="77777777" w:rsidR="00322294" w:rsidRPr="00731814" w:rsidRDefault="00322294" w:rsidP="00B97EED">
            <w:pPr>
              <w:jc w:val="center"/>
              <w:rPr>
                <w:rFonts w:cs="Calibri"/>
              </w:rPr>
            </w:pPr>
            <w:r w:rsidRPr="00731814">
              <w:rPr>
                <w:rFonts w:cs="Calibri"/>
              </w:rPr>
              <w:t xml:space="preserve">  19 </w:t>
            </w:r>
            <w:proofErr w:type="gramStart"/>
            <w:r w:rsidRPr="00731814">
              <w:rPr>
                <w:rFonts w:cs="Calibri"/>
              </w:rPr>
              <w:t>(  8</w:t>
            </w:r>
            <w:proofErr w:type="gramEnd"/>
            <w:r w:rsidRPr="00731814">
              <w:rPr>
                <w:rFonts w:cs="Calibri"/>
              </w:rPr>
              <w:t>)</w:t>
            </w:r>
          </w:p>
        </w:tc>
        <w:tc>
          <w:tcPr>
            <w:tcW w:w="1980" w:type="dxa"/>
            <w:shd w:val="clear" w:color="auto" w:fill="auto"/>
            <w:vAlign w:val="bottom"/>
          </w:tcPr>
          <w:p w14:paraId="0EAEFD02" w14:textId="77777777" w:rsidR="00322294" w:rsidRPr="00731814" w:rsidRDefault="00322294" w:rsidP="00B97EED">
            <w:pPr>
              <w:jc w:val="center"/>
              <w:rPr>
                <w:rFonts w:cs="Calibri"/>
                <w:color w:val="000000"/>
              </w:rPr>
            </w:pPr>
            <w:r w:rsidRPr="00731814">
              <w:rPr>
                <w:rFonts w:cs="Calibri"/>
                <w:color w:val="000000"/>
              </w:rPr>
              <w:t>0.87 (0.46 to 1.64)</w:t>
            </w:r>
          </w:p>
        </w:tc>
        <w:tc>
          <w:tcPr>
            <w:tcW w:w="900" w:type="dxa"/>
            <w:shd w:val="clear" w:color="auto" w:fill="auto"/>
            <w:vAlign w:val="bottom"/>
          </w:tcPr>
          <w:p w14:paraId="6A2CF437" w14:textId="77777777" w:rsidR="00322294" w:rsidRPr="00731814" w:rsidRDefault="00322294" w:rsidP="00B97EED">
            <w:pPr>
              <w:jc w:val="center"/>
              <w:rPr>
                <w:rFonts w:cs="Calibri"/>
              </w:rPr>
            </w:pPr>
          </w:p>
        </w:tc>
        <w:tc>
          <w:tcPr>
            <w:tcW w:w="1980" w:type="dxa"/>
            <w:shd w:val="clear" w:color="auto" w:fill="auto"/>
          </w:tcPr>
          <w:p w14:paraId="59A1CE8D" w14:textId="77777777" w:rsidR="00322294" w:rsidRPr="00731814" w:rsidRDefault="00322294" w:rsidP="00B97EED">
            <w:pPr>
              <w:jc w:val="center"/>
              <w:rPr>
                <w:rFonts w:cs="Calibri"/>
              </w:rPr>
            </w:pPr>
            <w:r w:rsidRPr="00731814">
              <w:rPr>
                <w:rFonts w:cs="Calibri"/>
              </w:rPr>
              <w:t>0.71 (0.37 to 1.37)</w:t>
            </w:r>
          </w:p>
        </w:tc>
        <w:tc>
          <w:tcPr>
            <w:tcW w:w="900" w:type="dxa"/>
            <w:shd w:val="clear" w:color="auto" w:fill="auto"/>
          </w:tcPr>
          <w:p w14:paraId="2F7DD8A1" w14:textId="77777777" w:rsidR="00322294" w:rsidRPr="00731814" w:rsidRDefault="00322294" w:rsidP="00B97EED">
            <w:pPr>
              <w:jc w:val="center"/>
              <w:rPr>
                <w:rFonts w:cs="Calibri"/>
              </w:rPr>
            </w:pPr>
          </w:p>
        </w:tc>
      </w:tr>
      <w:tr w:rsidR="00322294" w:rsidRPr="00731814" w14:paraId="6CA64928" w14:textId="77777777" w:rsidTr="00B97EED">
        <w:tc>
          <w:tcPr>
            <w:tcW w:w="3472" w:type="dxa"/>
            <w:shd w:val="clear" w:color="auto" w:fill="auto"/>
          </w:tcPr>
          <w:p w14:paraId="4FAE4965" w14:textId="77777777" w:rsidR="00322294" w:rsidRPr="00731814" w:rsidRDefault="00322294" w:rsidP="00B97EED">
            <w:pPr>
              <w:rPr>
                <w:rFonts w:cs="Calibri"/>
              </w:rPr>
            </w:pPr>
            <w:r w:rsidRPr="00731814">
              <w:rPr>
                <w:rFonts w:cs="Calibri"/>
              </w:rPr>
              <w:t xml:space="preserve">   </w:t>
            </w:r>
            <w:r>
              <w:rPr>
                <w:rFonts w:cs="Calibri"/>
              </w:rPr>
              <w:t>Recreational facility workers</w:t>
            </w:r>
          </w:p>
        </w:tc>
        <w:tc>
          <w:tcPr>
            <w:tcW w:w="776" w:type="dxa"/>
            <w:shd w:val="clear" w:color="auto" w:fill="auto"/>
          </w:tcPr>
          <w:p w14:paraId="6C427564" w14:textId="77777777" w:rsidR="00322294" w:rsidRPr="00731814" w:rsidRDefault="00322294" w:rsidP="00B97EED">
            <w:pPr>
              <w:jc w:val="center"/>
              <w:rPr>
                <w:rFonts w:cs="Calibri"/>
              </w:rPr>
            </w:pPr>
            <w:r w:rsidRPr="00731814">
              <w:rPr>
                <w:rFonts w:cs="Calibri"/>
              </w:rPr>
              <w:t>286</w:t>
            </w:r>
          </w:p>
        </w:tc>
        <w:tc>
          <w:tcPr>
            <w:tcW w:w="972" w:type="dxa"/>
            <w:shd w:val="clear" w:color="auto" w:fill="auto"/>
          </w:tcPr>
          <w:p w14:paraId="4C9E6507" w14:textId="77777777" w:rsidR="00322294" w:rsidRPr="00731814" w:rsidRDefault="00322294" w:rsidP="00B97EED">
            <w:pPr>
              <w:jc w:val="center"/>
              <w:rPr>
                <w:rFonts w:cs="Calibri"/>
              </w:rPr>
            </w:pPr>
            <w:r w:rsidRPr="00731814">
              <w:rPr>
                <w:rFonts w:cs="Calibri"/>
              </w:rPr>
              <w:t xml:space="preserve">  87 (30)</w:t>
            </w:r>
          </w:p>
        </w:tc>
        <w:tc>
          <w:tcPr>
            <w:tcW w:w="1980" w:type="dxa"/>
            <w:shd w:val="clear" w:color="auto" w:fill="auto"/>
            <w:vAlign w:val="bottom"/>
          </w:tcPr>
          <w:p w14:paraId="7396A65D" w14:textId="77777777" w:rsidR="00322294" w:rsidRPr="00731814" w:rsidRDefault="00322294" w:rsidP="00B97EED">
            <w:pPr>
              <w:jc w:val="center"/>
              <w:rPr>
                <w:rFonts w:cs="Calibri"/>
                <w:color w:val="000000"/>
              </w:rPr>
            </w:pPr>
            <w:r w:rsidRPr="00731814">
              <w:rPr>
                <w:rFonts w:cs="Calibri"/>
                <w:color w:val="000000"/>
              </w:rPr>
              <w:t>4.17 (2.56 to 6.81)</w:t>
            </w:r>
          </w:p>
        </w:tc>
        <w:tc>
          <w:tcPr>
            <w:tcW w:w="900" w:type="dxa"/>
            <w:shd w:val="clear" w:color="auto" w:fill="auto"/>
            <w:vAlign w:val="bottom"/>
          </w:tcPr>
          <w:p w14:paraId="75794268" w14:textId="77777777" w:rsidR="00322294" w:rsidRPr="00731814" w:rsidRDefault="00322294" w:rsidP="00B97EED">
            <w:pPr>
              <w:jc w:val="center"/>
              <w:rPr>
                <w:rFonts w:cs="Calibri"/>
              </w:rPr>
            </w:pPr>
          </w:p>
        </w:tc>
        <w:tc>
          <w:tcPr>
            <w:tcW w:w="1980" w:type="dxa"/>
            <w:shd w:val="clear" w:color="auto" w:fill="auto"/>
          </w:tcPr>
          <w:p w14:paraId="47F57D1A" w14:textId="77777777" w:rsidR="00322294" w:rsidRPr="00731814" w:rsidRDefault="00322294" w:rsidP="00B97EED">
            <w:pPr>
              <w:jc w:val="center"/>
              <w:rPr>
                <w:rFonts w:cs="Calibri"/>
              </w:rPr>
            </w:pPr>
            <w:r w:rsidRPr="00731814">
              <w:rPr>
                <w:rFonts w:cs="Calibri"/>
              </w:rPr>
              <w:t>3.11 (1.73 to 5.61)</w:t>
            </w:r>
          </w:p>
        </w:tc>
        <w:tc>
          <w:tcPr>
            <w:tcW w:w="900" w:type="dxa"/>
            <w:shd w:val="clear" w:color="auto" w:fill="auto"/>
          </w:tcPr>
          <w:p w14:paraId="2FCD28E3" w14:textId="77777777" w:rsidR="00322294" w:rsidRPr="00731814" w:rsidRDefault="00322294" w:rsidP="00B97EED">
            <w:pPr>
              <w:jc w:val="center"/>
              <w:rPr>
                <w:rFonts w:cs="Calibri"/>
              </w:rPr>
            </w:pPr>
          </w:p>
        </w:tc>
      </w:tr>
      <w:tr w:rsidR="00322294" w:rsidRPr="00731814" w14:paraId="255E8C39" w14:textId="77777777" w:rsidTr="00B97EED">
        <w:tc>
          <w:tcPr>
            <w:tcW w:w="3472" w:type="dxa"/>
            <w:shd w:val="clear" w:color="auto" w:fill="auto"/>
          </w:tcPr>
          <w:p w14:paraId="42516251" w14:textId="77777777" w:rsidR="00322294" w:rsidRPr="00731814" w:rsidRDefault="00322294" w:rsidP="00B97EED">
            <w:pPr>
              <w:rPr>
                <w:rFonts w:cs="Calibri"/>
                <w:b/>
              </w:rPr>
            </w:pPr>
            <w:r w:rsidRPr="00731814">
              <w:rPr>
                <w:rFonts w:cs="Calibri"/>
                <w:b/>
              </w:rPr>
              <w:t>Religion</w:t>
            </w:r>
          </w:p>
        </w:tc>
        <w:tc>
          <w:tcPr>
            <w:tcW w:w="776" w:type="dxa"/>
            <w:shd w:val="clear" w:color="auto" w:fill="auto"/>
          </w:tcPr>
          <w:p w14:paraId="47358EB9" w14:textId="77777777" w:rsidR="00322294" w:rsidRPr="00731814" w:rsidRDefault="00322294" w:rsidP="00B97EED">
            <w:pPr>
              <w:jc w:val="center"/>
              <w:rPr>
                <w:rFonts w:cs="Calibri"/>
              </w:rPr>
            </w:pPr>
          </w:p>
        </w:tc>
        <w:tc>
          <w:tcPr>
            <w:tcW w:w="972" w:type="dxa"/>
            <w:shd w:val="clear" w:color="auto" w:fill="auto"/>
          </w:tcPr>
          <w:p w14:paraId="6CB12C1E" w14:textId="77777777" w:rsidR="00322294" w:rsidRPr="00731814" w:rsidRDefault="00322294" w:rsidP="00B97EED">
            <w:pPr>
              <w:jc w:val="center"/>
              <w:rPr>
                <w:rFonts w:cs="Calibri"/>
              </w:rPr>
            </w:pPr>
          </w:p>
        </w:tc>
        <w:tc>
          <w:tcPr>
            <w:tcW w:w="1980" w:type="dxa"/>
            <w:shd w:val="clear" w:color="auto" w:fill="auto"/>
          </w:tcPr>
          <w:p w14:paraId="63F65DBA" w14:textId="77777777" w:rsidR="00322294" w:rsidRPr="00731814" w:rsidRDefault="00322294" w:rsidP="00B97EED">
            <w:pPr>
              <w:jc w:val="center"/>
              <w:rPr>
                <w:rFonts w:cs="Calibri"/>
              </w:rPr>
            </w:pPr>
          </w:p>
        </w:tc>
        <w:tc>
          <w:tcPr>
            <w:tcW w:w="900" w:type="dxa"/>
            <w:shd w:val="clear" w:color="auto" w:fill="auto"/>
            <w:vAlign w:val="bottom"/>
          </w:tcPr>
          <w:p w14:paraId="7D7698E2" w14:textId="77777777" w:rsidR="00322294" w:rsidRPr="00731814" w:rsidRDefault="00322294" w:rsidP="00B97EED">
            <w:pPr>
              <w:jc w:val="center"/>
              <w:rPr>
                <w:rFonts w:cs="Calibri"/>
              </w:rPr>
            </w:pPr>
          </w:p>
        </w:tc>
        <w:tc>
          <w:tcPr>
            <w:tcW w:w="1980" w:type="dxa"/>
            <w:shd w:val="clear" w:color="auto" w:fill="auto"/>
          </w:tcPr>
          <w:p w14:paraId="49D42105" w14:textId="77777777" w:rsidR="00322294" w:rsidRPr="00731814" w:rsidRDefault="00322294" w:rsidP="00B97EED">
            <w:pPr>
              <w:jc w:val="center"/>
              <w:rPr>
                <w:rFonts w:cs="Calibri"/>
              </w:rPr>
            </w:pPr>
          </w:p>
        </w:tc>
        <w:tc>
          <w:tcPr>
            <w:tcW w:w="900" w:type="dxa"/>
            <w:shd w:val="clear" w:color="auto" w:fill="auto"/>
          </w:tcPr>
          <w:p w14:paraId="6A038DA9" w14:textId="77777777" w:rsidR="00322294" w:rsidRPr="00731814" w:rsidRDefault="00322294" w:rsidP="00B97EED">
            <w:pPr>
              <w:jc w:val="center"/>
              <w:rPr>
                <w:rFonts w:cs="Calibri"/>
              </w:rPr>
            </w:pPr>
          </w:p>
        </w:tc>
      </w:tr>
      <w:tr w:rsidR="00322294" w:rsidRPr="00731814" w14:paraId="2A1B6C11" w14:textId="77777777" w:rsidTr="00B97EED">
        <w:tc>
          <w:tcPr>
            <w:tcW w:w="3472" w:type="dxa"/>
            <w:shd w:val="clear" w:color="auto" w:fill="auto"/>
          </w:tcPr>
          <w:p w14:paraId="37363BE7" w14:textId="77777777" w:rsidR="00322294" w:rsidRPr="00731814" w:rsidRDefault="00322294" w:rsidP="00B97EED">
            <w:pPr>
              <w:rPr>
                <w:rFonts w:cs="Calibri"/>
              </w:rPr>
            </w:pPr>
            <w:r w:rsidRPr="00731814">
              <w:rPr>
                <w:rFonts w:cs="Calibri"/>
              </w:rPr>
              <w:t xml:space="preserve">   Christian</w:t>
            </w:r>
          </w:p>
        </w:tc>
        <w:tc>
          <w:tcPr>
            <w:tcW w:w="776" w:type="dxa"/>
            <w:shd w:val="clear" w:color="auto" w:fill="auto"/>
          </w:tcPr>
          <w:p w14:paraId="36A4D48D" w14:textId="77777777" w:rsidR="00322294" w:rsidRPr="00731814" w:rsidRDefault="00322294" w:rsidP="00B97EED">
            <w:pPr>
              <w:jc w:val="center"/>
              <w:rPr>
                <w:rFonts w:cs="Calibri"/>
              </w:rPr>
            </w:pPr>
            <w:r w:rsidRPr="00731814">
              <w:rPr>
                <w:rFonts w:cs="Calibri"/>
              </w:rPr>
              <w:t>895</w:t>
            </w:r>
          </w:p>
        </w:tc>
        <w:tc>
          <w:tcPr>
            <w:tcW w:w="972" w:type="dxa"/>
            <w:shd w:val="clear" w:color="auto" w:fill="auto"/>
          </w:tcPr>
          <w:p w14:paraId="6C7AF192" w14:textId="77777777" w:rsidR="00322294" w:rsidRPr="00731814" w:rsidRDefault="00322294" w:rsidP="00B97EED">
            <w:pPr>
              <w:jc w:val="center"/>
              <w:rPr>
                <w:rFonts w:cs="Calibri"/>
              </w:rPr>
            </w:pPr>
            <w:r w:rsidRPr="00731814">
              <w:rPr>
                <w:rFonts w:cs="Calibri"/>
              </w:rPr>
              <w:t>119 (13)</w:t>
            </w:r>
          </w:p>
        </w:tc>
        <w:tc>
          <w:tcPr>
            <w:tcW w:w="1980" w:type="dxa"/>
            <w:shd w:val="clear" w:color="auto" w:fill="auto"/>
          </w:tcPr>
          <w:p w14:paraId="439271C3"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64232C44" w14:textId="77777777" w:rsidR="00322294" w:rsidRPr="00731814" w:rsidRDefault="00322294" w:rsidP="00B97EED">
            <w:pPr>
              <w:jc w:val="center"/>
              <w:rPr>
                <w:rFonts w:cs="Calibri"/>
                <w:color w:val="000000"/>
              </w:rPr>
            </w:pPr>
            <w:r w:rsidRPr="00731814">
              <w:rPr>
                <w:rFonts w:cs="Calibri"/>
                <w:color w:val="000000"/>
              </w:rPr>
              <w:t>0.053</w:t>
            </w:r>
          </w:p>
        </w:tc>
        <w:tc>
          <w:tcPr>
            <w:tcW w:w="1980" w:type="dxa"/>
            <w:shd w:val="clear" w:color="auto" w:fill="auto"/>
          </w:tcPr>
          <w:p w14:paraId="34661228"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4AD3601F" w14:textId="77777777" w:rsidR="00322294" w:rsidRPr="00731814" w:rsidRDefault="00322294" w:rsidP="00B97EED">
            <w:pPr>
              <w:jc w:val="center"/>
              <w:rPr>
                <w:rFonts w:cs="Calibri"/>
              </w:rPr>
            </w:pPr>
            <w:r w:rsidRPr="00731814">
              <w:rPr>
                <w:rFonts w:cs="Calibri"/>
              </w:rPr>
              <w:t>0.039</w:t>
            </w:r>
          </w:p>
        </w:tc>
      </w:tr>
      <w:tr w:rsidR="00322294" w:rsidRPr="00731814" w14:paraId="3F1D549D" w14:textId="77777777" w:rsidTr="00B97EED">
        <w:tc>
          <w:tcPr>
            <w:tcW w:w="3472" w:type="dxa"/>
            <w:shd w:val="clear" w:color="auto" w:fill="auto"/>
          </w:tcPr>
          <w:p w14:paraId="790D83BE" w14:textId="77777777" w:rsidR="00322294" w:rsidRPr="00731814" w:rsidRDefault="00322294" w:rsidP="00B97EED">
            <w:pPr>
              <w:rPr>
                <w:rFonts w:cs="Calibri"/>
              </w:rPr>
            </w:pPr>
            <w:r w:rsidRPr="00731814">
              <w:rPr>
                <w:rFonts w:cs="Calibri"/>
              </w:rPr>
              <w:t xml:space="preserve">   Muslim</w:t>
            </w:r>
          </w:p>
        </w:tc>
        <w:tc>
          <w:tcPr>
            <w:tcW w:w="776" w:type="dxa"/>
            <w:shd w:val="clear" w:color="auto" w:fill="auto"/>
          </w:tcPr>
          <w:p w14:paraId="1683F960" w14:textId="77777777" w:rsidR="00322294" w:rsidRPr="00731814" w:rsidRDefault="00322294" w:rsidP="00B97EED">
            <w:pPr>
              <w:jc w:val="center"/>
              <w:rPr>
                <w:rFonts w:cs="Calibri"/>
              </w:rPr>
            </w:pPr>
            <w:r w:rsidRPr="00731814">
              <w:rPr>
                <w:rFonts w:cs="Calibri"/>
              </w:rPr>
              <w:t>115</w:t>
            </w:r>
          </w:p>
        </w:tc>
        <w:tc>
          <w:tcPr>
            <w:tcW w:w="972" w:type="dxa"/>
            <w:shd w:val="clear" w:color="auto" w:fill="auto"/>
          </w:tcPr>
          <w:p w14:paraId="60029A56" w14:textId="77777777" w:rsidR="00322294" w:rsidRPr="00731814" w:rsidRDefault="00322294" w:rsidP="00B97EED">
            <w:pPr>
              <w:jc w:val="center"/>
              <w:rPr>
                <w:rFonts w:cs="Calibri"/>
              </w:rPr>
            </w:pPr>
            <w:r w:rsidRPr="00731814">
              <w:rPr>
                <w:rFonts w:cs="Calibri"/>
              </w:rPr>
              <w:t xml:space="preserve">  25 (22)</w:t>
            </w:r>
          </w:p>
        </w:tc>
        <w:tc>
          <w:tcPr>
            <w:tcW w:w="1980" w:type="dxa"/>
            <w:shd w:val="clear" w:color="auto" w:fill="auto"/>
            <w:vAlign w:val="bottom"/>
          </w:tcPr>
          <w:p w14:paraId="5EE7B380" w14:textId="77777777" w:rsidR="00322294" w:rsidRPr="00731814" w:rsidRDefault="00322294" w:rsidP="00B97EED">
            <w:pPr>
              <w:jc w:val="center"/>
              <w:rPr>
                <w:rFonts w:cs="Calibri"/>
                <w:color w:val="000000"/>
                <w:lang w:eastAsia="en-GB"/>
              </w:rPr>
            </w:pPr>
            <w:r w:rsidRPr="00731814">
              <w:rPr>
                <w:rFonts w:cs="Calibri"/>
                <w:color w:val="000000"/>
              </w:rPr>
              <w:t>1.81 (1.12 to 2.94)</w:t>
            </w:r>
          </w:p>
        </w:tc>
        <w:tc>
          <w:tcPr>
            <w:tcW w:w="900" w:type="dxa"/>
            <w:shd w:val="clear" w:color="auto" w:fill="auto"/>
            <w:vAlign w:val="bottom"/>
          </w:tcPr>
          <w:p w14:paraId="79DE22AB" w14:textId="77777777" w:rsidR="00322294" w:rsidRPr="00731814" w:rsidRDefault="00322294" w:rsidP="00B97EED">
            <w:pPr>
              <w:jc w:val="center"/>
              <w:rPr>
                <w:rFonts w:cs="Calibri"/>
                <w:color w:val="000000"/>
              </w:rPr>
            </w:pPr>
          </w:p>
        </w:tc>
        <w:tc>
          <w:tcPr>
            <w:tcW w:w="1980" w:type="dxa"/>
            <w:shd w:val="clear" w:color="auto" w:fill="auto"/>
          </w:tcPr>
          <w:p w14:paraId="59E4ECE9" w14:textId="77777777" w:rsidR="00322294" w:rsidRPr="00731814" w:rsidRDefault="00322294" w:rsidP="00B97EED">
            <w:pPr>
              <w:jc w:val="center"/>
              <w:rPr>
                <w:rFonts w:cs="Calibri"/>
              </w:rPr>
            </w:pPr>
            <w:r w:rsidRPr="00731814">
              <w:rPr>
                <w:rFonts w:cs="Calibri"/>
              </w:rPr>
              <w:t>1.96 (1.16 to 3.30)</w:t>
            </w:r>
          </w:p>
        </w:tc>
        <w:tc>
          <w:tcPr>
            <w:tcW w:w="900" w:type="dxa"/>
            <w:shd w:val="clear" w:color="auto" w:fill="auto"/>
          </w:tcPr>
          <w:p w14:paraId="3E618AF9" w14:textId="77777777" w:rsidR="00322294" w:rsidRPr="00731814" w:rsidRDefault="00322294" w:rsidP="00B97EED">
            <w:pPr>
              <w:jc w:val="center"/>
              <w:rPr>
                <w:rFonts w:cs="Calibri"/>
              </w:rPr>
            </w:pPr>
          </w:p>
        </w:tc>
      </w:tr>
      <w:tr w:rsidR="00322294" w:rsidRPr="00731814" w14:paraId="228B83C8" w14:textId="77777777" w:rsidTr="00B97EED">
        <w:tc>
          <w:tcPr>
            <w:tcW w:w="3472" w:type="dxa"/>
            <w:shd w:val="clear" w:color="auto" w:fill="auto"/>
          </w:tcPr>
          <w:p w14:paraId="6343E2ED" w14:textId="77777777" w:rsidR="00322294" w:rsidRPr="00731814" w:rsidRDefault="00322294" w:rsidP="00B97EED">
            <w:pPr>
              <w:rPr>
                <w:rFonts w:cs="Calibri"/>
              </w:rPr>
            </w:pPr>
            <w:r w:rsidRPr="00731814">
              <w:rPr>
                <w:rFonts w:cs="Calibri"/>
              </w:rPr>
              <w:t xml:space="preserve">   Other</w:t>
            </w:r>
          </w:p>
        </w:tc>
        <w:tc>
          <w:tcPr>
            <w:tcW w:w="776" w:type="dxa"/>
            <w:shd w:val="clear" w:color="auto" w:fill="auto"/>
          </w:tcPr>
          <w:p w14:paraId="3E657A69" w14:textId="77777777" w:rsidR="00322294" w:rsidRPr="00731814" w:rsidRDefault="00322294" w:rsidP="00B97EED">
            <w:pPr>
              <w:jc w:val="center"/>
              <w:rPr>
                <w:rFonts w:cs="Calibri"/>
              </w:rPr>
            </w:pPr>
            <w:r w:rsidRPr="00731814">
              <w:rPr>
                <w:rFonts w:cs="Calibri"/>
              </w:rPr>
              <w:t>111</w:t>
            </w:r>
          </w:p>
        </w:tc>
        <w:tc>
          <w:tcPr>
            <w:tcW w:w="972" w:type="dxa"/>
            <w:shd w:val="clear" w:color="auto" w:fill="auto"/>
          </w:tcPr>
          <w:p w14:paraId="5615DF97" w14:textId="77777777" w:rsidR="00322294" w:rsidRPr="00731814" w:rsidRDefault="00322294" w:rsidP="00B97EED">
            <w:pPr>
              <w:jc w:val="center"/>
              <w:rPr>
                <w:rFonts w:cs="Calibri"/>
              </w:rPr>
            </w:pPr>
            <w:r w:rsidRPr="00731814">
              <w:rPr>
                <w:rFonts w:cs="Calibri"/>
              </w:rPr>
              <w:t xml:space="preserve">  15 (14)</w:t>
            </w:r>
          </w:p>
        </w:tc>
        <w:tc>
          <w:tcPr>
            <w:tcW w:w="1980" w:type="dxa"/>
            <w:shd w:val="clear" w:color="auto" w:fill="auto"/>
            <w:vAlign w:val="bottom"/>
          </w:tcPr>
          <w:p w14:paraId="202F8EB5" w14:textId="77777777" w:rsidR="00322294" w:rsidRPr="00731814" w:rsidRDefault="00322294" w:rsidP="00B97EED">
            <w:pPr>
              <w:jc w:val="center"/>
              <w:rPr>
                <w:rFonts w:cs="Calibri"/>
                <w:color w:val="000000"/>
              </w:rPr>
            </w:pPr>
            <w:r w:rsidRPr="00731814">
              <w:rPr>
                <w:rFonts w:cs="Calibri"/>
                <w:color w:val="000000"/>
              </w:rPr>
              <w:t>1.02 (0.57 to 1.82)</w:t>
            </w:r>
          </w:p>
        </w:tc>
        <w:tc>
          <w:tcPr>
            <w:tcW w:w="900" w:type="dxa"/>
            <w:shd w:val="clear" w:color="auto" w:fill="auto"/>
            <w:vAlign w:val="bottom"/>
          </w:tcPr>
          <w:p w14:paraId="5B8269FA" w14:textId="77777777" w:rsidR="00322294" w:rsidRPr="00731814" w:rsidRDefault="00322294" w:rsidP="00B97EED">
            <w:pPr>
              <w:jc w:val="center"/>
              <w:rPr>
                <w:rFonts w:cs="Calibri"/>
              </w:rPr>
            </w:pPr>
          </w:p>
        </w:tc>
        <w:tc>
          <w:tcPr>
            <w:tcW w:w="1980" w:type="dxa"/>
            <w:shd w:val="clear" w:color="auto" w:fill="auto"/>
          </w:tcPr>
          <w:p w14:paraId="35288CD0" w14:textId="77777777" w:rsidR="00322294" w:rsidRPr="00731814" w:rsidRDefault="00322294" w:rsidP="00B97EED">
            <w:pPr>
              <w:jc w:val="center"/>
              <w:rPr>
                <w:rFonts w:cs="Calibri"/>
              </w:rPr>
            </w:pPr>
            <w:r w:rsidRPr="00731814">
              <w:rPr>
                <w:rFonts w:cs="Calibri"/>
              </w:rPr>
              <w:t>1.22 (0.66 to 2.25)</w:t>
            </w:r>
          </w:p>
        </w:tc>
        <w:tc>
          <w:tcPr>
            <w:tcW w:w="900" w:type="dxa"/>
            <w:shd w:val="clear" w:color="auto" w:fill="auto"/>
          </w:tcPr>
          <w:p w14:paraId="6FAEDE1A" w14:textId="77777777" w:rsidR="00322294" w:rsidRPr="00731814" w:rsidRDefault="00322294" w:rsidP="00B97EED">
            <w:pPr>
              <w:jc w:val="center"/>
              <w:rPr>
                <w:rFonts w:cs="Calibri"/>
              </w:rPr>
            </w:pPr>
          </w:p>
        </w:tc>
      </w:tr>
      <w:tr w:rsidR="00322294" w:rsidRPr="00731814" w14:paraId="245CC0E6" w14:textId="77777777" w:rsidTr="00B97EED">
        <w:tc>
          <w:tcPr>
            <w:tcW w:w="3472" w:type="dxa"/>
            <w:shd w:val="clear" w:color="auto" w:fill="auto"/>
          </w:tcPr>
          <w:p w14:paraId="5D4B5EB4" w14:textId="77777777" w:rsidR="00322294" w:rsidRPr="00731814" w:rsidRDefault="00322294" w:rsidP="00B97EED">
            <w:pPr>
              <w:rPr>
                <w:rFonts w:cs="Calibri"/>
                <w:b/>
              </w:rPr>
            </w:pPr>
            <w:r w:rsidRPr="00731814">
              <w:rPr>
                <w:rFonts w:cs="Calibri"/>
                <w:b/>
              </w:rPr>
              <w:t>Age group</w:t>
            </w:r>
          </w:p>
        </w:tc>
        <w:tc>
          <w:tcPr>
            <w:tcW w:w="776" w:type="dxa"/>
            <w:shd w:val="clear" w:color="auto" w:fill="auto"/>
          </w:tcPr>
          <w:p w14:paraId="2F7D116F" w14:textId="77777777" w:rsidR="00322294" w:rsidRPr="00731814" w:rsidRDefault="00322294" w:rsidP="00B97EED">
            <w:pPr>
              <w:jc w:val="center"/>
              <w:rPr>
                <w:rFonts w:cs="Calibri"/>
                <w:b/>
              </w:rPr>
            </w:pPr>
          </w:p>
        </w:tc>
        <w:tc>
          <w:tcPr>
            <w:tcW w:w="972" w:type="dxa"/>
            <w:shd w:val="clear" w:color="auto" w:fill="auto"/>
          </w:tcPr>
          <w:p w14:paraId="6C129455" w14:textId="77777777" w:rsidR="00322294" w:rsidRPr="00731814" w:rsidRDefault="00322294" w:rsidP="00B97EED">
            <w:pPr>
              <w:jc w:val="center"/>
              <w:rPr>
                <w:rFonts w:cs="Calibri"/>
                <w:b/>
              </w:rPr>
            </w:pPr>
          </w:p>
        </w:tc>
        <w:tc>
          <w:tcPr>
            <w:tcW w:w="1980" w:type="dxa"/>
            <w:shd w:val="clear" w:color="auto" w:fill="auto"/>
          </w:tcPr>
          <w:p w14:paraId="1FD165E2" w14:textId="77777777" w:rsidR="00322294" w:rsidRPr="00731814" w:rsidRDefault="00322294" w:rsidP="00B97EED">
            <w:pPr>
              <w:jc w:val="center"/>
              <w:rPr>
                <w:rFonts w:cs="Calibri"/>
                <w:b/>
              </w:rPr>
            </w:pPr>
          </w:p>
        </w:tc>
        <w:tc>
          <w:tcPr>
            <w:tcW w:w="900" w:type="dxa"/>
            <w:shd w:val="clear" w:color="auto" w:fill="auto"/>
            <w:vAlign w:val="bottom"/>
          </w:tcPr>
          <w:p w14:paraId="3F3E633F" w14:textId="77777777" w:rsidR="00322294" w:rsidRPr="00731814" w:rsidRDefault="00322294" w:rsidP="00B97EED">
            <w:pPr>
              <w:jc w:val="center"/>
              <w:rPr>
                <w:rFonts w:cs="Calibri"/>
              </w:rPr>
            </w:pPr>
          </w:p>
        </w:tc>
        <w:tc>
          <w:tcPr>
            <w:tcW w:w="1980" w:type="dxa"/>
            <w:shd w:val="clear" w:color="auto" w:fill="auto"/>
          </w:tcPr>
          <w:p w14:paraId="5772410D" w14:textId="77777777" w:rsidR="00322294" w:rsidRPr="00731814" w:rsidRDefault="00322294" w:rsidP="00B97EED">
            <w:pPr>
              <w:jc w:val="center"/>
              <w:rPr>
                <w:rFonts w:cs="Calibri"/>
                <w:b/>
              </w:rPr>
            </w:pPr>
          </w:p>
        </w:tc>
        <w:tc>
          <w:tcPr>
            <w:tcW w:w="900" w:type="dxa"/>
            <w:shd w:val="clear" w:color="auto" w:fill="auto"/>
          </w:tcPr>
          <w:p w14:paraId="55366F68" w14:textId="77777777" w:rsidR="00322294" w:rsidRPr="00731814" w:rsidRDefault="00322294" w:rsidP="00B97EED">
            <w:pPr>
              <w:jc w:val="center"/>
              <w:rPr>
                <w:rFonts w:cs="Calibri"/>
                <w:b/>
              </w:rPr>
            </w:pPr>
          </w:p>
        </w:tc>
      </w:tr>
      <w:tr w:rsidR="00322294" w:rsidRPr="00731814" w14:paraId="4A85AD12" w14:textId="77777777" w:rsidTr="00B97EED">
        <w:tc>
          <w:tcPr>
            <w:tcW w:w="3472" w:type="dxa"/>
            <w:shd w:val="clear" w:color="auto" w:fill="auto"/>
          </w:tcPr>
          <w:p w14:paraId="15610269" w14:textId="77777777" w:rsidR="00322294" w:rsidRPr="00731814" w:rsidRDefault="00322294" w:rsidP="00B97EED">
            <w:pPr>
              <w:rPr>
                <w:rFonts w:cs="Calibri"/>
              </w:rPr>
            </w:pPr>
            <w:r w:rsidRPr="00731814">
              <w:rPr>
                <w:rFonts w:cs="Calibri"/>
              </w:rPr>
              <w:t xml:space="preserve">   18-24 years</w:t>
            </w:r>
          </w:p>
        </w:tc>
        <w:tc>
          <w:tcPr>
            <w:tcW w:w="776" w:type="dxa"/>
            <w:shd w:val="clear" w:color="auto" w:fill="auto"/>
          </w:tcPr>
          <w:p w14:paraId="45A63B3A" w14:textId="77777777" w:rsidR="00322294" w:rsidRPr="00731814" w:rsidRDefault="00322294" w:rsidP="00B97EED">
            <w:pPr>
              <w:jc w:val="center"/>
              <w:rPr>
                <w:rFonts w:cs="Calibri"/>
              </w:rPr>
            </w:pPr>
            <w:r w:rsidRPr="00731814">
              <w:rPr>
                <w:rFonts w:cs="Calibri"/>
              </w:rPr>
              <w:t>180</w:t>
            </w:r>
          </w:p>
        </w:tc>
        <w:tc>
          <w:tcPr>
            <w:tcW w:w="972" w:type="dxa"/>
            <w:shd w:val="clear" w:color="auto" w:fill="auto"/>
          </w:tcPr>
          <w:p w14:paraId="153B0C0B" w14:textId="77777777" w:rsidR="00322294" w:rsidRPr="00731814" w:rsidRDefault="00322294" w:rsidP="00B97EED">
            <w:pPr>
              <w:jc w:val="center"/>
              <w:rPr>
                <w:rFonts w:cs="Calibri"/>
              </w:rPr>
            </w:pPr>
            <w:r w:rsidRPr="00731814">
              <w:rPr>
                <w:rFonts w:cs="Calibri"/>
              </w:rPr>
              <w:t xml:space="preserve">  15 </w:t>
            </w:r>
            <w:proofErr w:type="gramStart"/>
            <w:r w:rsidRPr="00731814">
              <w:rPr>
                <w:rFonts w:cs="Calibri"/>
              </w:rPr>
              <w:t>(  8</w:t>
            </w:r>
            <w:proofErr w:type="gramEnd"/>
            <w:r w:rsidRPr="00731814">
              <w:rPr>
                <w:rFonts w:cs="Calibri"/>
              </w:rPr>
              <w:t>)</w:t>
            </w:r>
          </w:p>
        </w:tc>
        <w:tc>
          <w:tcPr>
            <w:tcW w:w="1980" w:type="dxa"/>
            <w:shd w:val="clear" w:color="auto" w:fill="auto"/>
          </w:tcPr>
          <w:p w14:paraId="1549D206"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4C0AE35B" w14:textId="77777777" w:rsidR="00322294" w:rsidRPr="00731814" w:rsidRDefault="00322294" w:rsidP="00B97EED">
            <w:pPr>
              <w:jc w:val="center"/>
              <w:rPr>
                <w:rFonts w:cs="Calibri"/>
                <w:color w:val="000000"/>
              </w:rPr>
            </w:pPr>
            <w:r w:rsidRPr="00731814">
              <w:rPr>
                <w:rFonts w:cs="Calibri"/>
                <w:color w:val="000000"/>
              </w:rPr>
              <w:t>0.012</w:t>
            </w:r>
          </w:p>
        </w:tc>
        <w:tc>
          <w:tcPr>
            <w:tcW w:w="1980" w:type="dxa"/>
            <w:shd w:val="clear" w:color="auto" w:fill="auto"/>
          </w:tcPr>
          <w:p w14:paraId="58C0F638"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7DB2AC37" w14:textId="77777777" w:rsidR="00322294" w:rsidRPr="00731814" w:rsidRDefault="00322294" w:rsidP="00B97EED">
            <w:pPr>
              <w:jc w:val="center"/>
              <w:rPr>
                <w:rFonts w:cs="Calibri"/>
              </w:rPr>
            </w:pPr>
            <w:r w:rsidRPr="00731814">
              <w:rPr>
                <w:rFonts w:cs="Calibri"/>
              </w:rPr>
              <w:t>0.017</w:t>
            </w:r>
          </w:p>
        </w:tc>
      </w:tr>
      <w:tr w:rsidR="00322294" w:rsidRPr="00731814" w14:paraId="688489AF" w14:textId="77777777" w:rsidTr="00B97EED">
        <w:tc>
          <w:tcPr>
            <w:tcW w:w="3472" w:type="dxa"/>
            <w:shd w:val="clear" w:color="auto" w:fill="auto"/>
          </w:tcPr>
          <w:p w14:paraId="054D6562" w14:textId="77777777" w:rsidR="00322294" w:rsidRPr="00731814" w:rsidRDefault="00322294" w:rsidP="00B97EED">
            <w:pPr>
              <w:rPr>
                <w:rFonts w:cs="Calibri"/>
              </w:rPr>
            </w:pPr>
            <w:r w:rsidRPr="00731814">
              <w:rPr>
                <w:rFonts w:cs="Calibri"/>
              </w:rPr>
              <w:t xml:space="preserve">   25-29 years</w:t>
            </w:r>
          </w:p>
        </w:tc>
        <w:tc>
          <w:tcPr>
            <w:tcW w:w="776" w:type="dxa"/>
            <w:shd w:val="clear" w:color="auto" w:fill="auto"/>
          </w:tcPr>
          <w:p w14:paraId="05370BEA" w14:textId="77777777" w:rsidR="00322294" w:rsidRPr="00731814" w:rsidRDefault="00322294" w:rsidP="00B97EED">
            <w:pPr>
              <w:jc w:val="center"/>
              <w:rPr>
                <w:rFonts w:cs="Calibri"/>
              </w:rPr>
            </w:pPr>
            <w:r w:rsidRPr="00731814">
              <w:rPr>
                <w:rFonts w:cs="Calibri"/>
              </w:rPr>
              <w:t>220</w:t>
            </w:r>
          </w:p>
        </w:tc>
        <w:tc>
          <w:tcPr>
            <w:tcW w:w="972" w:type="dxa"/>
            <w:shd w:val="clear" w:color="auto" w:fill="auto"/>
          </w:tcPr>
          <w:p w14:paraId="2BD0C309" w14:textId="77777777" w:rsidR="00322294" w:rsidRPr="00731814" w:rsidRDefault="00322294" w:rsidP="00B97EED">
            <w:pPr>
              <w:jc w:val="center"/>
              <w:rPr>
                <w:rFonts w:cs="Calibri"/>
              </w:rPr>
            </w:pPr>
            <w:r w:rsidRPr="00731814">
              <w:rPr>
                <w:rFonts w:cs="Calibri"/>
              </w:rPr>
              <w:t xml:space="preserve">  45 (20)</w:t>
            </w:r>
          </w:p>
        </w:tc>
        <w:tc>
          <w:tcPr>
            <w:tcW w:w="1980" w:type="dxa"/>
            <w:shd w:val="clear" w:color="auto" w:fill="auto"/>
            <w:vAlign w:val="bottom"/>
          </w:tcPr>
          <w:p w14:paraId="02D6FE80" w14:textId="77777777" w:rsidR="00322294" w:rsidRPr="00731814" w:rsidRDefault="00322294" w:rsidP="00B97EED">
            <w:pPr>
              <w:jc w:val="center"/>
              <w:rPr>
                <w:rFonts w:cs="Calibri"/>
                <w:color w:val="000000"/>
                <w:lang w:eastAsia="en-GB"/>
              </w:rPr>
            </w:pPr>
            <w:r w:rsidRPr="00731814">
              <w:rPr>
                <w:rFonts w:cs="Calibri"/>
                <w:color w:val="000000"/>
              </w:rPr>
              <w:t>2.83 (1.52 to 5.27)</w:t>
            </w:r>
          </w:p>
        </w:tc>
        <w:tc>
          <w:tcPr>
            <w:tcW w:w="900" w:type="dxa"/>
            <w:shd w:val="clear" w:color="auto" w:fill="auto"/>
            <w:vAlign w:val="bottom"/>
          </w:tcPr>
          <w:p w14:paraId="0CEE19E5" w14:textId="77777777" w:rsidR="00322294" w:rsidRPr="00731814" w:rsidRDefault="00322294" w:rsidP="00B97EED">
            <w:pPr>
              <w:jc w:val="center"/>
              <w:rPr>
                <w:rFonts w:cs="Calibri"/>
                <w:color w:val="000000"/>
              </w:rPr>
            </w:pPr>
          </w:p>
        </w:tc>
        <w:tc>
          <w:tcPr>
            <w:tcW w:w="1980" w:type="dxa"/>
            <w:shd w:val="clear" w:color="auto" w:fill="auto"/>
          </w:tcPr>
          <w:p w14:paraId="25640BCF" w14:textId="77777777" w:rsidR="00322294" w:rsidRPr="00731814" w:rsidRDefault="00322294" w:rsidP="00B97EED">
            <w:pPr>
              <w:jc w:val="center"/>
              <w:rPr>
                <w:rFonts w:cs="Calibri"/>
              </w:rPr>
            </w:pPr>
            <w:r w:rsidRPr="00731814">
              <w:rPr>
                <w:rFonts w:cs="Calibri"/>
              </w:rPr>
              <w:t>2.75 (1.45 to 5.23)</w:t>
            </w:r>
          </w:p>
        </w:tc>
        <w:tc>
          <w:tcPr>
            <w:tcW w:w="900" w:type="dxa"/>
            <w:shd w:val="clear" w:color="auto" w:fill="auto"/>
          </w:tcPr>
          <w:p w14:paraId="0A25D5B7" w14:textId="77777777" w:rsidR="00322294" w:rsidRPr="00731814" w:rsidRDefault="00322294" w:rsidP="00B97EED">
            <w:pPr>
              <w:jc w:val="center"/>
              <w:rPr>
                <w:rFonts w:cs="Calibri"/>
              </w:rPr>
            </w:pPr>
          </w:p>
        </w:tc>
      </w:tr>
      <w:tr w:rsidR="00322294" w:rsidRPr="00731814" w14:paraId="4A3249C6" w14:textId="77777777" w:rsidTr="00B97EED">
        <w:tc>
          <w:tcPr>
            <w:tcW w:w="3472" w:type="dxa"/>
            <w:shd w:val="clear" w:color="auto" w:fill="auto"/>
          </w:tcPr>
          <w:p w14:paraId="3FA2E99C" w14:textId="77777777" w:rsidR="00322294" w:rsidRPr="00731814" w:rsidRDefault="00322294" w:rsidP="00B97EED">
            <w:pPr>
              <w:rPr>
                <w:rFonts w:cs="Calibri"/>
              </w:rPr>
            </w:pPr>
            <w:r w:rsidRPr="00731814">
              <w:rPr>
                <w:rFonts w:cs="Calibri"/>
              </w:rPr>
              <w:t xml:space="preserve">   30-39 years</w:t>
            </w:r>
          </w:p>
        </w:tc>
        <w:tc>
          <w:tcPr>
            <w:tcW w:w="776" w:type="dxa"/>
            <w:shd w:val="clear" w:color="auto" w:fill="auto"/>
          </w:tcPr>
          <w:p w14:paraId="67E8DE89" w14:textId="77777777" w:rsidR="00322294" w:rsidRPr="00731814" w:rsidRDefault="00322294" w:rsidP="00B97EED">
            <w:pPr>
              <w:jc w:val="center"/>
              <w:rPr>
                <w:rFonts w:cs="Calibri"/>
              </w:rPr>
            </w:pPr>
            <w:r w:rsidRPr="00731814">
              <w:rPr>
                <w:rFonts w:cs="Calibri"/>
              </w:rPr>
              <w:t>437</w:t>
            </w:r>
          </w:p>
        </w:tc>
        <w:tc>
          <w:tcPr>
            <w:tcW w:w="972" w:type="dxa"/>
            <w:shd w:val="clear" w:color="auto" w:fill="auto"/>
          </w:tcPr>
          <w:p w14:paraId="6BAE17F1" w14:textId="77777777" w:rsidR="00322294" w:rsidRPr="00731814" w:rsidRDefault="00322294" w:rsidP="00B97EED">
            <w:pPr>
              <w:jc w:val="center"/>
              <w:rPr>
                <w:rFonts w:cs="Calibri"/>
              </w:rPr>
            </w:pPr>
            <w:r w:rsidRPr="00731814">
              <w:rPr>
                <w:rFonts w:cs="Calibri"/>
              </w:rPr>
              <w:t xml:space="preserve">  64 (15)</w:t>
            </w:r>
          </w:p>
        </w:tc>
        <w:tc>
          <w:tcPr>
            <w:tcW w:w="1980" w:type="dxa"/>
            <w:shd w:val="clear" w:color="auto" w:fill="auto"/>
            <w:vAlign w:val="bottom"/>
          </w:tcPr>
          <w:p w14:paraId="10D96127" w14:textId="77777777" w:rsidR="00322294" w:rsidRPr="00731814" w:rsidRDefault="00322294" w:rsidP="00B97EED">
            <w:pPr>
              <w:jc w:val="center"/>
              <w:rPr>
                <w:rFonts w:cs="Calibri"/>
                <w:color w:val="000000"/>
              </w:rPr>
            </w:pPr>
            <w:r w:rsidRPr="00731814">
              <w:rPr>
                <w:rFonts w:cs="Calibri"/>
                <w:color w:val="000000"/>
              </w:rPr>
              <w:t>1.89 (1.04 to 3.41)</w:t>
            </w:r>
          </w:p>
        </w:tc>
        <w:tc>
          <w:tcPr>
            <w:tcW w:w="900" w:type="dxa"/>
            <w:shd w:val="clear" w:color="auto" w:fill="auto"/>
            <w:vAlign w:val="bottom"/>
          </w:tcPr>
          <w:p w14:paraId="7E70DE85" w14:textId="77777777" w:rsidR="00322294" w:rsidRPr="00731814" w:rsidRDefault="00322294" w:rsidP="00B97EED">
            <w:pPr>
              <w:jc w:val="center"/>
              <w:rPr>
                <w:rFonts w:cs="Calibri"/>
              </w:rPr>
            </w:pPr>
          </w:p>
        </w:tc>
        <w:tc>
          <w:tcPr>
            <w:tcW w:w="1980" w:type="dxa"/>
            <w:shd w:val="clear" w:color="auto" w:fill="auto"/>
          </w:tcPr>
          <w:p w14:paraId="4B158DDA" w14:textId="77777777" w:rsidR="00322294" w:rsidRPr="00731814" w:rsidRDefault="00322294" w:rsidP="00B97EED">
            <w:pPr>
              <w:jc w:val="center"/>
              <w:rPr>
                <w:rFonts w:cs="Calibri"/>
              </w:rPr>
            </w:pPr>
            <w:r w:rsidRPr="00731814">
              <w:rPr>
                <w:rFonts w:cs="Calibri"/>
              </w:rPr>
              <w:t>2.72 (1.47 to 5.05)</w:t>
            </w:r>
          </w:p>
        </w:tc>
        <w:tc>
          <w:tcPr>
            <w:tcW w:w="900" w:type="dxa"/>
            <w:shd w:val="clear" w:color="auto" w:fill="auto"/>
          </w:tcPr>
          <w:p w14:paraId="14EFAFA7" w14:textId="77777777" w:rsidR="00322294" w:rsidRPr="00731814" w:rsidRDefault="00322294" w:rsidP="00B97EED">
            <w:pPr>
              <w:jc w:val="center"/>
              <w:rPr>
                <w:rFonts w:cs="Calibri"/>
              </w:rPr>
            </w:pPr>
          </w:p>
        </w:tc>
      </w:tr>
      <w:tr w:rsidR="00322294" w:rsidRPr="00731814" w14:paraId="7B9385AE" w14:textId="77777777" w:rsidTr="00B97EED">
        <w:tc>
          <w:tcPr>
            <w:tcW w:w="3472" w:type="dxa"/>
            <w:shd w:val="clear" w:color="auto" w:fill="auto"/>
          </w:tcPr>
          <w:p w14:paraId="0644FBF0" w14:textId="77777777" w:rsidR="00322294" w:rsidRPr="00731814" w:rsidRDefault="00322294" w:rsidP="00B97EED">
            <w:pPr>
              <w:rPr>
                <w:rFonts w:cs="Calibri"/>
              </w:rPr>
            </w:pPr>
            <w:r w:rsidRPr="00731814">
              <w:rPr>
                <w:rFonts w:cs="Calibri"/>
              </w:rPr>
              <w:t xml:space="preserve">   40-49 years</w:t>
            </w:r>
          </w:p>
        </w:tc>
        <w:tc>
          <w:tcPr>
            <w:tcW w:w="776" w:type="dxa"/>
            <w:shd w:val="clear" w:color="auto" w:fill="auto"/>
          </w:tcPr>
          <w:p w14:paraId="1F81D2D9" w14:textId="77777777" w:rsidR="00322294" w:rsidRPr="00731814" w:rsidRDefault="00322294" w:rsidP="00B97EED">
            <w:pPr>
              <w:jc w:val="center"/>
              <w:rPr>
                <w:rFonts w:cs="Calibri"/>
              </w:rPr>
            </w:pPr>
            <w:r w:rsidRPr="00731814">
              <w:rPr>
                <w:rFonts w:cs="Calibri"/>
              </w:rPr>
              <w:t>200</w:t>
            </w:r>
          </w:p>
        </w:tc>
        <w:tc>
          <w:tcPr>
            <w:tcW w:w="972" w:type="dxa"/>
            <w:shd w:val="clear" w:color="auto" w:fill="auto"/>
          </w:tcPr>
          <w:p w14:paraId="52828C33" w14:textId="77777777" w:rsidR="00322294" w:rsidRPr="00731814" w:rsidRDefault="00322294" w:rsidP="00B97EED">
            <w:pPr>
              <w:jc w:val="center"/>
              <w:rPr>
                <w:rFonts w:cs="Calibri"/>
              </w:rPr>
            </w:pPr>
            <w:r w:rsidRPr="00731814">
              <w:rPr>
                <w:rFonts w:cs="Calibri"/>
              </w:rPr>
              <w:t xml:space="preserve">  26 (13)</w:t>
            </w:r>
          </w:p>
        </w:tc>
        <w:tc>
          <w:tcPr>
            <w:tcW w:w="1980" w:type="dxa"/>
            <w:shd w:val="clear" w:color="auto" w:fill="auto"/>
            <w:vAlign w:val="bottom"/>
          </w:tcPr>
          <w:p w14:paraId="7549514C" w14:textId="77777777" w:rsidR="00322294" w:rsidRPr="00731814" w:rsidRDefault="00322294" w:rsidP="00B97EED">
            <w:pPr>
              <w:jc w:val="center"/>
              <w:rPr>
                <w:rFonts w:cs="Calibri"/>
                <w:color w:val="000000"/>
              </w:rPr>
            </w:pPr>
            <w:r w:rsidRPr="00731814">
              <w:rPr>
                <w:rFonts w:cs="Calibri"/>
                <w:color w:val="000000"/>
              </w:rPr>
              <w:t>1.64 (0.84 to 3.21)</w:t>
            </w:r>
          </w:p>
        </w:tc>
        <w:tc>
          <w:tcPr>
            <w:tcW w:w="900" w:type="dxa"/>
            <w:shd w:val="clear" w:color="auto" w:fill="auto"/>
            <w:vAlign w:val="bottom"/>
          </w:tcPr>
          <w:p w14:paraId="18C0C979" w14:textId="77777777" w:rsidR="00322294" w:rsidRPr="00731814" w:rsidRDefault="00322294" w:rsidP="00B97EED">
            <w:pPr>
              <w:jc w:val="center"/>
              <w:rPr>
                <w:rFonts w:cs="Calibri"/>
              </w:rPr>
            </w:pPr>
          </w:p>
        </w:tc>
        <w:tc>
          <w:tcPr>
            <w:tcW w:w="1980" w:type="dxa"/>
            <w:shd w:val="clear" w:color="auto" w:fill="auto"/>
          </w:tcPr>
          <w:p w14:paraId="36FDD9FC" w14:textId="77777777" w:rsidR="00322294" w:rsidRPr="00731814" w:rsidRDefault="00322294" w:rsidP="00B97EED">
            <w:pPr>
              <w:jc w:val="center"/>
              <w:rPr>
                <w:rFonts w:cs="Calibri"/>
              </w:rPr>
            </w:pPr>
            <w:r w:rsidRPr="00731814">
              <w:rPr>
                <w:rFonts w:cs="Calibri"/>
              </w:rPr>
              <w:t>3.05 (1.49 to 6.24)</w:t>
            </w:r>
          </w:p>
        </w:tc>
        <w:tc>
          <w:tcPr>
            <w:tcW w:w="900" w:type="dxa"/>
            <w:shd w:val="clear" w:color="auto" w:fill="auto"/>
          </w:tcPr>
          <w:p w14:paraId="43A066C6" w14:textId="77777777" w:rsidR="00322294" w:rsidRPr="00731814" w:rsidRDefault="00322294" w:rsidP="00B97EED">
            <w:pPr>
              <w:jc w:val="center"/>
              <w:rPr>
                <w:rFonts w:cs="Calibri"/>
              </w:rPr>
            </w:pPr>
          </w:p>
        </w:tc>
      </w:tr>
      <w:tr w:rsidR="00322294" w:rsidRPr="00731814" w14:paraId="043B3853" w14:textId="77777777" w:rsidTr="00B97EED">
        <w:tc>
          <w:tcPr>
            <w:tcW w:w="3472" w:type="dxa"/>
            <w:shd w:val="clear" w:color="auto" w:fill="auto"/>
          </w:tcPr>
          <w:p w14:paraId="657C568D" w14:textId="77777777" w:rsidR="00322294" w:rsidRPr="00731814" w:rsidRDefault="00322294" w:rsidP="00B97EED">
            <w:pPr>
              <w:rPr>
                <w:rFonts w:cs="Calibri"/>
              </w:rPr>
            </w:pPr>
            <w:r w:rsidRPr="00731814">
              <w:rPr>
                <w:rFonts w:cs="Calibri"/>
              </w:rPr>
              <w:t xml:space="preserve">   ≥50    years</w:t>
            </w:r>
          </w:p>
        </w:tc>
        <w:tc>
          <w:tcPr>
            <w:tcW w:w="776" w:type="dxa"/>
            <w:shd w:val="clear" w:color="auto" w:fill="auto"/>
          </w:tcPr>
          <w:p w14:paraId="6E114041" w14:textId="77777777" w:rsidR="00322294" w:rsidRPr="00731814" w:rsidRDefault="00322294" w:rsidP="00B97EED">
            <w:pPr>
              <w:jc w:val="center"/>
              <w:rPr>
                <w:rFonts w:cs="Calibri"/>
              </w:rPr>
            </w:pPr>
            <w:r w:rsidRPr="00731814">
              <w:rPr>
                <w:rFonts w:cs="Calibri"/>
              </w:rPr>
              <w:t>69</w:t>
            </w:r>
          </w:p>
        </w:tc>
        <w:tc>
          <w:tcPr>
            <w:tcW w:w="972" w:type="dxa"/>
            <w:shd w:val="clear" w:color="auto" w:fill="auto"/>
          </w:tcPr>
          <w:p w14:paraId="26DAE012" w14:textId="77777777" w:rsidR="00322294" w:rsidRPr="00731814" w:rsidRDefault="00322294" w:rsidP="00B97EED">
            <w:pPr>
              <w:jc w:val="center"/>
              <w:rPr>
                <w:rFonts w:cs="Calibri"/>
              </w:rPr>
            </w:pPr>
            <w:r w:rsidRPr="00731814">
              <w:rPr>
                <w:rFonts w:cs="Calibri"/>
              </w:rPr>
              <w:t xml:space="preserve">    7 (10)</w:t>
            </w:r>
          </w:p>
        </w:tc>
        <w:tc>
          <w:tcPr>
            <w:tcW w:w="1980" w:type="dxa"/>
            <w:shd w:val="clear" w:color="auto" w:fill="auto"/>
            <w:vAlign w:val="bottom"/>
          </w:tcPr>
          <w:p w14:paraId="35D2E017" w14:textId="77777777" w:rsidR="00322294" w:rsidRPr="00731814" w:rsidRDefault="00322294" w:rsidP="00B97EED">
            <w:pPr>
              <w:jc w:val="center"/>
              <w:rPr>
                <w:rFonts w:cs="Calibri"/>
                <w:color w:val="000000"/>
              </w:rPr>
            </w:pPr>
            <w:r w:rsidRPr="00731814">
              <w:rPr>
                <w:rFonts w:cs="Calibri"/>
                <w:color w:val="000000"/>
              </w:rPr>
              <w:t>1.24 (0.48 to 3.19)</w:t>
            </w:r>
          </w:p>
        </w:tc>
        <w:tc>
          <w:tcPr>
            <w:tcW w:w="900" w:type="dxa"/>
            <w:shd w:val="clear" w:color="auto" w:fill="auto"/>
            <w:vAlign w:val="bottom"/>
          </w:tcPr>
          <w:p w14:paraId="75EBAC1E" w14:textId="77777777" w:rsidR="00322294" w:rsidRPr="00731814" w:rsidRDefault="00322294" w:rsidP="00B97EED">
            <w:pPr>
              <w:jc w:val="center"/>
              <w:rPr>
                <w:rFonts w:cs="Calibri"/>
              </w:rPr>
            </w:pPr>
          </w:p>
        </w:tc>
        <w:tc>
          <w:tcPr>
            <w:tcW w:w="1980" w:type="dxa"/>
            <w:shd w:val="clear" w:color="auto" w:fill="auto"/>
          </w:tcPr>
          <w:p w14:paraId="6D36EBF6" w14:textId="77777777" w:rsidR="00322294" w:rsidRPr="00731814" w:rsidRDefault="00322294" w:rsidP="00B97EED">
            <w:pPr>
              <w:jc w:val="center"/>
              <w:rPr>
                <w:rFonts w:cs="Calibri"/>
              </w:rPr>
            </w:pPr>
            <w:r w:rsidRPr="00731814">
              <w:rPr>
                <w:rFonts w:cs="Calibri"/>
              </w:rPr>
              <w:t>2.54 (0.95 to 6.82)</w:t>
            </w:r>
          </w:p>
        </w:tc>
        <w:tc>
          <w:tcPr>
            <w:tcW w:w="900" w:type="dxa"/>
            <w:shd w:val="clear" w:color="auto" w:fill="auto"/>
          </w:tcPr>
          <w:p w14:paraId="6F074050" w14:textId="77777777" w:rsidR="00322294" w:rsidRPr="00731814" w:rsidRDefault="00322294" w:rsidP="00B97EED">
            <w:pPr>
              <w:jc w:val="center"/>
              <w:rPr>
                <w:rFonts w:cs="Calibri"/>
              </w:rPr>
            </w:pPr>
          </w:p>
        </w:tc>
      </w:tr>
      <w:tr w:rsidR="00322294" w:rsidRPr="00731814" w14:paraId="17FA4164" w14:textId="77777777" w:rsidTr="00B97EED">
        <w:tc>
          <w:tcPr>
            <w:tcW w:w="3472" w:type="dxa"/>
            <w:shd w:val="clear" w:color="auto" w:fill="auto"/>
          </w:tcPr>
          <w:p w14:paraId="6EEC73FC" w14:textId="77777777" w:rsidR="00322294" w:rsidRPr="00731814" w:rsidRDefault="00322294" w:rsidP="00B97EED">
            <w:pPr>
              <w:rPr>
                <w:rFonts w:cs="Calibri"/>
                <w:b/>
              </w:rPr>
            </w:pPr>
            <w:r w:rsidRPr="00731814">
              <w:rPr>
                <w:rFonts w:cs="Calibri"/>
                <w:b/>
              </w:rPr>
              <w:t>Marital status</w:t>
            </w:r>
          </w:p>
        </w:tc>
        <w:tc>
          <w:tcPr>
            <w:tcW w:w="776" w:type="dxa"/>
            <w:shd w:val="clear" w:color="auto" w:fill="auto"/>
          </w:tcPr>
          <w:p w14:paraId="002A6E5B" w14:textId="77777777" w:rsidR="00322294" w:rsidRPr="00731814" w:rsidRDefault="00322294" w:rsidP="00B97EED">
            <w:pPr>
              <w:jc w:val="center"/>
              <w:rPr>
                <w:rFonts w:cs="Calibri"/>
                <w:b/>
              </w:rPr>
            </w:pPr>
          </w:p>
        </w:tc>
        <w:tc>
          <w:tcPr>
            <w:tcW w:w="972" w:type="dxa"/>
            <w:shd w:val="clear" w:color="auto" w:fill="auto"/>
          </w:tcPr>
          <w:p w14:paraId="76D84A6F" w14:textId="77777777" w:rsidR="00322294" w:rsidRPr="00731814" w:rsidRDefault="00322294" w:rsidP="00B97EED">
            <w:pPr>
              <w:jc w:val="center"/>
              <w:rPr>
                <w:rFonts w:cs="Calibri"/>
                <w:b/>
              </w:rPr>
            </w:pPr>
          </w:p>
        </w:tc>
        <w:tc>
          <w:tcPr>
            <w:tcW w:w="1980" w:type="dxa"/>
            <w:shd w:val="clear" w:color="auto" w:fill="auto"/>
          </w:tcPr>
          <w:p w14:paraId="62AC7910" w14:textId="77777777" w:rsidR="00322294" w:rsidRPr="00731814" w:rsidRDefault="00322294" w:rsidP="00B97EED">
            <w:pPr>
              <w:jc w:val="center"/>
              <w:rPr>
                <w:rFonts w:cs="Calibri"/>
                <w:b/>
              </w:rPr>
            </w:pPr>
          </w:p>
        </w:tc>
        <w:tc>
          <w:tcPr>
            <w:tcW w:w="900" w:type="dxa"/>
            <w:shd w:val="clear" w:color="auto" w:fill="auto"/>
            <w:vAlign w:val="bottom"/>
          </w:tcPr>
          <w:p w14:paraId="0DAD42E4" w14:textId="77777777" w:rsidR="00322294" w:rsidRPr="00731814" w:rsidRDefault="00322294" w:rsidP="00B97EED">
            <w:pPr>
              <w:jc w:val="center"/>
              <w:rPr>
                <w:rFonts w:cs="Calibri"/>
              </w:rPr>
            </w:pPr>
          </w:p>
        </w:tc>
        <w:tc>
          <w:tcPr>
            <w:tcW w:w="1980" w:type="dxa"/>
            <w:shd w:val="clear" w:color="auto" w:fill="auto"/>
          </w:tcPr>
          <w:p w14:paraId="4AEBE3C4" w14:textId="77777777" w:rsidR="00322294" w:rsidRPr="00731814" w:rsidRDefault="00322294" w:rsidP="00B97EED">
            <w:pPr>
              <w:jc w:val="center"/>
              <w:rPr>
                <w:rFonts w:cs="Calibri"/>
                <w:b/>
              </w:rPr>
            </w:pPr>
          </w:p>
        </w:tc>
        <w:tc>
          <w:tcPr>
            <w:tcW w:w="900" w:type="dxa"/>
            <w:shd w:val="clear" w:color="auto" w:fill="auto"/>
          </w:tcPr>
          <w:p w14:paraId="568DC638" w14:textId="77777777" w:rsidR="00322294" w:rsidRPr="00731814" w:rsidRDefault="00322294" w:rsidP="00B97EED">
            <w:pPr>
              <w:jc w:val="center"/>
              <w:rPr>
                <w:rFonts w:cs="Calibri"/>
                <w:b/>
              </w:rPr>
            </w:pPr>
          </w:p>
        </w:tc>
      </w:tr>
      <w:tr w:rsidR="00322294" w:rsidRPr="00731814" w14:paraId="13B13EC5" w14:textId="77777777" w:rsidTr="00B97EED">
        <w:tc>
          <w:tcPr>
            <w:tcW w:w="3472" w:type="dxa"/>
            <w:shd w:val="clear" w:color="auto" w:fill="auto"/>
          </w:tcPr>
          <w:p w14:paraId="76AB5425" w14:textId="77777777" w:rsidR="00322294" w:rsidRPr="00731814" w:rsidRDefault="00322294" w:rsidP="00B97EED">
            <w:pPr>
              <w:rPr>
                <w:rFonts w:cs="Calibri"/>
              </w:rPr>
            </w:pPr>
            <w:r w:rsidRPr="00731814">
              <w:rPr>
                <w:rFonts w:cs="Calibri"/>
              </w:rPr>
              <w:t xml:space="preserve">   Married or cohabiting</w:t>
            </w:r>
          </w:p>
        </w:tc>
        <w:tc>
          <w:tcPr>
            <w:tcW w:w="776" w:type="dxa"/>
            <w:shd w:val="clear" w:color="auto" w:fill="auto"/>
          </w:tcPr>
          <w:p w14:paraId="25C7FFD6" w14:textId="77777777" w:rsidR="00322294" w:rsidRPr="00731814" w:rsidRDefault="00322294" w:rsidP="00B97EED">
            <w:pPr>
              <w:jc w:val="center"/>
              <w:rPr>
                <w:rFonts w:cs="Calibri"/>
              </w:rPr>
            </w:pPr>
            <w:r w:rsidRPr="00731814">
              <w:rPr>
                <w:rFonts w:cs="Calibri"/>
              </w:rPr>
              <w:t>624</w:t>
            </w:r>
          </w:p>
        </w:tc>
        <w:tc>
          <w:tcPr>
            <w:tcW w:w="972" w:type="dxa"/>
            <w:shd w:val="clear" w:color="auto" w:fill="auto"/>
            <w:vAlign w:val="bottom"/>
          </w:tcPr>
          <w:p w14:paraId="04AE79E8" w14:textId="77777777" w:rsidR="00322294" w:rsidRPr="00731814" w:rsidRDefault="00322294" w:rsidP="00B97EED">
            <w:pPr>
              <w:jc w:val="center"/>
              <w:rPr>
                <w:rFonts w:cs="Calibri"/>
                <w:color w:val="000000"/>
                <w:lang w:eastAsia="en-GB"/>
              </w:rPr>
            </w:pPr>
            <w:r w:rsidRPr="00731814">
              <w:rPr>
                <w:rFonts w:cs="Calibri"/>
                <w:color w:val="000000"/>
              </w:rPr>
              <w:t xml:space="preserve">  43</w:t>
            </w:r>
            <w:r w:rsidRPr="00731814">
              <w:rPr>
                <w:rFonts w:cs="Calibri"/>
              </w:rPr>
              <w:t xml:space="preserve"> </w:t>
            </w:r>
            <w:proofErr w:type="gramStart"/>
            <w:r w:rsidRPr="00731814">
              <w:rPr>
                <w:rFonts w:cs="Calibri"/>
              </w:rPr>
              <w:t>(  7</w:t>
            </w:r>
            <w:proofErr w:type="gramEnd"/>
            <w:r w:rsidRPr="00731814">
              <w:rPr>
                <w:rFonts w:cs="Calibri"/>
              </w:rPr>
              <w:t>)</w:t>
            </w:r>
          </w:p>
        </w:tc>
        <w:tc>
          <w:tcPr>
            <w:tcW w:w="1980" w:type="dxa"/>
            <w:shd w:val="clear" w:color="auto" w:fill="auto"/>
          </w:tcPr>
          <w:p w14:paraId="34875F7F"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4867570A"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3F82F48C"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1DEC7780" w14:textId="77777777" w:rsidR="00322294" w:rsidRPr="00731814" w:rsidRDefault="00322294" w:rsidP="00B97EED">
            <w:pPr>
              <w:jc w:val="center"/>
              <w:rPr>
                <w:rFonts w:cs="Calibri"/>
              </w:rPr>
            </w:pPr>
            <w:r w:rsidRPr="00731814">
              <w:rPr>
                <w:rFonts w:cs="Calibri"/>
                <w:color w:val="000000"/>
              </w:rPr>
              <w:t>&lt;0.001</w:t>
            </w:r>
          </w:p>
        </w:tc>
      </w:tr>
      <w:tr w:rsidR="00322294" w:rsidRPr="00731814" w14:paraId="24AAD2C1" w14:textId="77777777" w:rsidTr="00B97EED">
        <w:tc>
          <w:tcPr>
            <w:tcW w:w="3472" w:type="dxa"/>
            <w:shd w:val="clear" w:color="auto" w:fill="auto"/>
          </w:tcPr>
          <w:p w14:paraId="11C1DA2B" w14:textId="77777777" w:rsidR="00322294" w:rsidRPr="00731814" w:rsidRDefault="00322294" w:rsidP="00B97EED">
            <w:pPr>
              <w:rPr>
                <w:rFonts w:cs="Calibri"/>
              </w:rPr>
            </w:pPr>
            <w:r w:rsidRPr="00731814">
              <w:rPr>
                <w:rFonts w:cs="Calibri"/>
              </w:rPr>
              <w:t xml:space="preserve">   Widowed</w:t>
            </w:r>
          </w:p>
        </w:tc>
        <w:tc>
          <w:tcPr>
            <w:tcW w:w="776" w:type="dxa"/>
            <w:shd w:val="clear" w:color="auto" w:fill="auto"/>
          </w:tcPr>
          <w:p w14:paraId="54DB6BDA" w14:textId="77777777" w:rsidR="00322294" w:rsidRPr="00731814" w:rsidRDefault="00322294" w:rsidP="00B97EED">
            <w:pPr>
              <w:jc w:val="center"/>
              <w:rPr>
                <w:rFonts w:cs="Calibri"/>
              </w:rPr>
            </w:pPr>
            <w:r w:rsidRPr="00731814">
              <w:rPr>
                <w:rFonts w:cs="Calibri"/>
              </w:rPr>
              <w:t>31</w:t>
            </w:r>
          </w:p>
        </w:tc>
        <w:tc>
          <w:tcPr>
            <w:tcW w:w="972" w:type="dxa"/>
            <w:shd w:val="clear" w:color="auto" w:fill="auto"/>
            <w:vAlign w:val="bottom"/>
          </w:tcPr>
          <w:p w14:paraId="00C567EF" w14:textId="77777777" w:rsidR="00322294" w:rsidRPr="00731814" w:rsidRDefault="00322294" w:rsidP="00B97EED">
            <w:pPr>
              <w:jc w:val="center"/>
              <w:rPr>
                <w:rFonts w:cs="Calibri"/>
                <w:color w:val="000000"/>
              </w:rPr>
            </w:pPr>
            <w:r w:rsidRPr="00731814">
              <w:rPr>
                <w:rFonts w:cs="Calibri"/>
                <w:color w:val="000000"/>
              </w:rPr>
              <w:t xml:space="preserve">  12</w:t>
            </w:r>
            <w:r w:rsidRPr="00731814">
              <w:rPr>
                <w:rFonts w:cs="Calibri"/>
              </w:rPr>
              <w:t xml:space="preserve"> (39)</w:t>
            </w:r>
          </w:p>
        </w:tc>
        <w:tc>
          <w:tcPr>
            <w:tcW w:w="1980" w:type="dxa"/>
            <w:shd w:val="clear" w:color="auto" w:fill="auto"/>
            <w:vAlign w:val="bottom"/>
          </w:tcPr>
          <w:p w14:paraId="3030F838" w14:textId="77777777" w:rsidR="00322294" w:rsidRPr="00731814" w:rsidRDefault="00322294" w:rsidP="00B97EED">
            <w:pPr>
              <w:jc w:val="center"/>
              <w:rPr>
                <w:rFonts w:cs="Calibri"/>
                <w:color w:val="000000"/>
                <w:lang w:eastAsia="en-GB"/>
              </w:rPr>
            </w:pPr>
            <w:r w:rsidRPr="00731814">
              <w:rPr>
                <w:rFonts w:cs="Calibri"/>
                <w:color w:val="000000"/>
              </w:rPr>
              <w:t>8.53 (3.89 to 18.7)</w:t>
            </w:r>
          </w:p>
        </w:tc>
        <w:tc>
          <w:tcPr>
            <w:tcW w:w="900" w:type="dxa"/>
            <w:shd w:val="clear" w:color="auto" w:fill="auto"/>
            <w:vAlign w:val="bottom"/>
          </w:tcPr>
          <w:p w14:paraId="61AF3F41" w14:textId="77777777" w:rsidR="00322294" w:rsidRPr="00731814" w:rsidRDefault="00322294" w:rsidP="00B97EED">
            <w:pPr>
              <w:jc w:val="center"/>
              <w:rPr>
                <w:rFonts w:cs="Calibri"/>
                <w:color w:val="000000"/>
              </w:rPr>
            </w:pPr>
          </w:p>
        </w:tc>
        <w:tc>
          <w:tcPr>
            <w:tcW w:w="1980" w:type="dxa"/>
            <w:shd w:val="clear" w:color="auto" w:fill="auto"/>
          </w:tcPr>
          <w:p w14:paraId="1B1A8DD3" w14:textId="77777777" w:rsidR="00322294" w:rsidRPr="00731814" w:rsidRDefault="00322294" w:rsidP="00B97EED">
            <w:pPr>
              <w:jc w:val="center"/>
              <w:rPr>
                <w:rFonts w:cs="Calibri"/>
              </w:rPr>
            </w:pPr>
            <w:r w:rsidRPr="00731814">
              <w:rPr>
                <w:rFonts w:cs="Calibri"/>
              </w:rPr>
              <w:t>6.36 (2.67 to 15.1)</w:t>
            </w:r>
          </w:p>
        </w:tc>
        <w:tc>
          <w:tcPr>
            <w:tcW w:w="900" w:type="dxa"/>
            <w:shd w:val="clear" w:color="auto" w:fill="auto"/>
          </w:tcPr>
          <w:p w14:paraId="64BF9458" w14:textId="77777777" w:rsidR="00322294" w:rsidRPr="00731814" w:rsidRDefault="00322294" w:rsidP="00B97EED">
            <w:pPr>
              <w:jc w:val="center"/>
              <w:rPr>
                <w:rFonts w:cs="Calibri"/>
              </w:rPr>
            </w:pPr>
          </w:p>
        </w:tc>
      </w:tr>
      <w:tr w:rsidR="00322294" w:rsidRPr="00731814" w14:paraId="01071A45" w14:textId="77777777" w:rsidTr="00B97EED">
        <w:tc>
          <w:tcPr>
            <w:tcW w:w="3472" w:type="dxa"/>
            <w:shd w:val="clear" w:color="auto" w:fill="auto"/>
          </w:tcPr>
          <w:p w14:paraId="48640756" w14:textId="77777777" w:rsidR="00322294" w:rsidRPr="00731814" w:rsidRDefault="00322294" w:rsidP="00B97EED">
            <w:pPr>
              <w:rPr>
                <w:rFonts w:cs="Calibri"/>
              </w:rPr>
            </w:pPr>
            <w:r w:rsidRPr="00731814">
              <w:rPr>
                <w:rFonts w:cs="Calibri"/>
              </w:rPr>
              <w:t xml:space="preserve">   Separated or divorced</w:t>
            </w:r>
          </w:p>
        </w:tc>
        <w:tc>
          <w:tcPr>
            <w:tcW w:w="776" w:type="dxa"/>
            <w:shd w:val="clear" w:color="auto" w:fill="auto"/>
          </w:tcPr>
          <w:p w14:paraId="407A442F" w14:textId="77777777" w:rsidR="00322294" w:rsidRPr="00731814" w:rsidRDefault="00322294" w:rsidP="00B97EED">
            <w:pPr>
              <w:jc w:val="center"/>
              <w:rPr>
                <w:rFonts w:cs="Calibri"/>
              </w:rPr>
            </w:pPr>
            <w:r w:rsidRPr="00731814">
              <w:rPr>
                <w:rFonts w:cs="Calibri"/>
              </w:rPr>
              <w:t>347</w:t>
            </w:r>
          </w:p>
        </w:tc>
        <w:tc>
          <w:tcPr>
            <w:tcW w:w="972" w:type="dxa"/>
            <w:shd w:val="clear" w:color="auto" w:fill="auto"/>
            <w:vAlign w:val="bottom"/>
          </w:tcPr>
          <w:p w14:paraId="2D96A607" w14:textId="77777777" w:rsidR="00322294" w:rsidRPr="00731814" w:rsidRDefault="00322294" w:rsidP="00B97EED">
            <w:pPr>
              <w:jc w:val="center"/>
              <w:rPr>
                <w:rFonts w:cs="Calibri"/>
                <w:color w:val="000000"/>
              </w:rPr>
            </w:pPr>
            <w:r w:rsidRPr="00731814">
              <w:rPr>
                <w:rFonts w:cs="Calibri"/>
                <w:color w:val="000000"/>
              </w:rPr>
              <w:t xml:space="preserve">  94</w:t>
            </w:r>
            <w:r w:rsidRPr="00731814">
              <w:rPr>
                <w:rFonts w:cs="Calibri"/>
              </w:rPr>
              <w:t xml:space="preserve"> (27)</w:t>
            </w:r>
          </w:p>
        </w:tc>
        <w:tc>
          <w:tcPr>
            <w:tcW w:w="1980" w:type="dxa"/>
            <w:shd w:val="clear" w:color="auto" w:fill="auto"/>
            <w:vAlign w:val="bottom"/>
          </w:tcPr>
          <w:p w14:paraId="076C240D" w14:textId="77777777" w:rsidR="00322294" w:rsidRPr="00731814" w:rsidRDefault="00322294" w:rsidP="00B97EED">
            <w:pPr>
              <w:jc w:val="center"/>
              <w:rPr>
                <w:rFonts w:cs="Calibri"/>
                <w:color w:val="000000"/>
              </w:rPr>
            </w:pPr>
            <w:r w:rsidRPr="00731814">
              <w:rPr>
                <w:rFonts w:cs="Calibri"/>
                <w:color w:val="000000"/>
              </w:rPr>
              <w:t>5.02 (3.40 to 7.41)</w:t>
            </w:r>
          </w:p>
        </w:tc>
        <w:tc>
          <w:tcPr>
            <w:tcW w:w="900" w:type="dxa"/>
            <w:shd w:val="clear" w:color="auto" w:fill="auto"/>
            <w:vAlign w:val="bottom"/>
          </w:tcPr>
          <w:p w14:paraId="5AAFC177" w14:textId="77777777" w:rsidR="00322294" w:rsidRPr="00731814" w:rsidRDefault="00322294" w:rsidP="00B97EED">
            <w:pPr>
              <w:jc w:val="center"/>
              <w:rPr>
                <w:rFonts w:cs="Calibri"/>
              </w:rPr>
            </w:pPr>
          </w:p>
        </w:tc>
        <w:tc>
          <w:tcPr>
            <w:tcW w:w="1980" w:type="dxa"/>
            <w:shd w:val="clear" w:color="auto" w:fill="auto"/>
          </w:tcPr>
          <w:p w14:paraId="239DDBA8" w14:textId="77777777" w:rsidR="00322294" w:rsidRPr="00731814" w:rsidRDefault="00322294" w:rsidP="00B97EED">
            <w:pPr>
              <w:jc w:val="center"/>
              <w:rPr>
                <w:rFonts w:cs="Calibri"/>
              </w:rPr>
            </w:pPr>
            <w:r w:rsidRPr="00731814">
              <w:rPr>
                <w:rFonts w:cs="Calibri"/>
              </w:rPr>
              <w:t>2.87 (1.72 to 4.76)</w:t>
            </w:r>
          </w:p>
        </w:tc>
        <w:tc>
          <w:tcPr>
            <w:tcW w:w="900" w:type="dxa"/>
            <w:shd w:val="clear" w:color="auto" w:fill="auto"/>
          </w:tcPr>
          <w:p w14:paraId="7A00854F" w14:textId="77777777" w:rsidR="00322294" w:rsidRPr="00731814" w:rsidRDefault="00322294" w:rsidP="00B97EED">
            <w:pPr>
              <w:jc w:val="center"/>
              <w:rPr>
                <w:rFonts w:cs="Calibri"/>
              </w:rPr>
            </w:pPr>
          </w:p>
        </w:tc>
      </w:tr>
      <w:tr w:rsidR="00322294" w:rsidRPr="00731814" w14:paraId="5B2A9C3E" w14:textId="77777777" w:rsidTr="00B97EED">
        <w:tc>
          <w:tcPr>
            <w:tcW w:w="3472" w:type="dxa"/>
            <w:shd w:val="clear" w:color="auto" w:fill="auto"/>
          </w:tcPr>
          <w:p w14:paraId="08877235" w14:textId="77777777" w:rsidR="00322294" w:rsidRPr="00731814" w:rsidRDefault="00322294" w:rsidP="00B97EED">
            <w:pPr>
              <w:rPr>
                <w:rFonts w:cs="Calibri"/>
              </w:rPr>
            </w:pPr>
            <w:r w:rsidRPr="00731814">
              <w:rPr>
                <w:rFonts w:cs="Calibri"/>
              </w:rPr>
              <w:t xml:space="preserve">   Single – never married</w:t>
            </w:r>
          </w:p>
        </w:tc>
        <w:tc>
          <w:tcPr>
            <w:tcW w:w="776" w:type="dxa"/>
            <w:shd w:val="clear" w:color="auto" w:fill="auto"/>
          </w:tcPr>
          <w:p w14:paraId="4F350404" w14:textId="77777777" w:rsidR="00322294" w:rsidRPr="00731814" w:rsidRDefault="00322294" w:rsidP="00B97EED">
            <w:pPr>
              <w:jc w:val="center"/>
              <w:rPr>
                <w:rFonts w:cs="Calibri"/>
              </w:rPr>
            </w:pPr>
            <w:r w:rsidRPr="00731814">
              <w:rPr>
                <w:rFonts w:cs="Calibri"/>
              </w:rPr>
              <w:t>119</w:t>
            </w:r>
          </w:p>
        </w:tc>
        <w:tc>
          <w:tcPr>
            <w:tcW w:w="972" w:type="dxa"/>
            <w:shd w:val="clear" w:color="auto" w:fill="auto"/>
            <w:vAlign w:val="bottom"/>
          </w:tcPr>
          <w:p w14:paraId="3FE7EB9A" w14:textId="77777777" w:rsidR="00322294" w:rsidRPr="00731814" w:rsidRDefault="00322294" w:rsidP="00B97EED">
            <w:pPr>
              <w:jc w:val="center"/>
              <w:rPr>
                <w:rFonts w:cs="Calibri"/>
                <w:color w:val="000000"/>
              </w:rPr>
            </w:pPr>
            <w:r w:rsidRPr="00731814">
              <w:rPr>
                <w:rFonts w:cs="Calibri"/>
                <w:color w:val="000000"/>
              </w:rPr>
              <w:t xml:space="preserve">  10</w:t>
            </w:r>
            <w:r w:rsidRPr="00731814">
              <w:rPr>
                <w:rFonts w:cs="Calibri"/>
              </w:rPr>
              <w:t xml:space="preserve"> </w:t>
            </w:r>
            <w:proofErr w:type="gramStart"/>
            <w:r w:rsidRPr="00731814">
              <w:rPr>
                <w:rFonts w:cs="Calibri"/>
              </w:rPr>
              <w:t>(  8</w:t>
            </w:r>
            <w:proofErr w:type="gramEnd"/>
            <w:r w:rsidRPr="00731814">
              <w:rPr>
                <w:rFonts w:cs="Calibri"/>
              </w:rPr>
              <w:t>)</w:t>
            </w:r>
          </w:p>
        </w:tc>
        <w:tc>
          <w:tcPr>
            <w:tcW w:w="1980" w:type="dxa"/>
            <w:shd w:val="clear" w:color="auto" w:fill="auto"/>
            <w:vAlign w:val="bottom"/>
          </w:tcPr>
          <w:p w14:paraId="3F464285" w14:textId="77777777" w:rsidR="00322294" w:rsidRPr="00731814" w:rsidRDefault="00322294" w:rsidP="00B97EED">
            <w:pPr>
              <w:jc w:val="center"/>
              <w:rPr>
                <w:rFonts w:cs="Calibri"/>
                <w:color w:val="000000"/>
              </w:rPr>
            </w:pPr>
            <w:r w:rsidRPr="00731814">
              <w:rPr>
                <w:rFonts w:cs="Calibri"/>
                <w:color w:val="000000"/>
              </w:rPr>
              <w:t>1.24 (0.60 to 2.54)</w:t>
            </w:r>
          </w:p>
        </w:tc>
        <w:tc>
          <w:tcPr>
            <w:tcW w:w="900" w:type="dxa"/>
            <w:shd w:val="clear" w:color="auto" w:fill="auto"/>
            <w:vAlign w:val="bottom"/>
          </w:tcPr>
          <w:p w14:paraId="0572BE6A" w14:textId="77777777" w:rsidR="00322294" w:rsidRPr="00731814" w:rsidRDefault="00322294" w:rsidP="00B97EED">
            <w:pPr>
              <w:jc w:val="center"/>
              <w:rPr>
                <w:rFonts w:cs="Calibri"/>
              </w:rPr>
            </w:pPr>
          </w:p>
        </w:tc>
        <w:tc>
          <w:tcPr>
            <w:tcW w:w="1980" w:type="dxa"/>
            <w:shd w:val="clear" w:color="auto" w:fill="auto"/>
          </w:tcPr>
          <w:p w14:paraId="1DFF90AC" w14:textId="77777777" w:rsidR="00322294" w:rsidRPr="00731814" w:rsidRDefault="00322294" w:rsidP="00B97EED">
            <w:pPr>
              <w:jc w:val="center"/>
              <w:rPr>
                <w:rFonts w:cs="Calibri"/>
              </w:rPr>
            </w:pPr>
            <w:r w:rsidRPr="00731814">
              <w:rPr>
                <w:rFonts w:cs="Calibri"/>
              </w:rPr>
              <w:t>1.62 (0.72 to 3.63)</w:t>
            </w:r>
          </w:p>
        </w:tc>
        <w:tc>
          <w:tcPr>
            <w:tcW w:w="900" w:type="dxa"/>
            <w:shd w:val="clear" w:color="auto" w:fill="auto"/>
          </w:tcPr>
          <w:p w14:paraId="705DD7BF" w14:textId="77777777" w:rsidR="00322294" w:rsidRPr="00731814" w:rsidRDefault="00322294" w:rsidP="00B97EED">
            <w:pPr>
              <w:jc w:val="center"/>
              <w:rPr>
                <w:rFonts w:cs="Calibri"/>
              </w:rPr>
            </w:pPr>
          </w:p>
        </w:tc>
      </w:tr>
      <w:tr w:rsidR="00322294" w:rsidRPr="00731814" w14:paraId="42714F8C" w14:textId="77777777" w:rsidTr="00B97EED">
        <w:tc>
          <w:tcPr>
            <w:tcW w:w="3472" w:type="dxa"/>
            <w:shd w:val="clear" w:color="auto" w:fill="auto"/>
          </w:tcPr>
          <w:p w14:paraId="0CB8D90F" w14:textId="77777777" w:rsidR="00322294" w:rsidRPr="00731814" w:rsidRDefault="00322294" w:rsidP="00B97EED">
            <w:pPr>
              <w:rPr>
                <w:rFonts w:cs="Calibri"/>
                <w:b/>
              </w:rPr>
            </w:pPr>
            <w:r w:rsidRPr="00731814">
              <w:rPr>
                <w:rFonts w:cs="Calibri"/>
                <w:b/>
              </w:rPr>
              <w:t>Education</w:t>
            </w:r>
          </w:p>
        </w:tc>
        <w:tc>
          <w:tcPr>
            <w:tcW w:w="776" w:type="dxa"/>
            <w:shd w:val="clear" w:color="auto" w:fill="auto"/>
          </w:tcPr>
          <w:p w14:paraId="2A6BC275" w14:textId="77777777" w:rsidR="00322294" w:rsidRPr="00731814" w:rsidRDefault="00322294" w:rsidP="00B97EED">
            <w:pPr>
              <w:jc w:val="center"/>
              <w:rPr>
                <w:rFonts w:cs="Calibri"/>
                <w:b/>
              </w:rPr>
            </w:pPr>
          </w:p>
        </w:tc>
        <w:tc>
          <w:tcPr>
            <w:tcW w:w="972" w:type="dxa"/>
            <w:shd w:val="clear" w:color="auto" w:fill="auto"/>
          </w:tcPr>
          <w:p w14:paraId="030FCA37" w14:textId="77777777" w:rsidR="00322294" w:rsidRPr="00731814" w:rsidRDefault="00322294" w:rsidP="00B97EED">
            <w:pPr>
              <w:jc w:val="center"/>
              <w:rPr>
                <w:rFonts w:cs="Calibri"/>
                <w:b/>
              </w:rPr>
            </w:pPr>
          </w:p>
        </w:tc>
        <w:tc>
          <w:tcPr>
            <w:tcW w:w="1980" w:type="dxa"/>
            <w:shd w:val="clear" w:color="auto" w:fill="auto"/>
          </w:tcPr>
          <w:p w14:paraId="0FCD4CF1" w14:textId="77777777" w:rsidR="00322294" w:rsidRPr="00731814" w:rsidRDefault="00322294" w:rsidP="00B97EED">
            <w:pPr>
              <w:jc w:val="center"/>
              <w:rPr>
                <w:rFonts w:cs="Calibri"/>
                <w:b/>
              </w:rPr>
            </w:pPr>
          </w:p>
        </w:tc>
        <w:tc>
          <w:tcPr>
            <w:tcW w:w="900" w:type="dxa"/>
            <w:shd w:val="clear" w:color="auto" w:fill="auto"/>
            <w:vAlign w:val="bottom"/>
          </w:tcPr>
          <w:p w14:paraId="520D6C6E" w14:textId="77777777" w:rsidR="00322294" w:rsidRPr="00731814" w:rsidRDefault="00322294" w:rsidP="00B97EED">
            <w:pPr>
              <w:jc w:val="center"/>
              <w:rPr>
                <w:rFonts w:cs="Calibri"/>
              </w:rPr>
            </w:pPr>
          </w:p>
        </w:tc>
        <w:tc>
          <w:tcPr>
            <w:tcW w:w="1980" w:type="dxa"/>
            <w:shd w:val="clear" w:color="auto" w:fill="auto"/>
          </w:tcPr>
          <w:p w14:paraId="68058F40" w14:textId="77777777" w:rsidR="00322294" w:rsidRPr="00731814" w:rsidRDefault="00322294" w:rsidP="00B97EED">
            <w:pPr>
              <w:jc w:val="center"/>
              <w:rPr>
                <w:rFonts w:cs="Calibri"/>
                <w:b/>
              </w:rPr>
            </w:pPr>
          </w:p>
        </w:tc>
        <w:tc>
          <w:tcPr>
            <w:tcW w:w="900" w:type="dxa"/>
            <w:shd w:val="clear" w:color="auto" w:fill="auto"/>
          </w:tcPr>
          <w:p w14:paraId="38557B8B" w14:textId="77777777" w:rsidR="00322294" w:rsidRPr="00731814" w:rsidRDefault="00322294" w:rsidP="00B97EED">
            <w:pPr>
              <w:jc w:val="center"/>
              <w:rPr>
                <w:rFonts w:cs="Calibri"/>
                <w:b/>
              </w:rPr>
            </w:pPr>
          </w:p>
        </w:tc>
      </w:tr>
      <w:tr w:rsidR="00322294" w:rsidRPr="00731814" w14:paraId="3837DCB6" w14:textId="77777777" w:rsidTr="00B97EED">
        <w:tc>
          <w:tcPr>
            <w:tcW w:w="3472" w:type="dxa"/>
            <w:shd w:val="clear" w:color="auto" w:fill="auto"/>
          </w:tcPr>
          <w:p w14:paraId="100595B7" w14:textId="77777777" w:rsidR="00322294" w:rsidRPr="00731814" w:rsidRDefault="00322294" w:rsidP="00B97EED">
            <w:pPr>
              <w:rPr>
                <w:rFonts w:cs="Calibri"/>
              </w:rPr>
            </w:pPr>
            <w:r w:rsidRPr="00731814">
              <w:rPr>
                <w:rFonts w:cs="Calibri"/>
              </w:rPr>
              <w:t xml:space="preserve">   No formal schooling</w:t>
            </w:r>
          </w:p>
        </w:tc>
        <w:tc>
          <w:tcPr>
            <w:tcW w:w="776" w:type="dxa"/>
            <w:shd w:val="clear" w:color="auto" w:fill="auto"/>
          </w:tcPr>
          <w:p w14:paraId="414D3784" w14:textId="77777777" w:rsidR="00322294" w:rsidRPr="00731814" w:rsidRDefault="00322294" w:rsidP="00B97EED">
            <w:pPr>
              <w:jc w:val="center"/>
              <w:rPr>
                <w:rFonts w:cs="Calibri"/>
              </w:rPr>
            </w:pPr>
            <w:r w:rsidRPr="00731814">
              <w:rPr>
                <w:rFonts w:cs="Calibri"/>
              </w:rPr>
              <w:t>103</w:t>
            </w:r>
          </w:p>
        </w:tc>
        <w:tc>
          <w:tcPr>
            <w:tcW w:w="972" w:type="dxa"/>
            <w:shd w:val="clear" w:color="auto" w:fill="auto"/>
            <w:vAlign w:val="bottom"/>
          </w:tcPr>
          <w:p w14:paraId="4A5798F8" w14:textId="77777777" w:rsidR="00322294" w:rsidRPr="00731814" w:rsidRDefault="00322294" w:rsidP="00B97EED">
            <w:pPr>
              <w:jc w:val="center"/>
              <w:rPr>
                <w:rFonts w:cs="Calibri"/>
                <w:color w:val="000000"/>
                <w:lang w:eastAsia="en-GB"/>
              </w:rPr>
            </w:pPr>
            <w:r w:rsidRPr="00731814">
              <w:rPr>
                <w:rFonts w:cs="Calibri"/>
                <w:color w:val="000000"/>
              </w:rPr>
              <w:t xml:space="preserve">  21</w:t>
            </w:r>
            <w:r w:rsidRPr="00731814">
              <w:rPr>
                <w:rFonts w:cs="Calibri"/>
              </w:rPr>
              <w:t xml:space="preserve"> (20)</w:t>
            </w:r>
          </w:p>
        </w:tc>
        <w:tc>
          <w:tcPr>
            <w:tcW w:w="1980" w:type="dxa"/>
            <w:shd w:val="clear" w:color="auto" w:fill="auto"/>
          </w:tcPr>
          <w:p w14:paraId="1D945004"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5DCE6ED6" w14:textId="77777777" w:rsidR="00322294" w:rsidRPr="00731814" w:rsidRDefault="00322294" w:rsidP="00B97EED">
            <w:pPr>
              <w:jc w:val="center"/>
              <w:rPr>
                <w:rFonts w:cs="Calibri"/>
                <w:color w:val="000000"/>
              </w:rPr>
            </w:pPr>
            <w:r w:rsidRPr="00731814">
              <w:rPr>
                <w:rFonts w:cs="Calibri"/>
                <w:color w:val="000000"/>
              </w:rPr>
              <w:t>0.117</w:t>
            </w:r>
          </w:p>
        </w:tc>
        <w:tc>
          <w:tcPr>
            <w:tcW w:w="1980" w:type="dxa"/>
            <w:shd w:val="clear" w:color="auto" w:fill="auto"/>
          </w:tcPr>
          <w:p w14:paraId="537EE939"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46C6159C" w14:textId="77777777" w:rsidR="00322294" w:rsidRPr="00731814" w:rsidRDefault="00322294" w:rsidP="00B97EED">
            <w:pPr>
              <w:jc w:val="center"/>
              <w:rPr>
                <w:rFonts w:cs="Calibri"/>
              </w:rPr>
            </w:pPr>
            <w:r w:rsidRPr="00731814">
              <w:rPr>
                <w:rFonts w:cs="Calibri"/>
              </w:rPr>
              <w:t>0.821</w:t>
            </w:r>
          </w:p>
        </w:tc>
      </w:tr>
      <w:tr w:rsidR="00322294" w:rsidRPr="00731814" w14:paraId="1DBBB694" w14:textId="77777777" w:rsidTr="00B97EED">
        <w:tc>
          <w:tcPr>
            <w:tcW w:w="3472" w:type="dxa"/>
            <w:shd w:val="clear" w:color="auto" w:fill="auto"/>
          </w:tcPr>
          <w:p w14:paraId="521B0031" w14:textId="77777777" w:rsidR="00322294" w:rsidRPr="00731814" w:rsidRDefault="00322294" w:rsidP="00B97EED">
            <w:pPr>
              <w:rPr>
                <w:rFonts w:cs="Calibri"/>
              </w:rPr>
            </w:pPr>
            <w:r w:rsidRPr="00731814">
              <w:rPr>
                <w:rFonts w:cs="Calibri"/>
              </w:rPr>
              <w:t xml:space="preserve">   Incomplete primary school</w:t>
            </w:r>
          </w:p>
        </w:tc>
        <w:tc>
          <w:tcPr>
            <w:tcW w:w="776" w:type="dxa"/>
            <w:shd w:val="clear" w:color="auto" w:fill="auto"/>
          </w:tcPr>
          <w:p w14:paraId="70E33BFA" w14:textId="77777777" w:rsidR="00322294" w:rsidRPr="00731814" w:rsidRDefault="00322294" w:rsidP="00B97EED">
            <w:pPr>
              <w:jc w:val="center"/>
              <w:rPr>
                <w:rFonts w:cs="Calibri"/>
              </w:rPr>
            </w:pPr>
            <w:r w:rsidRPr="00731814">
              <w:rPr>
                <w:rFonts w:cs="Calibri"/>
              </w:rPr>
              <w:t>251</w:t>
            </w:r>
          </w:p>
        </w:tc>
        <w:tc>
          <w:tcPr>
            <w:tcW w:w="972" w:type="dxa"/>
            <w:shd w:val="clear" w:color="auto" w:fill="auto"/>
            <w:vAlign w:val="bottom"/>
          </w:tcPr>
          <w:p w14:paraId="5880E067" w14:textId="77777777" w:rsidR="00322294" w:rsidRPr="00731814" w:rsidRDefault="00322294" w:rsidP="00B97EED">
            <w:pPr>
              <w:jc w:val="center"/>
              <w:rPr>
                <w:rFonts w:cs="Calibri"/>
                <w:color w:val="000000"/>
              </w:rPr>
            </w:pPr>
            <w:r w:rsidRPr="00731814">
              <w:rPr>
                <w:rFonts w:cs="Calibri"/>
                <w:color w:val="000000"/>
              </w:rPr>
              <w:t xml:space="preserve">  39</w:t>
            </w:r>
            <w:r w:rsidRPr="00731814">
              <w:rPr>
                <w:rFonts w:cs="Calibri"/>
              </w:rPr>
              <w:t xml:space="preserve"> (16)</w:t>
            </w:r>
          </w:p>
        </w:tc>
        <w:tc>
          <w:tcPr>
            <w:tcW w:w="1980" w:type="dxa"/>
            <w:shd w:val="clear" w:color="auto" w:fill="auto"/>
            <w:vAlign w:val="bottom"/>
          </w:tcPr>
          <w:p w14:paraId="632DAF8D" w14:textId="77777777" w:rsidR="00322294" w:rsidRPr="00731814" w:rsidRDefault="00322294" w:rsidP="00B97EED">
            <w:pPr>
              <w:jc w:val="center"/>
              <w:rPr>
                <w:rFonts w:cs="Calibri"/>
                <w:color w:val="000000"/>
                <w:lang w:eastAsia="en-GB"/>
              </w:rPr>
            </w:pPr>
            <w:r w:rsidRPr="00731814">
              <w:rPr>
                <w:rFonts w:cs="Calibri"/>
                <w:color w:val="000000"/>
              </w:rPr>
              <w:t>0.72 (0.40 to 1.29)</w:t>
            </w:r>
          </w:p>
        </w:tc>
        <w:tc>
          <w:tcPr>
            <w:tcW w:w="900" w:type="dxa"/>
            <w:shd w:val="clear" w:color="auto" w:fill="auto"/>
            <w:vAlign w:val="bottom"/>
          </w:tcPr>
          <w:p w14:paraId="6AB48FC8" w14:textId="77777777" w:rsidR="00322294" w:rsidRPr="00731814" w:rsidRDefault="00322294" w:rsidP="00B97EED">
            <w:pPr>
              <w:jc w:val="center"/>
              <w:rPr>
                <w:rFonts w:cs="Calibri"/>
                <w:color w:val="000000"/>
              </w:rPr>
            </w:pPr>
          </w:p>
        </w:tc>
        <w:tc>
          <w:tcPr>
            <w:tcW w:w="1980" w:type="dxa"/>
            <w:shd w:val="clear" w:color="auto" w:fill="auto"/>
          </w:tcPr>
          <w:p w14:paraId="2BFCEA83" w14:textId="77777777" w:rsidR="00322294" w:rsidRPr="00731814" w:rsidRDefault="00322294" w:rsidP="00B97EED">
            <w:pPr>
              <w:jc w:val="center"/>
              <w:rPr>
                <w:rFonts w:cs="Calibri"/>
              </w:rPr>
            </w:pPr>
            <w:r w:rsidRPr="00731814">
              <w:rPr>
                <w:rFonts w:cs="Calibri"/>
              </w:rPr>
              <w:t>0.90 (0.47 to 1.73)</w:t>
            </w:r>
          </w:p>
        </w:tc>
        <w:tc>
          <w:tcPr>
            <w:tcW w:w="900" w:type="dxa"/>
            <w:shd w:val="clear" w:color="auto" w:fill="auto"/>
          </w:tcPr>
          <w:p w14:paraId="20BD6AEC" w14:textId="77777777" w:rsidR="00322294" w:rsidRPr="00731814" w:rsidRDefault="00322294" w:rsidP="00B97EED">
            <w:pPr>
              <w:jc w:val="center"/>
              <w:rPr>
                <w:rFonts w:cs="Calibri"/>
              </w:rPr>
            </w:pPr>
          </w:p>
        </w:tc>
      </w:tr>
      <w:tr w:rsidR="00322294" w:rsidRPr="00731814" w14:paraId="084599F7" w14:textId="77777777" w:rsidTr="00B97EED">
        <w:tc>
          <w:tcPr>
            <w:tcW w:w="3472" w:type="dxa"/>
            <w:shd w:val="clear" w:color="auto" w:fill="auto"/>
          </w:tcPr>
          <w:p w14:paraId="4558133F" w14:textId="77777777" w:rsidR="00322294" w:rsidRPr="00731814" w:rsidRDefault="00322294" w:rsidP="00B97EED">
            <w:pPr>
              <w:rPr>
                <w:rFonts w:cs="Calibri"/>
              </w:rPr>
            </w:pPr>
            <w:r w:rsidRPr="00731814">
              <w:rPr>
                <w:rFonts w:cs="Calibri"/>
              </w:rPr>
              <w:t xml:space="preserve">   Completed primary school</w:t>
            </w:r>
          </w:p>
        </w:tc>
        <w:tc>
          <w:tcPr>
            <w:tcW w:w="776" w:type="dxa"/>
            <w:shd w:val="clear" w:color="auto" w:fill="auto"/>
          </w:tcPr>
          <w:p w14:paraId="5EE73CAA" w14:textId="77777777" w:rsidR="00322294" w:rsidRPr="00731814" w:rsidRDefault="00322294" w:rsidP="00B97EED">
            <w:pPr>
              <w:jc w:val="center"/>
              <w:rPr>
                <w:rFonts w:cs="Calibri"/>
              </w:rPr>
            </w:pPr>
            <w:r w:rsidRPr="00731814">
              <w:rPr>
                <w:rFonts w:cs="Calibri"/>
              </w:rPr>
              <w:t>608</w:t>
            </w:r>
          </w:p>
        </w:tc>
        <w:tc>
          <w:tcPr>
            <w:tcW w:w="972" w:type="dxa"/>
            <w:shd w:val="clear" w:color="auto" w:fill="auto"/>
            <w:vAlign w:val="bottom"/>
          </w:tcPr>
          <w:p w14:paraId="680F2B5C" w14:textId="77777777" w:rsidR="00322294" w:rsidRPr="00731814" w:rsidRDefault="00322294" w:rsidP="00B97EED">
            <w:pPr>
              <w:jc w:val="center"/>
              <w:rPr>
                <w:rFonts w:cs="Calibri"/>
                <w:color w:val="000000"/>
              </w:rPr>
            </w:pPr>
            <w:r w:rsidRPr="00731814">
              <w:rPr>
                <w:rFonts w:cs="Calibri"/>
                <w:color w:val="000000"/>
              </w:rPr>
              <w:t xml:space="preserve">  84</w:t>
            </w:r>
            <w:r w:rsidRPr="00731814">
              <w:rPr>
                <w:rFonts w:cs="Calibri"/>
              </w:rPr>
              <w:t xml:space="preserve"> (14)</w:t>
            </w:r>
          </w:p>
        </w:tc>
        <w:tc>
          <w:tcPr>
            <w:tcW w:w="1980" w:type="dxa"/>
            <w:shd w:val="clear" w:color="auto" w:fill="auto"/>
            <w:vAlign w:val="bottom"/>
          </w:tcPr>
          <w:p w14:paraId="28FF4DF4" w14:textId="77777777" w:rsidR="00322294" w:rsidRPr="00731814" w:rsidRDefault="00322294" w:rsidP="00B97EED">
            <w:pPr>
              <w:jc w:val="center"/>
              <w:rPr>
                <w:rFonts w:cs="Calibri"/>
                <w:color w:val="000000"/>
              </w:rPr>
            </w:pPr>
            <w:r w:rsidRPr="00731814">
              <w:rPr>
                <w:rFonts w:cs="Calibri"/>
                <w:color w:val="000000"/>
              </w:rPr>
              <w:t>0.63 (0.37 to 1.07)</w:t>
            </w:r>
          </w:p>
        </w:tc>
        <w:tc>
          <w:tcPr>
            <w:tcW w:w="900" w:type="dxa"/>
            <w:shd w:val="clear" w:color="auto" w:fill="auto"/>
            <w:vAlign w:val="bottom"/>
          </w:tcPr>
          <w:p w14:paraId="655E41D6" w14:textId="77777777" w:rsidR="00322294" w:rsidRPr="00731814" w:rsidRDefault="00322294" w:rsidP="00B97EED">
            <w:pPr>
              <w:jc w:val="center"/>
              <w:rPr>
                <w:rFonts w:cs="Calibri"/>
              </w:rPr>
            </w:pPr>
          </w:p>
        </w:tc>
        <w:tc>
          <w:tcPr>
            <w:tcW w:w="1980" w:type="dxa"/>
            <w:shd w:val="clear" w:color="auto" w:fill="auto"/>
          </w:tcPr>
          <w:p w14:paraId="6C10916C" w14:textId="77777777" w:rsidR="00322294" w:rsidRPr="00731814" w:rsidRDefault="00322294" w:rsidP="00B97EED">
            <w:pPr>
              <w:jc w:val="center"/>
              <w:rPr>
                <w:rFonts w:cs="Calibri"/>
              </w:rPr>
            </w:pPr>
            <w:r w:rsidRPr="00731814">
              <w:rPr>
                <w:rFonts w:cs="Calibri"/>
              </w:rPr>
              <w:t>0.87 (0.48 to 1.59)</w:t>
            </w:r>
          </w:p>
        </w:tc>
        <w:tc>
          <w:tcPr>
            <w:tcW w:w="900" w:type="dxa"/>
            <w:shd w:val="clear" w:color="auto" w:fill="auto"/>
          </w:tcPr>
          <w:p w14:paraId="52A7BE8A" w14:textId="77777777" w:rsidR="00322294" w:rsidRPr="00731814" w:rsidRDefault="00322294" w:rsidP="00B97EED">
            <w:pPr>
              <w:jc w:val="center"/>
              <w:rPr>
                <w:rFonts w:cs="Calibri"/>
              </w:rPr>
            </w:pPr>
          </w:p>
        </w:tc>
      </w:tr>
      <w:tr w:rsidR="00322294" w:rsidRPr="00731814" w14:paraId="569A1415" w14:textId="77777777" w:rsidTr="00B97EED">
        <w:tc>
          <w:tcPr>
            <w:tcW w:w="3472" w:type="dxa"/>
            <w:shd w:val="clear" w:color="auto" w:fill="auto"/>
          </w:tcPr>
          <w:p w14:paraId="7130466F" w14:textId="77777777" w:rsidR="00322294" w:rsidRPr="00731814" w:rsidRDefault="00322294" w:rsidP="00B97EED">
            <w:pPr>
              <w:rPr>
                <w:rFonts w:cs="Calibri"/>
              </w:rPr>
            </w:pPr>
            <w:r w:rsidRPr="00731814">
              <w:rPr>
                <w:rFonts w:cs="Calibri"/>
              </w:rPr>
              <w:t xml:space="preserve">   Incomplete secondary (form 1-4)</w:t>
            </w:r>
          </w:p>
        </w:tc>
        <w:tc>
          <w:tcPr>
            <w:tcW w:w="776" w:type="dxa"/>
            <w:shd w:val="clear" w:color="auto" w:fill="auto"/>
          </w:tcPr>
          <w:p w14:paraId="640B08E2" w14:textId="77777777" w:rsidR="00322294" w:rsidRPr="00731814" w:rsidRDefault="00322294" w:rsidP="00B97EED">
            <w:pPr>
              <w:jc w:val="center"/>
              <w:rPr>
                <w:rFonts w:cs="Calibri"/>
              </w:rPr>
            </w:pPr>
            <w:r w:rsidRPr="00731814">
              <w:rPr>
                <w:rFonts w:cs="Calibri"/>
              </w:rPr>
              <w:t>92</w:t>
            </w:r>
          </w:p>
        </w:tc>
        <w:tc>
          <w:tcPr>
            <w:tcW w:w="972" w:type="dxa"/>
            <w:shd w:val="clear" w:color="auto" w:fill="auto"/>
            <w:vAlign w:val="bottom"/>
          </w:tcPr>
          <w:p w14:paraId="1660A9FC" w14:textId="77777777" w:rsidR="00322294" w:rsidRPr="00731814" w:rsidRDefault="00322294" w:rsidP="00B97EED">
            <w:pPr>
              <w:jc w:val="center"/>
              <w:rPr>
                <w:rFonts w:cs="Calibri"/>
                <w:color w:val="000000"/>
              </w:rPr>
            </w:pPr>
            <w:r w:rsidRPr="00731814">
              <w:rPr>
                <w:rFonts w:cs="Calibri"/>
                <w:color w:val="000000"/>
              </w:rPr>
              <w:t xml:space="preserve">  11</w:t>
            </w:r>
            <w:r w:rsidRPr="00731814">
              <w:rPr>
                <w:rFonts w:cs="Calibri"/>
              </w:rPr>
              <w:t xml:space="preserve"> (12)</w:t>
            </w:r>
          </w:p>
        </w:tc>
        <w:tc>
          <w:tcPr>
            <w:tcW w:w="1980" w:type="dxa"/>
            <w:shd w:val="clear" w:color="auto" w:fill="auto"/>
            <w:vAlign w:val="bottom"/>
          </w:tcPr>
          <w:p w14:paraId="1565E0E5" w14:textId="77777777" w:rsidR="00322294" w:rsidRPr="00731814" w:rsidRDefault="00322294" w:rsidP="00B97EED">
            <w:pPr>
              <w:jc w:val="center"/>
              <w:rPr>
                <w:rFonts w:cs="Calibri"/>
                <w:color w:val="000000"/>
              </w:rPr>
            </w:pPr>
            <w:r w:rsidRPr="00731814">
              <w:rPr>
                <w:rFonts w:cs="Calibri"/>
                <w:color w:val="000000"/>
              </w:rPr>
              <w:t>0.53 (0.24 to 1.17)</w:t>
            </w:r>
          </w:p>
        </w:tc>
        <w:tc>
          <w:tcPr>
            <w:tcW w:w="900" w:type="dxa"/>
            <w:shd w:val="clear" w:color="auto" w:fill="auto"/>
            <w:vAlign w:val="bottom"/>
          </w:tcPr>
          <w:p w14:paraId="00717B73" w14:textId="77777777" w:rsidR="00322294" w:rsidRPr="00731814" w:rsidRDefault="00322294" w:rsidP="00B97EED">
            <w:pPr>
              <w:jc w:val="center"/>
              <w:rPr>
                <w:rFonts w:cs="Calibri"/>
              </w:rPr>
            </w:pPr>
          </w:p>
        </w:tc>
        <w:tc>
          <w:tcPr>
            <w:tcW w:w="1980" w:type="dxa"/>
            <w:shd w:val="clear" w:color="auto" w:fill="auto"/>
          </w:tcPr>
          <w:p w14:paraId="1C999E7B" w14:textId="77777777" w:rsidR="00322294" w:rsidRPr="00731814" w:rsidRDefault="00322294" w:rsidP="00B97EED">
            <w:pPr>
              <w:jc w:val="center"/>
              <w:rPr>
                <w:rFonts w:cs="Calibri"/>
              </w:rPr>
            </w:pPr>
            <w:r w:rsidRPr="00731814">
              <w:rPr>
                <w:rFonts w:cs="Calibri"/>
              </w:rPr>
              <w:t>0.80 (0.34 to 1.90)</w:t>
            </w:r>
          </w:p>
        </w:tc>
        <w:tc>
          <w:tcPr>
            <w:tcW w:w="900" w:type="dxa"/>
            <w:shd w:val="clear" w:color="auto" w:fill="auto"/>
          </w:tcPr>
          <w:p w14:paraId="4C6194E6" w14:textId="77777777" w:rsidR="00322294" w:rsidRPr="00731814" w:rsidRDefault="00322294" w:rsidP="00B97EED">
            <w:pPr>
              <w:jc w:val="center"/>
              <w:rPr>
                <w:rFonts w:cs="Calibri"/>
              </w:rPr>
            </w:pPr>
          </w:p>
        </w:tc>
      </w:tr>
      <w:tr w:rsidR="00322294" w:rsidRPr="00731814" w14:paraId="5141FF4C" w14:textId="77777777" w:rsidTr="00B97EED">
        <w:tc>
          <w:tcPr>
            <w:tcW w:w="3472" w:type="dxa"/>
            <w:shd w:val="clear" w:color="auto" w:fill="auto"/>
          </w:tcPr>
          <w:p w14:paraId="70014796" w14:textId="77777777" w:rsidR="00322294" w:rsidRPr="00731814" w:rsidRDefault="00322294" w:rsidP="00B97EED">
            <w:pPr>
              <w:rPr>
                <w:rFonts w:cs="Calibri"/>
              </w:rPr>
            </w:pPr>
            <w:r w:rsidRPr="00731814">
              <w:rPr>
                <w:rFonts w:cs="Calibri"/>
                <w:b/>
              </w:rPr>
              <w:t xml:space="preserve">   </w:t>
            </w:r>
            <w:r w:rsidRPr="00731814">
              <w:rPr>
                <w:rFonts w:cs="Calibri"/>
              </w:rPr>
              <w:t>Secondary or higher education</w:t>
            </w:r>
          </w:p>
        </w:tc>
        <w:tc>
          <w:tcPr>
            <w:tcW w:w="776" w:type="dxa"/>
            <w:shd w:val="clear" w:color="auto" w:fill="auto"/>
          </w:tcPr>
          <w:p w14:paraId="7C243D26" w14:textId="77777777" w:rsidR="00322294" w:rsidRPr="00731814" w:rsidRDefault="00322294" w:rsidP="00B97EED">
            <w:pPr>
              <w:jc w:val="center"/>
              <w:rPr>
                <w:rFonts w:cs="Calibri"/>
              </w:rPr>
            </w:pPr>
            <w:r w:rsidRPr="00731814">
              <w:rPr>
                <w:rFonts w:cs="Calibri"/>
              </w:rPr>
              <w:t>67</w:t>
            </w:r>
          </w:p>
        </w:tc>
        <w:tc>
          <w:tcPr>
            <w:tcW w:w="972" w:type="dxa"/>
            <w:shd w:val="clear" w:color="auto" w:fill="auto"/>
            <w:vAlign w:val="bottom"/>
          </w:tcPr>
          <w:p w14:paraId="154ADE28" w14:textId="77777777" w:rsidR="00322294" w:rsidRPr="00731814" w:rsidRDefault="00322294" w:rsidP="00B97EED">
            <w:pPr>
              <w:jc w:val="center"/>
              <w:rPr>
                <w:rFonts w:cs="Calibri"/>
                <w:color w:val="000000"/>
              </w:rPr>
            </w:pPr>
            <w:r w:rsidRPr="00731814">
              <w:rPr>
                <w:rFonts w:cs="Calibri"/>
                <w:color w:val="000000"/>
              </w:rPr>
              <w:t xml:space="preserve">    4</w:t>
            </w:r>
            <w:r w:rsidRPr="00731814">
              <w:rPr>
                <w:rFonts w:cs="Calibri"/>
              </w:rPr>
              <w:t xml:space="preserve"> </w:t>
            </w:r>
            <w:proofErr w:type="gramStart"/>
            <w:r w:rsidRPr="00731814">
              <w:rPr>
                <w:rFonts w:cs="Calibri"/>
              </w:rPr>
              <w:t>(  6</w:t>
            </w:r>
            <w:proofErr w:type="gramEnd"/>
            <w:r w:rsidRPr="00731814">
              <w:rPr>
                <w:rFonts w:cs="Calibri"/>
              </w:rPr>
              <w:t>)</w:t>
            </w:r>
          </w:p>
        </w:tc>
        <w:tc>
          <w:tcPr>
            <w:tcW w:w="1980" w:type="dxa"/>
            <w:shd w:val="clear" w:color="auto" w:fill="auto"/>
            <w:vAlign w:val="bottom"/>
          </w:tcPr>
          <w:p w14:paraId="7439680A" w14:textId="77777777" w:rsidR="00322294" w:rsidRPr="00731814" w:rsidRDefault="00322294" w:rsidP="00B97EED">
            <w:pPr>
              <w:jc w:val="center"/>
              <w:rPr>
                <w:rFonts w:cs="Calibri"/>
                <w:color w:val="000000"/>
              </w:rPr>
            </w:pPr>
            <w:r w:rsidRPr="00731814">
              <w:rPr>
                <w:rFonts w:cs="Calibri"/>
                <w:color w:val="000000"/>
              </w:rPr>
              <w:t>0.25 (0.08 to 0.76)</w:t>
            </w:r>
          </w:p>
        </w:tc>
        <w:tc>
          <w:tcPr>
            <w:tcW w:w="900" w:type="dxa"/>
            <w:shd w:val="clear" w:color="auto" w:fill="auto"/>
            <w:vAlign w:val="bottom"/>
          </w:tcPr>
          <w:p w14:paraId="59593AB9" w14:textId="77777777" w:rsidR="00322294" w:rsidRPr="00731814" w:rsidRDefault="00322294" w:rsidP="00B97EED">
            <w:pPr>
              <w:jc w:val="center"/>
              <w:rPr>
                <w:rFonts w:cs="Calibri"/>
              </w:rPr>
            </w:pPr>
          </w:p>
        </w:tc>
        <w:tc>
          <w:tcPr>
            <w:tcW w:w="1980" w:type="dxa"/>
            <w:shd w:val="clear" w:color="auto" w:fill="auto"/>
          </w:tcPr>
          <w:p w14:paraId="4F2EA50C" w14:textId="77777777" w:rsidR="00322294" w:rsidRPr="00731814" w:rsidRDefault="00322294" w:rsidP="00B97EED">
            <w:pPr>
              <w:jc w:val="center"/>
              <w:rPr>
                <w:rFonts w:cs="Calibri"/>
                <w:b/>
              </w:rPr>
            </w:pPr>
            <w:r w:rsidRPr="00731814">
              <w:rPr>
                <w:rFonts w:cs="Calibri"/>
              </w:rPr>
              <w:t>0.49 (0.15 to 1.58)</w:t>
            </w:r>
          </w:p>
        </w:tc>
        <w:tc>
          <w:tcPr>
            <w:tcW w:w="900" w:type="dxa"/>
            <w:shd w:val="clear" w:color="auto" w:fill="auto"/>
          </w:tcPr>
          <w:p w14:paraId="4B7E8F08" w14:textId="77777777" w:rsidR="00322294" w:rsidRPr="00731814" w:rsidRDefault="00322294" w:rsidP="00B97EED">
            <w:pPr>
              <w:jc w:val="center"/>
              <w:rPr>
                <w:rFonts w:cs="Calibri"/>
                <w:b/>
              </w:rPr>
            </w:pPr>
          </w:p>
        </w:tc>
      </w:tr>
      <w:tr w:rsidR="00322294" w:rsidRPr="00731814" w14:paraId="78F5A3BD" w14:textId="77777777" w:rsidTr="00B97EED">
        <w:tc>
          <w:tcPr>
            <w:tcW w:w="3472" w:type="dxa"/>
            <w:shd w:val="clear" w:color="auto" w:fill="D9D9D9"/>
          </w:tcPr>
          <w:p w14:paraId="6BEBD4D5" w14:textId="77777777" w:rsidR="00322294" w:rsidRPr="00731814" w:rsidRDefault="00322294" w:rsidP="00B97EED">
            <w:pPr>
              <w:rPr>
                <w:rFonts w:cs="Calibri"/>
              </w:rPr>
            </w:pPr>
            <w:r w:rsidRPr="00731814">
              <w:rPr>
                <w:rFonts w:cs="Calibri"/>
                <w:b/>
              </w:rPr>
              <w:t>BEHAVIOURAL FACTORS</w:t>
            </w:r>
          </w:p>
        </w:tc>
        <w:tc>
          <w:tcPr>
            <w:tcW w:w="776" w:type="dxa"/>
            <w:shd w:val="clear" w:color="auto" w:fill="D9D9D9"/>
          </w:tcPr>
          <w:p w14:paraId="5150E17E" w14:textId="77777777" w:rsidR="00322294" w:rsidRPr="00731814" w:rsidRDefault="00322294" w:rsidP="00B97EED">
            <w:pPr>
              <w:jc w:val="center"/>
              <w:rPr>
                <w:rFonts w:cs="Calibri"/>
                <w:b/>
              </w:rPr>
            </w:pPr>
          </w:p>
        </w:tc>
        <w:tc>
          <w:tcPr>
            <w:tcW w:w="972" w:type="dxa"/>
            <w:shd w:val="clear" w:color="auto" w:fill="D9D9D9"/>
          </w:tcPr>
          <w:p w14:paraId="26E79131" w14:textId="77777777" w:rsidR="00322294" w:rsidRPr="00731814" w:rsidRDefault="00322294" w:rsidP="00B97EED">
            <w:pPr>
              <w:jc w:val="center"/>
              <w:rPr>
                <w:rFonts w:cs="Calibri"/>
                <w:b/>
              </w:rPr>
            </w:pPr>
          </w:p>
        </w:tc>
        <w:tc>
          <w:tcPr>
            <w:tcW w:w="1980" w:type="dxa"/>
            <w:shd w:val="clear" w:color="auto" w:fill="D9D9D9"/>
          </w:tcPr>
          <w:p w14:paraId="1CB9C64A" w14:textId="77777777" w:rsidR="00322294" w:rsidRPr="00731814" w:rsidRDefault="00322294" w:rsidP="00B97EED">
            <w:pPr>
              <w:jc w:val="center"/>
              <w:rPr>
                <w:rFonts w:cs="Calibri"/>
                <w:b/>
              </w:rPr>
            </w:pPr>
          </w:p>
        </w:tc>
        <w:tc>
          <w:tcPr>
            <w:tcW w:w="900" w:type="dxa"/>
            <w:shd w:val="clear" w:color="auto" w:fill="D9D9D9"/>
          </w:tcPr>
          <w:p w14:paraId="1DF8D549" w14:textId="77777777" w:rsidR="00322294" w:rsidRPr="00731814" w:rsidRDefault="00322294" w:rsidP="00B97EED">
            <w:pPr>
              <w:jc w:val="center"/>
              <w:rPr>
                <w:rFonts w:cs="Calibri"/>
                <w:b/>
              </w:rPr>
            </w:pPr>
          </w:p>
        </w:tc>
        <w:tc>
          <w:tcPr>
            <w:tcW w:w="1980" w:type="dxa"/>
            <w:shd w:val="clear" w:color="auto" w:fill="D9D9D9"/>
          </w:tcPr>
          <w:p w14:paraId="6E1B012C" w14:textId="77777777" w:rsidR="00322294" w:rsidRPr="00731814" w:rsidRDefault="00322294" w:rsidP="00B97EED">
            <w:pPr>
              <w:jc w:val="center"/>
              <w:rPr>
                <w:rFonts w:cs="Calibri"/>
              </w:rPr>
            </w:pPr>
          </w:p>
        </w:tc>
        <w:tc>
          <w:tcPr>
            <w:tcW w:w="900" w:type="dxa"/>
            <w:shd w:val="clear" w:color="auto" w:fill="D9D9D9"/>
          </w:tcPr>
          <w:p w14:paraId="1D08E2E8" w14:textId="77777777" w:rsidR="00322294" w:rsidRPr="00731814" w:rsidRDefault="00322294" w:rsidP="00B97EED">
            <w:pPr>
              <w:jc w:val="center"/>
              <w:rPr>
                <w:rFonts w:cs="Calibri"/>
                <w:b/>
              </w:rPr>
            </w:pPr>
          </w:p>
        </w:tc>
      </w:tr>
      <w:tr w:rsidR="00322294" w:rsidRPr="00731814" w14:paraId="4C015C52" w14:textId="77777777" w:rsidTr="00B97EED">
        <w:tc>
          <w:tcPr>
            <w:tcW w:w="3472" w:type="dxa"/>
            <w:shd w:val="clear" w:color="auto" w:fill="auto"/>
          </w:tcPr>
          <w:p w14:paraId="0297721D" w14:textId="77777777" w:rsidR="00322294" w:rsidRPr="00731814" w:rsidRDefault="00322294" w:rsidP="00B97EED">
            <w:pPr>
              <w:rPr>
                <w:rFonts w:cs="Calibri"/>
                <w:b/>
              </w:rPr>
            </w:pPr>
            <w:r w:rsidRPr="00731814">
              <w:rPr>
                <w:rFonts w:cs="Calibri"/>
                <w:b/>
              </w:rPr>
              <w:t>Age at first sex</w:t>
            </w:r>
          </w:p>
        </w:tc>
        <w:tc>
          <w:tcPr>
            <w:tcW w:w="776" w:type="dxa"/>
            <w:shd w:val="clear" w:color="auto" w:fill="auto"/>
          </w:tcPr>
          <w:p w14:paraId="07017E1B" w14:textId="77777777" w:rsidR="00322294" w:rsidRPr="00731814" w:rsidRDefault="00322294" w:rsidP="00B97EED">
            <w:pPr>
              <w:jc w:val="center"/>
              <w:rPr>
                <w:rFonts w:cs="Calibri"/>
                <w:b/>
              </w:rPr>
            </w:pPr>
          </w:p>
        </w:tc>
        <w:tc>
          <w:tcPr>
            <w:tcW w:w="972" w:type="dxa"/>
            <w:shd w:val="clear" w:color="auto" w:fill="auto"/>
          </w:tcPr>
          <w:p w14:paraId="5F4F94CC" w14:textId="77777777" w:rsidR="00322294" w:rsidRPr="00731814" w:rsidRDefault="00322294" w:rsidP="00B97EED">
            <w:pPr>
              <w:jc w:val="center"/>
              <w:rPr>
                <w:rFonts w:cs="Calibri"/>
                <w:b/>
              </w:rPr>
            </w:pPr>
          </w:p>
        </w:tc>
        <w:tc>
          <w:tcPr>
            <w:tcW w:w="1980" w:type="dxa"/>
            <w:shd w:val="clear" w:color="auto" w:fill="auto"/>
          </w:tcPr>
          <w:p w14:paraId="0B0C2F6B" w14:textId="77777777" w:rsidR="00322294" w:rsidRPr="00731814" w:rsidRDefault="00322294" w:rsidP="00B97EED">
            <w:pPr>
              <w:jc w:val="center"/>
              <w:rPr>
                <w:rFonts w:cs="Calibri"/>
                <w:b/>
              </w:rPr>
            </w:pPr>
          </w:p>
        </w:tc>
        <w:tc>
          <w:tcPr>
            <w:tcW w:w="900" w:type="dxa"/>
            <w:shd w:val="clear" w:color="auto" w:fill="auto"/>
            <w:vAlign w:val="bottom"/>
          </w:tcPr>
          <w:p w14:paraId="6D83D3D7" w14:textId="77777777" w:rsidR="00322294" w:rsidRPr="00731814" w:rsidRDefault="00322294" w:rsidP="00B97EED">
            <w:pPr>
              <w:jc w:val="center"/>
              <w:rPr>
                <w:rFonts w:cs="Calibri"/>
                <w:lang w:eastAsia="en-GB"/>
              </w:rPr>
            </w:pPr>
          </w:p>
        </w:tc>
        <w:tc>
          <w:tcPr>
            <w:tcW w:w="1980" w:type="dxa"/>
            <w:shd w:val="clear" w:color="auto" w:fill="auto"/>
          </w:tcPr>
          <w:p w14:paraId="7562D33E" w14:textId="77777777" w:rsidR="00322294" w:rsidRPr="00731814" w:rsidRDefault="00322294" w:rsidP="00B97EED">
            <w:pPr>
              <w:jc w:val="center"/>
              <w:rPr>
                <w:rFonts w:cs="Calibri"/>
                <w:b/>
              </w:rPr>
            </w:pPr>
          </w:p>
        </w:tc>
        <w:tc>
          <w:tcPr>
            <w:tcW w:w="900" w:type="dxa"/>
            <w:shd w:val="clear" w:color="auto" w:fill="auto"/>
          </w:tcPr>
          <w:p w14:paraId="6B4EE057" w14:textId="77777777" w:rsidR="00322294" w:rsidRPr="00731814" w:rsidRDefault="00322294" w:rsidP="00B97EED">
            <w:pPr>
              <w:jc w:val="center"/>
              <w:rPr>
                <w:rFonts w:cs="Calibri"/>
                <w:b/>
              </w:rPr>
            </w:pPr>
          </w:p>
        </w:tc>
      </w:tr>
      <w:tr w:rsidR="00322294" w:rsidRPr="00731814" w14:paraId="7C9ED608" w14:textId="77777777" w:rsidTr="00B97EED">
        <w:tc>
          <w:tcPr>
            <w:tcW w:w="3472" w:type="dxa"/>
            <w:shd w:val="clear" w:color="auto" w:fill="auto"/>
          </w:tcPr>
          <w:p w14:paraId="6B3F9339" w14:textId="77777777" w:rsidR="00322294" w:rsidRPr="00731814" w:rsidRDefault="00322294" w:rsidP="00B97EED">
            <w:pPr>
              <w:rPr>
                <w:rFonts w:cs="Calibri"/>
              </w:rPr>
            </w:pPr>
            <w:r w:rsidRPr="00731814">
              <w:rPr>
                <w:rFonts w:cs="Calibri"/>
              </w:rPr>
              <w:t xml:space="preserve">   13 years or younger</w:t>
            </w:r>
          </w:p>
        </w:tc>
        <w:tc>
          <w:tcPr>
            <w:tcW w:w="776" w:type="dxa"/>
            <w:shd w:val="clear" w:color="auto" w:fill="auto"/>
          </w:tcPr>
          <w:p w14:paraId="00FFDEF5" w14:textId="77777777" w:rsidR="00322294" w:rsidRPr="00731814" w:rsidRDefault="00322294" w:rsidP="00B97EED">
            <w:pPr>
              <w:jc w:val="center"/>
              <w:rPr>
                <w:rFonts w:cs="Calibri"/>
              </w:rPr>
            </w:pPr>
            <w:r w:rsidRPr="00731814">
              <w:rPr>
                <w:rFonts w:cs="Calibri"/>
              </w:rPr>
              <w:t>78</w:t>
            </w:r>
          </w:p>
        </w:tc>
        <w:tc>
          <w:tcPr>
            <w:tcW w:w="972" w:type="dxa"/>
            <w:shd w:val="clear" w:color="auto" w:fill="auto"/>
            <w:vAlign w:val="bottom"/>
          </w:tcPr>
          <w:p w14:paraId="73190A2F" w14:textId="77777777" w:rsidR="00322294" w:rsidRPr="00731814" w:rsidRDefault="00322294" w:rsidP="00B97EED">
            <w:pPr>
              <w:jc w:val="center"/>
              <w:rPr>
                <w:rFonts w:cs="Calibri"/>
                <w:color w:val="000000"/>
                <w:lang w:eastAsia="en-GB"/>
              </w:rPr>
            </w:pPr>
            <w:r w:rsidRPr="00731814">
              <w:rPr>
                <w:rFonts w:cs="Calibri"/>
                <w:color w:val="000000"/>
              </w:rPr>
              <w:t xml:space="preserve">  12</w:t>
            </w:r>
            <w:r w:rsidRPr="00731814">
              <w:rPr>
                <w:rFonts w:cs="Calibri"/>
              </w:rPr>
              <w:t xml:space="preserve"> (15)</w:t>
            </w:r>
          </w:p>
        </w:tc>
        <w:tc>
          <w:tcPr>
            <w:tcW w:w="1980" w:type="dxa"/>
            <w:shd w:val="clear" w:color="auto" w:fill="auto"/>
          </w:tcPr>
          <w:p w14:paraId="22A89B39"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3957992C" w14:textId="77777777" w:rsidR="00322294" w:rsidRPr="00731814" w:rsidRDefault="00322294" w:rsidP="00B97EED">
            <w:pPr>
              <w:jc w:val="center"/>
              <w:rPr>
                <w:rFonts w:cs="Calibri"/>
                <w:color w:val="000000"/>
              </w:rPr>
            </w:pPr>
            <w:r w:rsidRPr="00731814">
              <w:rPr>
                <w:rFonts w:cs="Calibri"/>
                <w:color w:val="000000"/>
              </w:rPr>
              <w:t>0.015</w:t>
            </w:r>
          </w:p>
        </w:tc>
        <w:tc>
          <w:tcPr>
            <w:tcW w:w="1980" w:type="dxa"/>
            <w:shd w:val="clear" w:color="auto" w:fill="auto"/>
          </w:tcPr>
          <w:p w14:paraId="709C010D"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2BE14849" w14:textId="77777777" w:rsidR="00322294" w:rsidRPr="00731814" w:rsidRDefault="00322294" w:rsidP="00B97EED">
            <w:pPr>
              <w:jc w:val="center"/>
              <w:rPr>
                <w:rFonts w:cs="Calibri"/>
              </w:rPr>
            </w:pPr>
            <w:r w:rsidRPr="00731814">
              <w:rPr>
                <w:rFonts w:cs="Calibri"/>
              </w:rPr>
              <w:t>0.489</w:t>
            </w:r>
          </w:p>
        </w:tc>
      </w:tr>
      <w:tr w:rsidR="00322294" w:rsidRPr="00731814" w14:paraId="1FB5C3B0" w14:textId="77777777" w:rsidTr="00B97EED">
        <w:tc>
          <w:tcPr>
            <w:tcW w:w="3472" w:type="dxa"/>
            <w:shd w:val="clear" w:color="auto" w:fill="auto"/>
          </w:tcPr>
          <w:p w14:paraId="7485F5FA" w14:textId="77777777" w:rsidR="00322294" w:rsidRPr="00731814" w:rsidRDefault="00322294" w:rsidP="00B97EED">
            <w:pPr>
              <w:rPr>
                <w:rFonts w:cs="Calibri"/>
              </w:rPr>
            </w:pPr>
            <w:r w:rsidRPr="00731814">
              <w:rPr>
                <w:rFonts w:cs="Calibri"/>
              </w:rPr>
              <w:t xml:space="preserve">   14-15 years</w:t>
            </w:r>
          </w:p>
        </w:tc>
        <w:tc>
          <w:tcPr>
            <w:tcW w:w="776" w:type="dxa"/>
            <w:shd w:val="clear" w:color="auto" w:fill="auto"/>
          </w:tcPr>
          <w:p w14:paraId="523A6870" w14:textId="77777777" w:rsidR="00322294" w:rsidRPr="00731814" w:rsidRDefault="00322294" w:rsidP="00B97EED">
            <w:pPr>
              <w:jc w:val="center"/>
              <w:rPr>
                <w:rFonts w:cs="Calibri"/>
              </w:rPr>
            </w:pPr>
            <w:r w:rsidRPr="00731814">
              <w:rPr>
                <w:rFonts w:cs="Calibri"/>
              </w:rPr>
              <w:t>207</w:t>
            </w:r>
          </w:p>
        </w:tc>
        <w:tc>
          <w:tcPr>
            <w:tcW w:w="972" w:type="dxa"/>
            <w:shd w:val="clear" w:color="auto" w:fill="auto"/>
            <w:vAlign w:val="bottom"/>
          </w:tcPr>
          <w:p w14:paraId="25C56AD4" w14:textId="77777777" w:rsidR="00322294" w:rsidRPr="00731814" w:rsidRDefault="00322294" w:rsidP="00B97EED">
            <w:pPr>
              <w:jc w:val="center"/>
              <w:rPr>
                <w:rFonts w:cs="Calibri"/>
                <w:color w:val="000000"/>
              </w:rPr>
            </w:pPr>
            <w:r w:rsidRPr="00731814">
              <w:rPr>
                <w:rFonts w:cs="Calibri"/>
                <w:color w:val="000000"/>
              </w:rPr>
              <w:t xml:space="preserve">  41</w:t>
            </w:r>
            <w:r w:rsidRPr="00731814">
              <w:rPr>
                <w:rFonts w:cs="Calibri"/>
              </w:rPr>
              <w:t xml:space="preserve"> (20)</w:t>
            </w:r>
          </w:p>
        </w:tc>
        <w:tc>
          <w:tcPr>
            <w:tcW w:w="1980" w:type="dxa"/>
            <w:shd w:val="clear" w:color="auto" w:fill="auto"/>
            <w:vAlign w:val="bottom"/>
          </w:tcPr>
          <w:p w14:paraId="21A00E33" w14:textId="77777777" w:rsidR="00322294" w:rsidRPr="00731814" w:rsidRDefault="00322294" w:rsidP="00B97EED">
            <w:pPr>
              <w:jc w:val="center"/>
              <w:rPr>
                <w:rFonts w:cs="Calibri"/>
                <w:color w:val="000000"/>
                <w:lang w:eastAsia="en-GB"/>
              </w:rPr>
            </w:pPr>
            <w:r w:rsidRPr="00731814">
              <w:rPr>
                <w:rFonts w:cs="Calibri"/>
                <w:color w:val="000000"/>
              </w:rPr>
              <w:t>1.36 (0.67 to 2.75)</w:t>
            </w:r>
          </w:p>
        </w:tc>
        <w:tc>
          <w:tcPr>
            <w:tcW w:w="900" w:type="dxa"/>
            <w:shd w:val="clear" w:color="auto" w:fill="auto"/>
            <w:vAlign w:val="bottom"/>
          </w:tcPr>
          <w:p w14:paraId="144D8370" w14:textId="77777777" w:rsidR="00322294" w:rsidRPr="00731814" w:rsidRDefault="00322294" w:rsidP="00B97EED">
            <w:pPr>
              <w:jc w:val="center"/>
              <w:rPr>
                <w:rFonts w:cs="Calibri"/>
                <w:color w:val="000000"/>
              </w:rPr>
            </w:pPr>
          </w:p>
        </w:tc>
        <w:tc>
          <w:tcPr>
            <w:tcW w:w="1980" w:type="dxa"/>
            <w:shd w:val="clear" w:color="auto" w:fill="auto"/>
          </w:tcPr>
          <w:p w14:paraId="7CB8090B" w14:textId="77777777" w:rsidR="00322294" w:rsidRPr="00731814" w:rsidRDefault="00322294" w:rsidP="00B97EED">
            <w:pPr>
              <w:jc w:val="center"/>
              <w:rPr>
                <w:rFonts w:cs="Calibri"/>
              </w:rPr>
            </w:pPr>
            <w:r w:rsidRPr="00731814">
              <w:rPr>
                <w:rFonts w:cs="Calibri"/>
              </w:rPr>
              <w:t>1.38 (0.64 to 2.97)</w:t>
            </w:r>
          </w:p>
        </w:tc>
        <w:tc>
          <w:tcPr>
            <w:tcW w:w="900" w:type="dxa"/>
            <w:shd w:val="clear" w:color="auto" w:fill="auto"/>
          </w:tcPr>
          <w:p w14:paraId="3B3FF564" w14:textId="77777777" w:rsidR="00322294" w:rsidRPr="00731814" w:rsidRDefault="00322294" w:rsidP="00B97EED">
            <w:pPr>
              <w:jc w:val="center"/>
              <w:rPr>
                <w:rFonts w:cs="Calibri"/>
              </w:rPr>
            </w:pPr>
          </w:p>
        </w:tc>
      </w:tr>
      <w:tr w:rsidR="00322294" w:rsidRPr="00731814" w14:paraId="6E19CED0" w14:textId="77777777" w:rsidTr="00B97EED">
        <w:tc>
          <w:tcPr>
            <w:tcW w:w="3472" w:type="dxa"/>
            <w:shd w:val="clear" w:color="auto" w:fill="auto"/>
          </w:tcPr>
          <w:p w14:paraId="1B20FFEC" w14:textId="77777777" w:rsidR="00322294" w:rsidRPr="00731814" w:rsidRDefault="00322294" w:rsidP="00B97EED">
            <w:pPr>
              <w:rPr>
                <w:rFonts w:cs="Calibri"/>
              </w:rPr>
            </w:pPr>
            <w:r w:rsidRPr="00731814">
              <w:rPr>
                <w:rFonts w:cs="Calibri"/>
              </w:rPr>
              <w:t xml:space="preserve">   16-17 years</w:t>
            </w:r>
          </w:p>
        </w:tc>
        <w:tc>
          <w:tcPr>
            <w:tcW w:w="776" w:type="dxa"/>
            <w:shd w:val="clear" w:color="auto" w:fill="auto"/>
          </w:tcPr>
          <w:p w14:paraId="5C06B110" w14:textId="77777777" w:rsidR="00322294" w:rsidRPr="00731814" w:rsidRDefault="00322294" w:rsidP="00B97EED">
            <w:pPr>
              <w:jc w:val="center"/>
              <w:rPr>
                <w:rFonts w:cs="Calibri"/>
              </w:rPr>
            </w:pPr>
            <w:r w:rsidRPr="00731814">
              <w:rPr>
                <w:rFonts w:cs="Calibri"/>
              </w:rPr>
              <w:t>276</w:t>
            </w:r>
          </w:p>
        </w:tc>
        <w:tc>
          <w:tcPr>
            <w:tcW w:w="972" w:type="dxa"/>
            <w:shd w:val="clear" w:color="auto" w:fill="auto"/>
            <w:vAlign w:val="bottom"/>
          </w:tcPr>
          <w:p w14:paraId="07C392B9" w14:textId="77777777" w:rsidR="00322294" w:rsidRPr="00731814" w:rsidRDefault="00322294" w:rsidP="00B97EED">
            <w:pPr>
              <w:jc w:val="center"/>
              <w:rPr>
                <w:rFonts w:cs="Calibri"/>
                <w:color w:val="000000"/>
              </w:rPr>
            </w:pPr>
            <w:r w:rsidRPr="00731814">
              <w:rPr>
                <w:rFonts w:cs="Calibri"/>
                <w:color w:val="000000"/>
              </w:rPr>
              <w:t xml:space="preserve">  45</w:t>
            </w:r>
            <w:r w:rsidRPr="00731814">
              <w:rPr>
                <w:rFonts w:cs="Calibri"/>
              </w:rPr>
              <w:t xml:space="preserve"> (16)</w:t>
            </w:r>
          </w:p>
        </w:tc>
        <w:tc>
          <w:tcPr>
            <w:tcW w:w="1980" w:type="dxa"/>
            <w:shd w:val="clear" w:color="auto" w:fill="auto"/>
            <w:vAlign w:val="bottom"/>
          </w:tcPr>
          <w:p w14:paraId="74E089DD" w14:textId="77777777" w:rsidR="00322294" w:rsidRPr="00731814" w:rsidRDefault="00322294" w:rsidP="00B97EED">
            <w:pPr>
              <w:jc w:val="center"/>
              <w:rPr>
                <w:rFonts w:cs="Calibri"/>
                <w:color w:val="000000"/>
              </w:rPr>
            </w:pPr>
            <w:r w:rsidRPr="00731814">
              <w:rPr>
                <w:rFonts w:cs="Calibri"/>
                <w:color w:val="000000"/>
              </w:rPr>
              <w:t>1.07 (0.54 to 2.14)</w:t>
            </w:r>
          </w:p>
        </w:tc>
        <w:tc>
          <w:tcPr>
            <w:tcW w:w="900" w:type="dxa"/>
            <w:shd w:val="clear" w:color="auto" w:fill="auto"/>
            <w:vAlign w:val="bottom"/>
          </w:tcPr>
          <w:p w14:paraId="6515C823" w14:textId="77777777" w:rsidR="00322294" w:rsidRPr="00731814" w:rsidRDefault="00322294" w:rsidP="00B97EED">
            <w:pPr>
              <w:jc w:val="center"/>
              <w:rPr>
                <w:rFonts w:cs="Calibri"/>
              </w:rPr>
            </w:pPr>
          </w:p>
        </w:tc>
        <w:tc>
          <w:tcPr>
            <w:tcW w:w="1980" w:type="dxa"/>
            <w:shd w:val="clear" w:color="auto" w:fill="auto"/>
          </w:tcPr>
          <w:p w14:paraId="0FABD370" w14:textId="77777777" w:rsidR="00322294" w:rsidRPr="00731814" w:rsidRDefault="00322294" w:rsidP="00B97EED">
            <w:pPr>
              <w:jc w:val="center"/>
              <w:rPr>
                <w:rFonts w:cs="Calibri"/>
              </w:rPr>
            </w:pPr>
            <w:r w:rsidRPr="00731814">
              <w:rPr>
                <w:rFonts w:cs="Calibri"/>
              </w:rPr>
              <w:t>1.25 (0.59 to 2.64)</w:t>
            </w:r>
          </w:p>
        </w:tc>
        <w:tc>
          <w:tcPr>
            <w:tcW w:w="900" w:type="dxa"/>
            <w:shd w:val="clear" w:color="auto" w:fill="auto"/>
          </w:tcPr>
          <w:p w14:paraId="4DDB38AB" w14:textId="77777777" w:rsidR="00322294" w:rsidRPr="00731814" w:rsidRDefault="00322294" w:rsidP="00B97EED">
            <w:pPr>
              <w:jc w:val="center"/>
              <w:rPr>
                <w:rFonts w:cs="Calibri"/>
              </w:rPr>
            </w:pPr>
          </w:p>
        </w:tc>
      </w:tr>
      <w:tr w:rsidR="00322294" w:rsidRPr="00731814" w14:paraId="071DEF89" w14:textId="77777777" w:rsidTr="00B97EED">
        <w:tc>
          <w:tcPr>
            <w:tcW w:w="3472" w:type="dxa"/>
            <w:shd w:val="clear" w:color="auto" w:fill="auto"/>
          </w:tcPr>
          <w:p w14:paraId="6F1FE178" w14:textId="77777777" w:rsidR="00322294" w:rsidRPr="00731814" w:rsidRDefault="00322294" w:rsidP="00B97EED">
            <w:pPr>
              <w:rPr>
                <w:rFonts w:cs="Calibri"/>
              </w:rPr>
            </w:pPr>
            <w:r w:rsidRPr="00731814">
              <w:rPr>
                <w:rFonts w:cs="Calibri"/>
              </w:rPr>
              <w:t xml:space="preserve">   18-20 years</w:t>
            </w:r>
          </w:p>
        </w:tc>
        <w:tc>
          <w:tcPr>
            <w:tcW w:w="776" w:type="dxa"/>
            <w:shd w:val="clear" w:color="auto" w:fill="auto"/>
          </w:tcPr>
          <w:p w14:paraId="3519A59E" w14:textId="77777777" w:rsidR="00322294" w:rsidRPr="00731814" w:rsidRDefault="00322294" w:rsidP="00B97EED">
            <w:pPr>
              <w:jc w:val="center"/>
              <w:rPr>
                <w:rFonts w:cs="Calibri"/>
              </w:rPr>
            </w:pPr>
            <w:r w:rsidRPr="00731814">
              <w:rPr>
                <w:rFonts w:cs="Calibri"/>
              </w:rPr>
              <w:t>419</w:t>
            </w:r>
          </w:p>
        </w:tc>
        <w:tc>
          <w:tcPr>
            <w:tcW w:w="972" w:type="dxa"/>
            <w:shd w:val="clear" w:color="auto" w:fill="auto"/>
            <w:vAlign w:val="bottom"/>
          </w:tcPr>
          <w:p w14:paraId="33F35CF7" w14:textId="77777777" w:rsidR="00322294" w:rsidRPr="00731814" w:rsidRDefault="00322294" w:rsidP="00B97EED">
            <w:pPr>
              <w:jc w:val="center"/>
              <w:rPr>
                <w:rFonts w:cs="Calibri"/>
                <w:color w:val="000000"/>
              </w:rPr>
            </w:pPr>
            <w:r w:rsidRPr="00731814">
              <w:rPr>
                <w:rFonts w:cs="Calibri"/>
                <w:color w:val="000000"/>
              </w:rPr>
              <w:t xml:space="preserve">  52</w:t>
            </w:r>
            <w:r w:rsidRPr="00731814">
              <w:rPr>
                <w:rFonts w:cs="Calibri"/>
              </w:rPr>
              <w:t xml:space="preserve"> (12)</w:t>
            </w:r>
          </w:p>
        </w:tc>
        <w:tc>
          <w:tcPr>
            <w:tcW w:w="1980" w:type="dxa"/>
            <w:shd w:val="clear" w:color="auto" w:fill="auto"/>
            <w:vAlign w:val="bottom"/>
          </w:tcPr>
          <w:p w14:paraId="1A423CE9" w14:textId="77777777" w:rsidR="00322294" w:rsidRPr="00731814" w:rsidRDefault="00322294" w:rsidP="00B97EED">
            <w:pPr>
              <w:jc w:val="center"/>
              <w:rPr>
                <w:rFonts w:cs="Calibri"/>
                <w:color w:val="000000"/>
              </w:rPr>
            </w:pPr>
            <w:r w:rsidRPr="00731814">
              <w:rPr>
                <w:rFonts w:cs="Calibri"/>
                <w:color w:val="000000"/>
              </w:rPr>
              <w:t>0.78 (0.39 to 1.54)</w:t>
            </w:r>
          </w:p>
        </w:tc>
        <w:tc>
          <w:tcPr>
            <w:tcW w:w="900" w:type="dxa"/>
            <w:shd w:val="clear" w:color="auto" w:fill="auto"/>
            <w:vAlign w:val="bottom"/>
          </w:tcPr>
          <w:p w14:paraId="7A276D90" w14:textId="77777777" w:rsidR="00322294" w:rsidRPr="00731814" w:rsidRDefault="00322294" w:rsidP="00B97EED">
            <w:pPr>
              <w:jc w:val="center"/>
              <w:rPr>
                <w:rFonts w:cs="Calibri"/>
              </w:rPr>
            </w:pPr>
          </w:p>
        </w:tc>
        <w:tc>
          <w:tcPr>
            <w:tcW w:w="1980" w:type="dxa"/>
            <w:shd w:val="clear" w:color="auto" w:fill="auto"/>
          </w:tcPr>
          <w:p w14:paraId="55A332FC" w14:textId="77777777" w:rsidR="00322294" w:rsidRPr="00731814" w:rsidRDefault="00322294" w:rsidP="00B97EED">
            <w:pPr>
              <w:jc w:val="center"/>
              <w:rPr>
                <w:rFonts w:cs="Calibri"/>
              </w:rPr>
            </w:pPr>
            <w:r w:rsidRPr="00731814">
              <w:rPr>
                <w:rFonts w:cs="Calibri"/>
              </w:rPr>
              <w:t>1.12 (0.53 to 2.34)</w:t>
            </w:r>
          </w:p>
        </w:tc>
        <w:tc>
          <w:tcPr>
            <w:tcW w:w="900" w:type="dxa"/>
            <w:shd w:val="clear" w:color="auto" w:fill="auto"/>
          </w:tcPr>
          <w:p w14:paraId="70E7C92E" w14:textId="77777777" w:rsidR="00322294" w:rsidRPr="00731814" w:rsidRDefault="00322294" w:rsidP="00B97EED">
            <w:pPr>
              <w:jc w:val="center"/>
              <w:rPr>
                <w:rFonts w:cs="Calibri"/>
              </w:rPr>
            </w:pPr>
          </w:p>
        </w:tc>
      </w:tr>
      <w:tr w:rsidR="00322294" w:rsidRPr="00731814" w14:paraId="06E8FD47" w14:textId="77777777" w:rsidTr="00B97EED">
        <w:tc>
          <w:tcPr>
            <w:tcW w:w="3472" w:type="dxa"/>
            <w:shd w:val="clear" w:color="auto" w:fill="auto"/>
          </w:tcPr>
          <w:p w14:paraId="227B1E22" w14:textId="77777777" w:rsidR="00322294" w:rsidRPr="00731814" w:rsidRDefault="00322294" w:rsidP="00B97EED">
            <w:pPr>
              <w:rPr>
                <w:rFonts w:cs="Calibri"/>
              </w:rPr>
            </w:pPr>
            <w:r w:rsidRPr="00731814">
              <w:rPr>
                <w:rFonts w:cs="Calibri"/>
              </w:rPr>
              <w:t xml:space="preserve">   21 years or older</w:t>
            </w:r>
          </w:p>
        </w:tc>
        <w:tc>
          <w:tcPr>
            <w:tcW w:w="776" w:type="dxa"/>
            <w:shd w:val="clear" w:color="auto" w:fill="auto"/>
          </w:tcPr>
          <w:p w14:paraId="683FBD24" w14:textId="77777777" w:rsidR="00322294" w:rsidRPr="00731814" w:rsidRDefault="00322294" w:rsidP="00B97EED">
            <w:pPr>
              <w:jc w:val="center"/>
              <w:rPr>
                <w:rFonts w:cs="Calibri"/>
              </w:rPr>
            </w:pPr>
            <w:r w:rsidRPr="00731814">
              <w:rPr>
                <w:rFonts w:cs="Calibri"/>
              </w:rPr>
              <w:t>102</w:t>
            </w:r>
          </w:p>
        </w:tc>
        <w:tc>
          <w:tcPr>
            <w:tcW w:w="972" w:type="dxa"/>
            <w:shd w:val="clear" w:color="auto" w:fill="auto"/>
            <w:vAlign w:val="bottom"/>
          </w:tcPr>
          <w:p w14:paraId="7047F028" w14:textId="77777777" w:rsidR="00322294" w:rsidRPr="00731814" w:rsidRDefault="00322294" w:rsidP="00B97EED">
            <w:pPr>
              <w:jc w:val="center"/>
              <w:rPr>
                <w:rFonts w:cs="Calibri"/>
                <w:color w:val="000000"/>
              </w:rPr>
            </w:pPr>
            <w:r w:rsidRPr="00731814">
              <w:rPr>
                <w:rFonts w:cs="Calibri"/>
                <w:color w:val="000000"/>
              </w:rPr>
              <w:t xml:space="preserve">    6</w:t>
            </w:r>
            <w:r w:rsidRPr="00731814">
              <w:rPr>
                <w:rFonts w:cs="Calibri"/>
              </w:rPr>
              <w:t xml:space="preserve"> </w:t>
            </w:r>
            <w:proofErr w:type="gramStart"/>
            <w:r w:rsidRPr="00731814">
              <w:rPr>
                <w:rFonts w:cs="Calibri"/>
              </w:rPr>
              <w:t>(  6</w:t>
            </w:r>
            <w:proofErr w:type="gramEnd"/>
            <w:r w:rsidRPr="00731814">
              <w:rPr>
                <w:rFonts w:cs="Calibri"/>
              </w:rPr>
              <w:t>)</w:t>
            </w:r>
          </w:p>
        </w:tc>
        <w:tc>
          <w:tcPr>
            <w:tcW w:w="1980" w:type="dxa"/>
            <w:shd w:val="clear" w:color="auto" w:fill="auto"/>
            <w:vAlign w:val="bottom"/>
          </w:tcPr>
          <w:p w14:paraId="12D525D2" w14:textId="77777777" w:rsidR="00322294" w:rsidRPr="00731814" w:rsidRDefault="00322294" w:rsidP="00B97EED">
            <w:pPr>
              <w:jc w:val="center"/>
              <w:rPr>
                <w:rFonts w:cs="Calibri"/>
                <w:color w:val="000000"/>
              </w:rPr>
            </w:pPr>
            <w:r w:rsidRPr="00731814">
              <w:rPr>
                <w:rFonts w:cs="Calibri"/>
                <w:color w:val="000000"/>
              </w:rPr>
              <w:t>0.34 (0.12 to 0.96)</w:t>
            </w:r>
          </w:p>
        </w:tc>
        <w:tc>
          <w:tcPr>
            <w:tcW w:w="900" w:type="dxa"/>
            <w:shd w:val="clear" w:color="auto" w:fill="auto"/>
            <w:vAlign w:val="bottom"/>
          </w:tcPr>
          <w:p w14:paraId="1618A35D" w14:textId="77777777" w:rsidR="00322294" w:rsidRPr="00731814" w:rsidRDefault="00322294" w:rsidP="00B97EED">
            <w:pPr>
              <w:jc w:val="center"/>
              <w:rPr>
                <w:rFonts w:cs="Calibri"/>
              </w:rPr>
            </w:pPr>
          </w:p>
        </w:tc>
        <w:tc>
          <w:tcPr>
            <w:tcW w:w="1980" w:type="dxa"/>
            <w:shd w:val="clear" w:color="auto" w:fill="auto"/>
          </w:tcPr>
          <w:p w14:paraId="4A3FD17E" w14:textId="77777777" w:rsidR="00322294" w:rsidRPr="00731814" w:rsidRDefault="00322294" w:rsidP="00B97EED">
            <w:pPr>
              <w:jc w:val="center"/>
              <w:rPr>
                <w:rFonts w:cs="Calibri"/>
              </w:rPr>
            </w:pPr>
            <w:r w:rsidRPr="00731814">
              <w:rPr>
                <w:rFonts w:cs="Calibri"/>
              </w:rPr>
              <w:t>0.61 (0.20 to 1.79)</w:t>
            </w:r>
          </w:p>
        </w:tc>
        <w:tc>
          <w:tcPr>
            <w:tcW w:w="900" w:type="dxa"/>
            <w:shd w:val="clear" w:color="auto" w:fill="auto"/>
          </w:tcPr>
          <w:p w14:paraId="0D54BD25" w14:textId="77777777" w:rsidR="00322294" w:rsidRPr="00731814" w:rsidRDefault="00322294" w:rsidP="00B97EED">
            <w:pPr>
              <w:jc w:val="center"/>
              <w:rPr>
                <w:rFonts w:cs="Calibri"/>
              </w:rPr>
            </w:pPr>
          </w:p>
        </w:tc>
      </w:tr>
      <w:tr w:rsidR="00322294" w:rsidRPr="00731814" w14:paraId="7F51BB98" w14:textId="77777777" w:rsidTr="00B97EED">
        <w:tc>
          <w:tcPr>
            <w:tcW w:w="3472" w:type="dxa"/>
            <w:shd w:val="clear" w:color="auto" w:fill="auto"/>
          </w:tcPr>
          <w:p w14:paraId="33492F30" w14:textId="77777777" w:rsidR="00322294" w:rsidRPr="00731814" w:rsidRDefault="00322294" w:rsidP="00B97EED">
            <w:pPr>
              <w:rPr>
                <w:rFonts w:cs="Calibri"/>
                <w:b/>
              </w:rPr>
            </w:pPr>
            <w:r w:rsidRPr="00731814">
              <w:rPr>
                <w:rFonts w:cs="Calibri"/>
                <w:b/>
              </w:rPr>
              <w:t>Sexual partners (in the last year)</w:t>
            </w:r>
          </w:p>
        </w:tc>
        <w:tc>
          <w:tcPr>
            <w:tcW w:w="776" w:type="dxa"/>
            <w:shd w:val="clear" w:color="auto" w:fill="auto"/>
          </w:tcPr>
          <w:p w14:paraId="19A4063A" w14:textId="77777777" w:rsidR="00322294" w:rsidRPr="00731814" w:rsidRDefault="00322294" w:rsidP="00B97EED">
            <w:pPr>
              <w:jc w:val="center"/>
              <w:rPr>
                <w:rFonts w:cs="Calibri"/>
                <w:b/>
              </w:rPr>
            </w:pPr>
          </w:p>
        </w:tc>
        <w:tc>
          <w:tcPr>
            <w:tcW w:w="972" w:type="dxa"/>
            <w:shd w:val="clear" w:color="auto" w:fill="auto"/>
          </w:tcPr>
          <w:p w14:paraId="448FA4FA" w14:textId="77777777" w:rsidR="00322294" w:rsidRPr="00731814" w:rsidRDefault="00322294" w:rsidP="00B97EED">
            <w:pPr>
              <w:jc w:val="center"/>
              <w:rPr>
                <w:rFonts w:cs="Calibri"/>
                <w:b/>
              </w:rPr>
            </w:pPr>
          </w:p>
        </w:tc>
        <w:tc>
          <w:tcPr>
            <w:tcW w:w="1980" w:type="dxa"/>
            <w:shd w:val="clear" w:color="auto" w:fill="auto"/>
          </w:tcPr>
          <w:p w14:paraId="55B8F6B7" w14:textId="77777777" w:rsidR="00322294" w:rsidRPr="00731814" w:rsidRDefault="00322294" w:rsidP="00B97EED">
            <w:pPr>
              <w:jc w:val="center"/>
              <w:rPr>
                <w:rFonts w:cs="Calibri"/>
                <w:b/>
              </w:rPr>
            </w:pPr>
          </w:p>
        </w:tc>
        <w:tc>
          <w:tcPr>
            <w:tcW w:w="900" w:type="dxa"/>
            <w:shd w:val="clear" w:color="auto" w:fill="auto"/>
            <w:vAlign w:val="bottom"/>
          </w:tcPr>
          <w:p w14:paraId="33DDB9E6" w14:textId="77777777" w:rsidR="00322294" w:rsidRPr="00731814" w:rsidRDefault="00322294" w:rsidP="00B97EED">
            <w:pPr>
              <w:jc w:val="center"/>
              <w:rPr>
                <w:rFonts w:cs="Calibri"/>
              </w:rPr>
            </w:pPr>
          </w:p>
        </w:tc>
        <w:tc>
          <w:tcPr>
            <w:tcW w:w="1980" w:type="dxa"/>
            <w:shd w:val="clear" w:color="auto" w:fill="auto"/>
          </w:tcPr>
          <w:p w14:paraId="5C318A37" w14:textId="77777777" w:rsidR="00322294" w:rsidRPr="00731814" w:rsidRDefault="00322294" w:rsidP="00B97EED">
            <w:pPr>
              <w:jc w:val="center"/>
              <w:rPr>
                <w:rFonts w:cs="Calibri"/>
              </w:rPr>
            </w:pPr>
          </w:p>
        </w:tc>
        <w:tc>
          <w:tcPr>
            <w:tcW w:w="900" w:type="dxa"/>
            <w:shd w:val="clear" w:color="auto" w:fill="auto"/>
          </w:tcPr>
          <w:p w14:paraId="73903BC4" w14:textId="77777777" w:rsidR="00322294" w:rsidRPr="00731814" w:rsidRDefault="00322294" w:rsidP="00B97EED">
            <w:pPr>
              <w:jc w:val="center"/>
              <w:rPr>
                <w:rFonts w:cs="Calibri"/>
                <w:b/>
              </w:rPr>
            </w:pPr>
          </w:p>
        </w:tc>
      </w:tr>
      <w:tr w:rsidR="00322294" w:rsidRPr="00731814" w14:paraId="47D167C8" w14:textId="77777777" w:rsidTr="00B97EED">
        <w:tc>
          <w:tcPr>
            <w:tcW w:w="3472" w:type="dxa"/>
            <w:shd w:val="clear" w:color="auto" w:fill="auto"/>
          </w:tcPr>
          <w:p w14:paraId="7D96BDE9" w14:textId="77777777" w:rsidR="00322294" w:rsidRPr="00731814" w:rsidRDefault="00322294" w:rsidP="00B97EED">
            <w:pPr>
              <w:rPr>
                <w:rFonts w:cs="Calibri"/>
              </w:rPr>
            </w:pPr>
            <w:r w:rsidRPr="00731814">
              <w:rPr>
                <w:rFonts w:cs="Calibri"/>
              </w:rPr>
              <w:t xml:space="preserve">   Zero or one</w:t>
            </w:r>
          </w:p>
        </w:tc>
        <w:tc>
          <w:tcPr>
            <w:tcW w:w="776" w:type="dxa"/>
            <w:shd w:val="clear" w:color="auto" w:fill="auto"/>
          </w:tcPr>
          <w:p w14:paraId="1B00920D" w14:textId="77777777" w:rsidR="00322294" w:rsidRPr="00731814" w:rsidRDefault="00322294" w:rsidP="00B97EED">
            <w:pPr>
              <w:jc w:val="center"/>
              <w:rPr>
                <w:rFonts w:cs="Calibri"/>
              </w:rPr>
            </w:pPr>
            <w:r w:rsidRPr="00731814">
              <w:rPr>
                <w:rFonts w:cs="Calibri"/>
              </w:rPr>
              <w:t>279</w:t>
            </w:r>
          </w:p>
        </w:tc>
        <w:tc>
          <w:tcPr>
            <w:tcW w:w="972" w:type="dxa"/>
            <w:shd w:val="clear" w:color="auto" w:fill="auto"/>
            <w:vAlign w:val="bottom"/>
          </w:tcPr>
          <w:p w14:paraId="7FEFC0AE" w14:textId="77777777" w:rsidR="00322294" w:rsidRPr="00731814" w:rsidRDefault="00322294" w:rsidP="00B97EED">
            <w:pPr>
              <w:jc w:val="center"/>
              <w:rPr>
                <w:rFonts w:cs="Calibri"/>
                <w:color w:val="000000"/>
                <w:lang w:eastAsia="en-GB"/>
              </w:rPr>
            </w:pPr>
            <w:r w:rsidRPr="00731814">
              <w:rPr>
                <w:rFonts w:cs="Calibri"/>
                <w:color w:val="000000"/>
              </w:rPr>
              <w:t xml:space="preserve">  30</w:t>
            </w:r>
            <w:r w:rsidRPr="00731814">
              <w:rPr>
                <w:rFonts w:cs="Calibri"/>
              </w:rPr>
              <w:t xml:space="preserve"> (11)</w:t>
            </w:r>
          </w:p>
        </w:tc>
        <w:tc>
          <w:tcPr>
            <w:tcW w:w="1980" w:type="dxa"/>
            <w:shd w:val="clear" w:color="auto" w:fill="auto"/>
          </w:tcPr>
          <w:p w14:paraId="2BBFC9C0"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77AB8C02" w14:textId="77777777" w:rsidR="00322294" w:rsidRPr="00731814" w:rsidRDefault="00322294" w:rsidP="00B97EED">
            <w:pPr>
              <w:jc w:val="center"/>
              <w:rPr>
                <w:rFonts w:cs="Calibri"/>
                <w:color w:val="000000"/>
              </w:rPr>
            </w:pPr>
            <w:r w:rsidRPr="00731814">
              <w:rPr>
                <w:rFonts w:cs="Calibri"/>
                <w:color w:val="000000"/>
              </w:rPr>
              <w:t>0.219</w:t>
            </w:r>
          </w:p>
        </w:tc>
        <w:tc>
          <w:tcPr>
            <w:tcW w:w="1980" w:type="dxa"/>
            <w:shd w:val="clear" w:color="auto" w:fill="auto"/>
          </w:tcPr>
          <w:p w14:paraId="0B2730F3"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798D9671" w14:textId="77777777" w:rsidR="00322294" w:rsidRPr="00731814" w:rsidRDefault="00322294" w:rsidP="00B97EED">
            <w:pPr>
              <w:jc w:val="center"/>
              <w:rPr>
                <w:rFonts w:cs="Calibri"/>
              </w:rPr>
            </w:pPr>
            <w:r w:rsidRPr="00731814">
              <w:rPr>
                <w:rFonts w:cs="Calibri"/>
              </w:rPr>
              <w:t>0.403</w:t>
            </w:r>
          </w:p>
        </w:tc>
      </w:tr>
      <w:tr w:rsidR="00322294" w:rsidRPr="00731814" w14:paraId="4B2A24E8" w14:textId="77777777" w:rsidTr="00B97EED">
        <w:tc>
          <w:tcPr>
            <w:tcW w:w="3472" w:type="dxa"/>
            <w:shd w:val="clear" w:color="auto" w:fill="auto"/>
          </w:tcPr>
          <w:p w14:paraId="478751E0" w14:textId="77777777" w:rsidR="00322294" w:rsidRPr="00731814" w:rsidRDefault="00322294" w:rsidP="00B97EED">
            <w:pPr>
              <w:rPr>
                <w:rFonts w:cs="Calibri"/>
              </w:rPr>
            </w:pPr>
            <w:r w:rsidRPr="00731814">
              <w:rPr>
                <w:rFonts w:cs="Calibri"/>
              </w:rPr>
              <w:t xml:space="preserve">   Two</w:t>
            </w:r>
          </w:p>
        </w:tc>
        <w:tc>
          <w:tcPr>
            <w:tcW w:w="776" w:type="dxa"/>
            <w:shd w:val="clear" w:color="auto" w:fill="auto"/>
          </w:tcPr>
          <w:p w14:paraId="2D5CDFA2" w14:textId="77777777" w:rsidR="00322294" w:rsidRPr="00731814" w:rsidRDefault="00322294" w:rsidP="00B97EED">
            <w:pPr>
              <w:jc w:val="center"/>
              <w:rPr>
                <w:rFonts w:cs="Calibri"/>
              </w:rPr>
            </w:pPr>
            <w:r w:rsidRPr="00731814">
              <w:rPr>
                <w:rFonts w:cs="Calibri"/>
              </w:rPr>
              <w:t>202</w:t>
            </w:r>
          </w:p>
        </w:tc>
        <w:tc>
          <w:tcPr>
            <w:tcW w:w="972" w:type="dxa"/>
            <w:shd w:val="clear" w:color="auto" w:fill="auto"/>
            <w:vAlign w:val="bottom"/>
          </w:tcPr>
          <w:p w14:paraId="5EFC1AD9" w14:textId="77777777" w:rsidR="00322294" w:rsidRPr="00731814" w:rsidRDefault="00322294" w:rsidP="00B97EED">
            <w:pPr>
              <w:jc w:val="center"/>
              <w:rPr>
                <w:rFonts w:cs="Calibri"/>
                <w:color w:val="000000"/>
              </w:rPr>
            </w:pPr>
            <w:r w:rsidRPr="00731814">
              <w:rPr>
                <w:rFonts w:cs="Calibri"/>
                <w:color w:val="000000"/>
              </w:rPr>
              <w:t xml:space="preserve">  22</w:t>
            </w:r>
            <w:r w:rsidRPr="00731814">
              <w:rPr>
                <w:rFonts w:cs="Calibri"/>
              </w:rPr>
              <w:t xml:space="preserve"> (11)</w:t>
            </w:r>
          </w:p>
        </w:tc>
        <w:tc>
          <w:tcPr>
            <w:tcW w:w="1980" w:type="dxa"/>
            <w:shd w:val="clear" w:color="auto" w:fill="auto"/>
            <w:vAlign w:val="bottom"/>
          </w:tcPr>
          <w:p w14:paraId="089EDE3D" w14:textId="77777777" w:rsidR="00322294" w:rsidRPr="00731814" w:rsidRDefault="00322294" w:rsidP="00B97EED">
            <w:pPr>
              <w:jc w:val="center"/>
              <w:rPr>
                <w:rFonts w:cs="Calibri"/>
                <w:color w:val="000000"/>
                <w:lang w:eastAsia="en-GB"/>
              </w:rPr>
            </w:pPr>
            <w:r w:rsidRPr="00731814">
              <w:rPr>
                <w:rFonts w:cs="Calibri"/>
                <w:color w:val="000000"/>
              </w:rPr>
              <w:t>1.01 (0.57 to 1.82)</w:t>
            </w:r>
          </w:p>
        </w:tc>
        <w:tc>
          <w:tcPr>
            <w:tcW w:w="900" w:type="dxa"/>
            <w:shd w:val="clear" w:color="auto" w:fill="auto"/>
            <w:vAlign w:val="bottom"/>
          </w:tcPr>
          <w:p w14:paraId="51C070BF" w14:textId="77777777" w:rsidR="00322294" w:rsidRPr="00731814" w:rsidRDefault="00322294" w:rsidP="00B97EED">
            <w:pPr>
              <w:jc w:val="center"/>
              <w:rPr>
                <w:rFonts w:cs="Calibri"/>
                <w:color w:val="000000"/>
              </w:rPr>
            </w:pPr>
          </w:p>
        </w:tc>
        <w:tc>
          <w:tcPr>
            <w:tcW w:w="1980" w:type="dxa"/>
            <w:shd w:val="clear" w:color="auto" w:fill="auto"/>
          </w:tcPr>
          <w:p w14:paraId="5EB23E21" w14:textId="77777777" w:rsidR="00322294" w:rsidRPr="00731814" w:rsidRDefault="00322294" w:rsidP="00B97EED">
            <w:pPr>
              <w:jc w:val="center"/>
              <w:rPr>
                <w:rFonts w:cs="Calibri"/>
              </w:rPr>
            </w:pPr>
            <w:r w:rsidRPr="00731814">
              <w:rPr>
                <w:rFonts w:cs="Calibri"/>
              </w:rPr>
              <w:t>1.04 (0.55 to 1.96)</w:t>
            </w:r>
          </w:p>
        </w:tc>
        <w:tc>
          <w:tcPr>
            <w:tcW w:w="900" w:type="dxa"/>
            <w:shd w:val="clear" w:color="auto" w:fill="auto"/>
          </w:tcPr>
          <w:p w14:paraId="770663A8" w14:textId="77777777" w:rsidR="00322294" w:rsidRPr="00731814" w:rsidRDefault="00322294" w:rsidP="00B97EED">
            <w:pPr>
              <w:jc w:val="center"/>
              <w:rPr>
                <w:rFonts w:cs="Calibri"/>
              </w:rPr>
            </w:pPr>
          </w:p>
        </w:tc>
      </w:tr>
      <w:tr w:rsidR="00322294" w:rsidRPr="00731814" w14:paraId="6884AC3A" w14:textId="77777777" w:rsidTr="00B97EED">
        <w:tc>
          <w:tcPr>
            <w:tcW w:w="3472" w:type="dxa"/>
            <w:shd w:val="clear" w:color="auto" w:fill="auto"/>
          </w:tcPr>
          <w:p w14:paraId="2AD6C24E" w14:textId="77777777" w:rsidR="00322294" w:rsidRPr="00731814" w:rsidRDefault="00322294" w:rsidP="00B97EED">
            <w:pPr>
              <w:rPr>
                <w:rFonts w:cs="Calibri"/>
              </w:rPr>
            </w:pPr>
            <w:r w:rsidRPr="00731814">
              <w:rPr>
                <w:rFonts w:cs="Calibri"/>
              </w:rPr>
              <w:t xml:space="preserve">   Three or four</w:t>
            </w:r>
          </w:p>
        </w:tc>
        <w:tc>
          <w:tcPr>
            <w:tcW w:w="776" w:type="dxa"/>
            <w:shd w:val="clear" w:color="auto" w:fill="auto"/>
          </w:tcPr>
          <w:p w14:paraId="0BE90501" w14:textId="77777777" w:rsidR="00322294" w:rsidRPr="00731814" w:rsidRDefault="00322294" w:rsidP="00B97EED">
            <w:pPr>
              <w:jc w:val="center"/>
              <w:rPr>
                <w:rFonts w:cs="Calibri"/>
              </w:rPr>
            </w:pPr>
            <w:r w:rsidRPr="00731814">
              <w:rPr>
                <w:rFonts w:cs="Calibri"/>
              </w:rPr>
              <w:t>242</w:t>
            </w:r>
          </w:p>
        </w:tc>
        <w:tc>
          <w:tcPr>
            <w:tcW w:w="972" w:type="dxa"/>
            <w:shd w:val="clear" w:color="auto" w:fill="auto"/>
            <w:vAlign w:val="bottom"/>
          </w:tcPr>
          <w:p w14:paraId="0571A29A" w14:textId="77777777" w:rsidR="00322294" w:rsidRPr="00731814" w:rsidRDefault="00322294" w:rsidP="00B97EED">
            <w:pPr>
              <w:jc w:val="center"/>
              <w:rPr>
                <w:rFonts w:cs="Calibri"/>
                <w:color w:val="000000"/>
              </w:rPr>
            </w:pPr>
            <w:r w:rsidRPr="00731814">
              <w:rPr>
                <w:rFonts w:cs="Calibri"/>
                <w:color w:val="000000"/>
              </w:rPr>
              <w:t xml:space="preserve">  29</w:t>
            </w:r>
            <w:r w:rsidRPr="00731814">
              <w:rPr>
                <w:rFonts w:cs="Calibri"/>
              </w:rPr>
              <w:t xml:space="preserve"> (12)</w:t>
            </w:r>
          </w:p>
        </w:tc>
        <w:tc>
          <w:tcPr>
            <w:tcW w:w="1980" w:type="dxa"/>
            <w:shd w:val="clear" w:color="auto" w:fill="auto"/>
            <w:vAlign w:val="bottom"/>
          </w:tcPr>
          <w:p w14:paraId="73779A00" w14:textId="77777777" w:rsidR="00322294" w:rsidRPr="00731814" w:rsidRDefault="00322294" w:rsidP="00B97EED">
            <w:pPr>
              <w:jc w:val="center"/>
              <w:rPr>
                <w:rFonts w:cs="Calibri"/>
                <w:color w:val="000000"/>
              </w:rPr>
            </w:pPr>
            <w:r w:rsidRPr="00731814">
              <w:rPr>
                <w:rFonts w:cs="Calibri"/>
                <w:color w:val="000000"/>
              </w:rPr>
              <w:t>1.13 (0.66 to 1.94)</w:t>
            </w:r>
          </w:p>
        </w:tc>
        <w:tc>
          <w:tcPr>
            <w:tcW w:w="900" w:type="dxa"/>
            <w:shd w:val="clear" w:color="auto" w:fill="auto"/>
            <w:vAlign w:val="bottom"/>
          </w:tcPr>
          <w:p w14:paraId="4E5BEAB5" w14:textId="77777777" w:rsidR="00322294" w:rsidRPr="00731814" w:rsidRDefault="00322294" w:rsidP="00B97EED">
            <w:pPr>
              <w:jc w:val="center"/>
              <w:rPr>
                <w:rFonts w:cs="Calibri"/>
                <w:color w:val="000000"/>
              </w:rPr>
            </w:pPr>
          </w:p>
        </w:tc>
        <w:tc>
          <w:tcPr>
            <w:tcW w:w="1980" w:type="dxa"/>
            <w:shd w:val="clear" w:color="auto" w:fill="auto"/>
          </w:tcPr>
          <w:p w14:paraId="37481392" w14:textId="77777777" w:rsidR="00322294" w:rsidRPr="00731814" w:rsidRDefault="00322294" w:rsidP="00B97EED">
            <w:pPr>
              <w:jc w:val="center"/>
              <w:rPr>
                <w:rFonts w:cs="Calibri"/>
              </w:rPr>
            </w:pPr>
            <w:r w:rsidRPr="00731814">
              <w:rPr>
                <w:rFonts w:cs="Calibri"/>
              </w:rPr>
              <w:t>1.03 (0.54 to 1.94)</w:t>
            </w:r>
          </w:p>
        </w:tc>
        <w:tc>
          <w:tcPr>
            <w:tcW w:w="900" w:type="dxa"/>
            <w:shd w:val="clear" w:color="auto" w:fill="auto"/>
          </w:tcPr>
          <w:p w14:paraId="63239E81" w14:textId="77777777" w:rsidR="00322294" w:rsidRPr="00731814" w:rsidRDefault="00322294" w:rsidP="00B97EED">
            <w:pPr>
              <w:jc w:val="center"/>
              <w:rPr>
                <w:rFonts w:cs="Calibri"/>
              </w:rPr>
            </w:pPr>
          </w:p>
        </w:tc>
      </w:tr>
      <w:tr w:rsidR="00322294" w:rsidRPr="00731814" w14:paraId="405BF5A3" w14:textId="77777777" w:rsidTr="00B97EED">
        <w:tc>
          <w:tcPr>
            <w:tcW w:w="3472" w:type="dxa"/>
            <w:shd w:val="clear" w:color="auto" w:fill="auto"/>
          </w:tcPr>
          <w:p w14:paraId="44D02674" w14:textId="77777777" w:rsidR="00322294" w:rsidRPr="00731814" w:rsidRDefault="00322294" w:rsidP="00B97EED">
            <w:pPr>
              <w:rPr>
                <w:rFonts w:cs="Calibri"/>
              </w:rPr>
            </w:pPr>
            <w:r w:rsidRPr="00731814">
              <w:rPr>
                <w:rFonts w:cs="Calibri"/>
              </w:rPr>
              <w:t xml:space="preserve">   Five or more</w:t>
            </w:r>
          </w:p>
        </w:tc>
        <w:tc>
          <w:tcPr>
            <w:tcW w:w="776" w:type="dxa"/>
            <w:shd w:val="clear" w:color="auto" w:fill="auto"/>
          </w:tcPr>
          <w:p w14:paraId="006013E0" w14:textId="77777777" w:rsidR="00322294" w:rsidRPr="00731814" w:rsidRDefault="00322294" w:rsidP="00B97EED">
            <w:pPr>
              <w:jc w:val="center"/>
              <w:rPr>
                <w:rFonts w:cs="Calibri"/>
              </w:rPr>
            </w:pPr>
            <w:r w:rsidRPr="00731814">
              <w:rPr>
                <w:rFonts w:cs="Calibri"/>
              </w:rPr>
              <w:t>198</w:t>
            </w:r>
          </w:p>
        </w:tc>
        <w:tc>
          <w:tcPr>
            <w:tcW w:w="972" w:type="dxa"/>
            <w:shd w:val="clear" w:color="auto" w:fill="auto"/>
            <w:vAlign w:val="bottom"/>
          </w:tcPr>
          <w:p w14:paraId="00E722CA" w14:textId="77777777" w:rsidR="00322294" w:rsidRPr="00731814" w:rsidRDefault="00322294" w:rsidP="00B97EED">
            <w:pPr>
              <w:jc w:val="center"/>
              <w:rPr>
                <w:rFonts w:cs="Calibri"/>
                <w:color w:val="000000"/>
              </w:rPr>
            </w:pPr>
            <w:r w:rsidRPr="00731814">
              <w:rPr>
                <w:rFonts w:cs="Calibri"/>
                <w:color w:val="000000"/>
              </w:rPr>
              <w:t xml:space="preserve">  33</w:t>
            </w:r>
            <w:r w:rsidRPr="00731814">
              <w:rPr>
                <w:rFonts w:cs="Calibri"/>
              </w:rPr>
              <w:t xml:space="preserve"> (17)</w:t>
            </w:r>
          </w:p>
        </w:tc>
        <w:tc>
          <w:tcPr>
            <w:tcW w:w="1980" w:type="dxa"/>
            <w:shd w:val="clear" w:color="auto" w:fill="auto"/>
            <w:vAlign w:val="bottom"/>
          </w:tcPr>
          <w:p w14:paraId="3E2E4B84" w14:textId="77777777" w:rsidR="00322294" w:rsidRPr="00731814" w:rsidRDefault="00322294" w:rsidP="00B97EED">
            <w:pPr>
              <w:jc w:val="center"/>
              <w:rPr>
                <w:rFonts w:cs="Calibri"/>
                <w:color w:val="000000"/>
              </w:rPr>
            </w:pPr>
            <w:r w:rsidRPr="00731814">
              <w:rPr>
                <w:rFonts w:cs="Calibri"/>
                <w:color w:val="000000"/>
              </w:rPr>
              <w:t>1.66 (0.98 to 2.83)</w:t>
            </w:r>
          </w:p>
        </w:tc>
        <w:tc>
          <w:tcPr>
            <w:tcW w:w="900" w:type="dxa"/>
            <w:shd w:val="clear" w:color="auto" w:fill="auto"/>
            <w:vAlign w:val="bottom"/>
          </w:tcPr>
          <w:p w14:paraId="1113EEA5" w14:textId="77777777" w:rsidR="00322294" w:rsidRPr="00731814" w:rsidRDefault="00322294" w:rsidP="00B97EED">
            <w:pPr>
              <w:jc w:val="center"/>
              <w:rPr>
                <w:rFonts w:cs="Calibri"/>
              </w:rPr>
            </w:pPr>
          </w:p>
        </w:tc>
        <w:tc>
          <w:tcPr>
            <w:tcW w:w="1980" w:type="dxa"/>
            <w:shd w:val="clear" w:color="auto" w:fill="auto"/>
          </w:tcPr>
          <w:p w14:paraId="44B6E704" w14:textId="77777777" w:rsidR="00322294" w:rsidRPr="00731814" w:rsidRDefault="00322294" w:rsidP="00B97EED">
            <w:pPr>
              <w:jc w:val="center"/>
              <w:rPr>
                <w:rFonts w:cs="Calibri"/>
              </w:rPr>
            </w:pPr>
            <w:r w:rsidRPr="00731814">
              <w:rPr>
                <w:rFonts w:cs="Calibri"/>
              </w:rPr>
              <w:t>1.58 (0.83 to 3.00)</w:t>
            </w:r>
          </w:p>
        </w:tc>
        <w:tc>
          <w:tcPr>
            <w:tcW w:w="900" w:type="dxa"/>
            <w:shd w:val="clear" w:color="auto" w:fill="auto"/>
          </w:tcPr>
          <w:p w14:paraId="37C94B56" w14:textId="77777777" w:rsidR="00322294" w:rsidRPr="00731814" w:rsidRDefault="00322294" w:rsidP="00B97EED">
            <w:pPr>
              <w:jc w:val="center"/>
              <w:rPr>
                <w:rFonts w:cs="Calibri"/>
              </w:rPr>
            </w:pPr>
          </w:p>
        </w:tc>
      </w:tr>
      <w:tr w:rsidR="00322294" w:rsidRPr="00731814" w14:paraId="03ADD306" w14:textId="77777777" w:rsidTr="00B97EED">
        <w:tc>
          <w:tcPr>
            <w:tcW w:w="3472" w:type="dxa"/>
            <w:shd w:val="clear" w:color="auto" w:fill="auto"/>
          </w:tcPr>
          <w:p w14:paraId="22EB4E6D" w14:textId="77777777" w:rsidR="00322294" w:rsidRPr="00731814" w:rsidRDefault="00322294" w:rsidP="00B97EED">
            <w:pPr>
              <w:rPr>
                <w:rFonts w:cs="Calibri"/>
                <w:b/>
              </w:rPr>
            </w:pPr>
            <w:r w:rsidRPr="00731814">
              <w:rPr>
                <w:rFonts w:cs="Calibri"/>
                <w:b/>
              </w:rPr>
              <w:t>Sex while drunk (in last month)</w:t>
            </w:r>
          </w:p>
        </w:tc>
        <w:tc>
          <w:tcPr>
            <w:tcW w:w="776" w:type="dxa"/>
            <w:shd w:val="clear" w:color="auto" w:fill="auto"/>
          </w:tcPr>
          <w:p w14:paraId="382C67C4" w14:textId="77777777" w:rsidR="00322294" w:rsidRPr="00731814" w:rsidRDefault="00322294" w:rsidP="00B97EED">
            <w:pPr>
              <w:jc w:val="center"/>
              <w:rPr>
                <w:rFonts w:cs="Calibri"/>
                <w:b/>
              </w:rPr>
            </w:pPr>
          </w:p>
        </w:tc>
        <w:tc>
          <w:tcPr>
            <w:tcW w:w="972" w:type="dxa"/>
            <w:shd w:val="clear" w:color="auto" w:fill="auto"/>
          </w:tcPr>
          <w:p w14:paraId="1A959E93" w14:textId="77777777" w:rsidR="00322294" w:rsidRPr="00731814" w:rsidRDefault="00322294" w:rsidP="00B97EED">
            <w:pPr>
              <w:jc w:val="center"/>
              <w:rPr>
                <w:rFonts w:cs="Calibri"/>
                <w:b/>
              </w:rPr>
            </w:pPr>
          </w:p>
        </w:tc>
        <w:tc>
          <w:tcPr>
            <w:tcW w:w="1980" w:type="dxa"/>
            <w:shd w:val="clear" w:color="auto" w:fill="auto"/>
          </w:tcPr>
          <w:p w14:paraId="78F1351B" w14:textId="77777777" w:rsidR="00322294" w:rsidRPr="00731814" w:rsidRDefault="00322294" w:rsidP="00B97EED">
            <w:pPr>
              <w:jc w:val="center"/>
              <w:rPr>
                <w:rFonts w:cs="Calibri"/>
                <w:b/>
              </w:rPr>
            </w:pPr>
          </w:p>
        </w:tc>
        <w:tc>
          <w:tcPr>
            <w:tcW w:w="900" w:type="dxa"/>
            <w:shd w:val="clear" w:color="auto" w:fill="auto"/>
            <w:vAlign w:val="bottom"/>
          </w:tcPr>
          <w:p w14:paraId="588F467E" w14:textId="77777777" w:rsidR="00322294" w:rsidRPr="00731814" w:rsidRDefault="00322294" w:rsidP="00B97EED">
            <w:pPr>
              <w:jc w:val="center"/>
              <w:rPr>
                <w:rFonts w:cs="Calibri"/>
              </w:rPr>
            </w:pPr>
          </w:p>
        </w:tc>
        <w:tc>
          <w:tcPr>
            <w:tcW w:w="1980" w:type="dxa"/>
            <w:shd w:val="clear" w:color="auto" w:fill="auto"/>
          </w:tcPr>
          <w:p w14:paraId="0B902904" w14:textId="77777777" w:rsidR="00322294" w:rsidRPr="00731814" w:rsidRDefault="00322294" w:rsidP="00B97EED">
            <w:pPr>
              <w:jc w:val="center"/>
              <w:rPr>
                <w:rFonts w:cs="Calibri"/>
              </w:rPr>
            </w:pPr>
          </w:p>
        </w:tc>
        <w:tc>
          <w:tcPr>
            <w:tcW w:w="900" w:type="dxa"/>
            <w:shd w:val="clear" w:color="auto" w:fill="auto"/>
          </w:tcPr>
          <w:p w14:paraId="34823EBE" w14:textId="77777777" w:rsidR="00322294" w:rsidRPr="00731814" w:rsidRDefault="00322294" w:rsidP="00B97EED">
            <w:pPr>
              <w:jc w:val="center"/>
              <w:rPr>
                <w:rFonts w:cs="Calibri"/>
                <w:b/>
              </w:rPr>
            </w:pPr>
          </w:p>
        </w:tc>
      </w:tr>
      <w:tr w:rsidR="00322294" w:rsidRPr="00731814" w14:paraId="28E19B2F" w14:textId="77777777" w:rsidTr="00B97EED">
        <w:tc>
          <w:tcPr>
            <w:tcW w:w="3472" w:type="dxa"/>
            <w:shd w:val="clear" w:color="auto" w:fill="auto"/>
          </w:tcPr>
          <w:p w14:paraId="3E85320B" w14:textId="77777777" w:rsidR="00322294" w:rsidRPr="00731814" w:rsidRDefault="00322294" w:rsidP="00B97EED">
            <w:pPr>
              <w:rPr>
                <w:rFonts w:cs="Calibri"/>
              </w:rPr>
            </w:pPr>
            <w:r w:rsidRPr="00731814">
              <w:rPr>
                <w:rFonts w:cs="Calibri"/>
              </w:rPr>
              <w:t xml:space="preserve">   No</w:t>
            </w:r>
          </w:p>
        </w:tc>
        <w:tc>
          <w:tcPr>
            <w:tcW w:w="776" w:type="dxa"/>
            <w:shd w:val="clear" w:color="auto" w:fill="auto"/>
          </w:tcPr>
          <w:p w14:paraId="16DDB7ED" w14:textId="77777777" w:rsidR="00322294" w:rsidRPr="00731814" w:rsidRDefault="00322294" w:rsidP="00B97EED">
            <w:pPr>
              <w:jc w:val="center"/>
              <w:rPr>
                <w:rFonts w:cs="Calibri"/>
              </w:rPr>
            </w:pPr>
            <w:r w:rsidRPr="00731814">
              <w:rPr>
                <w:rFonts w:cs="Calibri"/>
              </w:rPr>
              <w:t>749</w:t>
            </w:r>
          </w:p>
        </w:tc>
        <w:tc>
          <w:tcPr>
            <w:tcW w:w="972" w:type="dxa"/>
            <w:shd w:val="clear" w:color="auto" w:fill="auto"/>
            <w:vAlign w:val="bottom"/>
          </w:tcPr>
          <w:p w14:paraId="52E5B01A" w14:textId="77777777" w:rsidR="00322294" w:rsidRPr="00731814" w:rsidRDefault="00322294" w:rsidP="00B97EED">
            <w:pPr>
              <w:jc w:val="center"/>
              <w:rPr>
                <w:rFonts w:cs="Calibri"/>
                <w:color w:val="000000"/>
                <w:lang w:eastAsia="en-GB"/>
              </w:rPr>
            </w:pPr>
            <w:r w:rsidRPr="00731814">
              <w:rPr>
                <w:rFonts w:cs="Calibri"/>
                <w:color w:val="000000"/>
              </w:rPr>
              <w:t xml:space="preserve">  94</w:t>
            </w:r>
            <w:r w:rsidRPr="00731814">
              <w:rPr>
                <w:rFonts w:cs="Calibri"/>
              </w:rPr>
              <w:t xml:space="preserve"> (13)</w:t>
            </w:r>
          </w:p>
        </w:tc>
        <w:tc>
          <w:tcPr>
            <w:tcW w:w="1980" w:type="dxa"/>
            <w:shd w:val="clear" w:color="auto" w:fill="auto"/>
          </w:tcPr>
          <w:p w14:paraId="50A1A757"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649DA2E6" w14:textId="77777777" w:rsidR="00322294" w:rsidRPr="00731814" w:rsidRDefault="00322294" w:rsidP="00B97EED">
            <w:pPr>
              <w:jc w:val="center"/>
              <w:rPr>
                <w:rFonts w:cs="Calibri"/>
                <w:color w:val="000000"/>
              </w:rPr>
            </w:pPr>
            <w:r w:rsidRPr="00731814">
              <w:rPr>
                <w:rFonts w:cs="Calibri"/>
                <w:color w:val="000000"/>
              </w:rPr>
              <w:t>0.012</w:t>
            </w:r>
          </w:p>
        </w:tc>
        <w:tc>
          <w:tcPr>
            <w:tcW w:w="1980" w:type="dxa"/>
            <w:shd w:val="clear" w:color="auto" w:fill="auto"/>
          </w:tcPr>
          <w:p w14:paraId="0E7F39C9"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41D87A88" w14:textId="77777777" w:rsidR="00322294" w:rsidRPr="00731814" w:rsidRDefault="00322294" w:rsidP="00B97EED">
            <w:pPr>
              <w:jc w:val="center"/>
              <w:rPr>
                <w:rFonts w:cs="Calibri"/>
              </w:rPr>
            </w:pPr>
            <w:r w:rsidRPr="00731814">
              <w:rPr>
                <w:rFonts w:cs="Calibri"/>
              </w:rPr>
              <w:t>0.707</w:t>
            </w:r>
          </w:p>
        </w:tc>
      </w:tr>
      <w:tr w:rsidR="00322294" w:rsidRPr="00731814" w14:paraId="2ADDFA6D" w14:textId="77777777" w:rsidTr="00B97EED">
        <w:tc>
          <w:tcPr>
            <w:tcW w:w="3472" w:type="dxa"/>
            <w:shd w:val="clear" w:color="auto" w:fill="auto"/>
          </w:tcPr>
          <w:p w14:paraId="720B2380" w14:textId="77777777" w:rsidR="00322294" w:rsidRPr="00731814" w:rsidRDefault="00322294" w:rsidP="00B97EED">
            <w:pPr>
              <w:rPr>
                <w:rFonts w:cs="Calibri"/>
              </w:rPr>
            </w:pPr>
            <w:r w:rsidRPr="00731814">
              <w:rPr>
                <w:rFonts w:cs="Calibri"/>
              </w:rPr>
              <w:t xml:space="preserve">   Yes</w:t>
            </w:r>
          </w:p>
        </w:tc>
        <w:tc>
          <w:tcPr>
            <w:tcW w:w="776" w:type="dxa"/>
            <w:shd w:val="clear" w:color="auto" w:fill="auto"/>
          </w:tcPr>
          <w:p w14:paraId="305DE601" w14:textId="77777777" w:rsidR="00322294" w:rsidRPr="00731814" w:rsidRDefault="00322294" w:rsidP="00B97EED">
            <w:pPr>
              <w:jc w:val="center"/>
              <w:rPr>
                <w:rFonts w:cs="Calibri"/>
              </w:rPr>
            </w:pPr>
            <w:r w:rsidRPr="00731814">
              <w:rPr>
                <w:rFonts w:cs="Calibri"/>
              </w:rPr>
              <w:t>211</w:t>
            </w:r>
          </w:p>
        </w:tc>
        <w:tc>
          <w:tcPr>
            <w:tcW w:w="972" w:type="dxa"/>
            <w:shd w:val="clear" w:color="auto" w:fill="auto"/>
            <w:vAlign w:val="bottom"/>
          </w:tcPr>
          <w:p w14:paraId="1D4D7B9F" w14:textId="77777777" w:rsidR="00322294" w:rsidRPr="00731814" w:rsidRDefault="00322294" w:rsidP="00B97EED">
            <w:pPr>
              <w:jc w:val="center"/>
              <w:rPr>
                <w:rFonts w:cs="Calibri"/>
                <w:color w:val="000000"/>
              </w:rPr>
            </w:pPr>
            <w:r w:rsidRPr="00731814">
              <w:rPr>
                <w:rFonts w:cs="Calibri"/>
                <w:color w:val="000000"/>
              </w:rPr>
              <w:t xml:space="preserve">  41</w:t>
            </w:r>
            <w:r w:rsidRPr="00731814">
              <w:rPr>
                <w:rFonts w:cs="Calibri"/>
              </w:rPr>
              <w:t xml:space="preserve"> (19)</w:t>
            </w:r>
          </w:p>
        </w:tc>
        <w:tc>
          <w:tcPr>
            <w:tcW w:w="1980" w:type="dxa"/>
            <w:shd w:val="clear" w:color="auto" w:fill="auto"/>
          </w:tcPr>
          <w:p w14:paraId="408C52A3" w14:textId="77777777" w:rsidR="00322294" w:rsidRPr="00731814" w:rsidRDefault="00322294" w:rsidP="00B97EED">
            <w:pPr>
              <w:jc w:val="center"/>
              <w:rPr>
                <w:rFonts w:cs="Calibri"/>
                <w:color w:val="000000"/>
                <w:lang w:eastAsia="en-GB"/>
              </w:rPr>
            </w:pPr>
            <w:r w:rsidRPr="00731814">
              <w:rPr>
                <w:rFonts w:cs="Calibri"/>
                <w:color w:val="000000"/>
              </w:rPr>
              <w:t>1.68 (1.12 to 2.52)</w:t>
            </w:r>
          </w:p>
        </w:tc>
        <w:tc>
          <w:tcPr>
            <w:tcW w:w="900" w:type="dxa"/>
            <w:shd w:val="clear" w:color="auto" w:fill="auto"/>
            <w:vAlign w:val="bottom"/>
          </w:tcPr>
          <w:p w14:paraId="624B02D1" w14:textId="77777777" w:rsidR="00322294" w:rsidRPr="00731814" w:rsidRDefault="00322294" w:rsidP="00B97EED">
            <w:pPr>
              <w:jc w:val="center"/>
              <w:rPr>
                <w:rFonts w:cs="Calibri"/>
                <w:color w:val="000000"/>
              </w:rPr>
            </w:pPr>
          </w:p>
        </w:tc>
        <w:tc>
          <w:tcPr>
            <w:tcW w:w="1980" w:type="dxa"/>
            <w:shd w:val="clear" w:color="auto" w:fill="auto"/>
          </w:tcPr>
          <w:p w14:paraId="72B7F054" w14:textId="77777777" w:rsidR="00322294" w:rsidRPr="00731814" w:rsidRDefault="00322294" w:rsidP="00B97EED">
            <w:pPr>
              <w:jc w:val="center"/>
              <w:rPr>
                <w:rFonts w:cs="Calibri"/>
              </w:rPr>
            </w:pPr>
            <w:r w:rsidRPr="00731814">
              <w:rPr>
                <w:rFonts w:cs="Calibri"/>
              </w:rPr>
              <w:t>1.09 (0.70 to 1.71)</w:t>
            </w:r>
          </w:p>
        </w:tc>
        <w:tc>
          <w:tcPr>
            <w:tcW w:w="900" w:type="dxa"/>
            <w:shd w:val="clear" w:color="auto" w:fill="auto"/>
          </w:tcPr>
          <w:p w14:paraId="158BAFA5" w14:textId="77777777" w:rsidR="00322294" w:rsidRPr="00731814" w:rsidRDefault="00322294" w:rsidP="00B97EED">
            <w:pPr>
              <w:jc w:val="center"/>
              <w:rPr>
                <w:rFonts w:cs="Calibri"/>
              </w:rPr>
            </w:pPr>
          </w:p>
        </w:tc>
      </w:tr>
      <w:tr w:rsidR="00322294" w:rsidRPr="00731814" w14:paraId="347AD018" w14:textId="77777777" w:rsidTr="00B97EED">
        <w:tc>
          <w:tcPr>
            <w:tcW w:w="3472" w:type="dxa"/>
            <w:shd w:val="clear" w:color="auto" w:fill="auto"/>
          </w:tcPr>
          <w:p w14:paraId="20DCE4E4" w14:textId="77777777" w:rsidR="00322294" w:rsidRPr="00731814" w:rsidRDefault="00322294" w:rsidP="00B97EED">
            <w:pPr>
              <w:rPr>
                <w:rFonts w:cs="Calibri"/>
                <w:b/>
              </w:rPr>
            </w:pPr>
            <w:r w:rsidRPr="00731814">
              <w:rPr>
                <w:rFonts w:cs="Calibri"/>
                <w:b/>
              </w:rPr>
              <w:t>Gifts for sex (in the last year)</w:t>
            </w:r>
          </w:p>
        </w:tc>
        <w:tc>
          <w:tcPr>
            <w:tcW w:w="776" w:type="dxa"/>
            <w:shd w:val="clear" w:color="auto" w:fill="auto"/>
          </w:tcPr>
          <w:p w14:paraId="5545C8A2" w14:textId="77777777" w:rsidR="00322294" w:rsidRPr="00731814" w:rsidRDefault="00322294" w:rsidP="00B97EED">
            <w:pPr>
              <w:jc w:val="center"/>
              <w:rPr>
                <w:rFonts w:cs="Calibri"/>
                <w:b/>
              </w:rPr>
            </w:pPr>
          </w:p>
        </w:tc>
        <w:tc>
          <w:tcPr>
            <w:tcW w:w="972" w:type="dxa"/>
            <w:shd w:val="clear" w:color="auto" w:fill="auto"/>
          </w:tcPr>
          <w:p w14:paraId="712EC577" w14:textId="77777777" w:rsidR="00322294" w:rsidRPr="00731814" w:rsidRDefault="00322294" w:rsidP="00B97EED">
            <w:pPr>
              <w:jc w:val="center"/>
              <w:rPr>
                <w:rFonts w:cs="Calibri"/>
                <w:b/>
              </w:rPr>
            </w:pPr>
          </w:p>
        </w:tc>
        <w:tc>
          <w:tcPr>
            <w:tcW w:w="1980" w:type="dxa"/>
            <w:shd w:val="clear" w:color="auto" w:fill="auto"/>
          </w:tcPr>
          <w:p w14:paraId="2A5A6589" w14:textId="77777777" w:rsidR="00322294" w:rsidRPr="00731814" w:rsidRDefault="00322294" w:rsidP="00B97EED">
            <w:pPr>
              <w:jc w:val="center"/>
              <w:rPr>
                <w:rFonts w:cs="Calibri"/>
                <w:b/>
              </w:rPr>
            </w:pPr>
          </w:p>
        </w:tc>
        <w:tc>
          <w:tcPr>
            <w:tcW w:w="900" w:type="dxa"/>
            <w:shd w:val="clear" w:color="auto" w:fill="auto"/>
            <w:vAlign w:val="bottom"/>
          </w:tcPr>
          <w:p w14:paraId="68F6039F" w14:textId="77777777" w:rsidR="00322294" w:rsidRPr="00731814" w:rsidRDefault="00322294" w:rsidP="00B97EED">
            <w:pPr>
              <w:jc w:val="center"/>
              <w:rPr>
                <w:rFonts w:cs="Calibri"/>
              </w:rPr>
            </w:pPr>
          </w:p>
        </w:tc>
        <w:tc>
          <w:tcPr>
            <w:tcW w:w="1980" w:type="dxa"/>
            <w:shd w:val="clear" w:color="auto" w:fill="auto"/>
          </w:tcPr>
          <w:p w14:paraId="40F5D636" w14:textId="77777777" w:rsidR="00322294" w:rsidRPr="00731814" w:rsidRDefault="00322294" w:rsidP="00B97EED">
            <w:pPr>
              <w:jc w:val="center"/>
              <w:rPr>
                <w:rFonts w:cs="Calibri"/>
              </w:rPr>
            </w:pPr>
          </w:p>
        </w:tc>
        <w:tc>
          <w:tcPr>
            <w:tcW w:w="900" w:type="dxa"/>
            <w:shd w:val="clear" w:color="auto" w:fill="auto"/>
          </w:tcPr>
          <w:p w14:paraId="32279B3A" w14:textId="77777777" w:rsidR="00322294" w:rsidRPr="00731814" w:rsidRDefault="00322294" w:rsidP="00B97EED">
            <w:pPr>
              <w:jc w:val="center"/>
              <w:rPr>
                <w:rFonts w:cs="Calibri"/>
                <w:b/>
              </w:rPr>
            </w:pPr>
          </w:p>
        </w:tc>
      </w:tr>
      <w:tr w:rsidR="00322294" w:rsidRPr="00731814" w14:paraId="1F42A7F7" w14:textId="77777777" w:rsidTr="00B97EED">
        <w:tc>
          <w:tcPr>
            <w:tcW w:w="3472" w:type="dxa"/>
            <w:shd w:val="clear" w:color="auto" w:fill="auto"/>
          </w:tcPr>
          <w:p w14:paraId="668E0242" w14:textId="77777777" w:rsidR="00322294" w:rsidRPr="00731814" w:rsidRDefault="00322294" w:rsidP="00B97EED">
            <w:pPr>
              <w:rPr>
                <w:rFonts w:cs="Calibri"/>
              </w:rPr>
            </w:pPr>
            <w:r w:rsidRPr="00731814">
              <w:rPr>
                <w:rFonts w:cs="Calibri"/>
                <w:b/>
              </w:rPr>
              <w:t xml:space="preserve">   </w:t>
            </w:r>
            <w:r w:rsidRPr="00731814">
              <w:rPr>
                <w:rFonts w:cs="Calibri"/>
              </w:rPr>
              <w:t>No gifts given or received</w:t>
            </w:r>
          </w:p>
        </w:tc>
        <w:tc>
          <w:tcPr>
            <w:tcW w:w="776" w:type="dxa"/>
            <w:shd w:val="clear" w:color="auto" w:fill="auto"/>
          </w:tcPr>
          <w:p w14:paraId="70F97A23" w14:textId="77777777" w:rsidR="00322294" w:rsidRPr="00731814" w:rsidRDefault="00322294" w:rsidP="00B97EED">
            <w:pPr>
              <w:jc w:val="center"/>
              <w:rPr>
                <w:rFonts w:cs="Calibri"/>
              </w:rPr>
            </w:pPr>
            <w:r w:rsidRPr="00731814">
              <w:rPr>
                <w:rFonts w:cs="Calibri"/>
              </w:rPr>
              <w:t>373</w:t>
            </w:r>
          </w:p>
        </w:tc>
        <w:tc>
          <w:tcPr>
            <w:tcW w:w="972" w:type="dxa"/>
            <w:shd w:val="clear" w:color="auto" w:fill="auto"/>
            <w:vAlign w:val="bottom"/>
          </w:tcPr>
          <w:p w14:paraId="2DCF7A97" w14:textId="77777777" w:rsidR="00322294" w:rsidRPr="00731814" w:rsidRDefault="00322294" w:rsidP="00B97EED">
            <w:pPr>
              <w:jc w:val="center"/>
              <w:rPr>
                <w:rFonts w:cs="Calibri"/>
                <w:color w:val="000000"/>
                <w:lang w:eastAsia="en-GB"/>
              </w:rPr>
            </w:pPr>
            <w:r w:rsidRPr="00731814">
              <w:rPr>
                <w:rFonts w:cs="Calibri"/>
                <w:color w:val="000000"/>
              </w:rPr>
              <w:t xml:space="preserve">  33</w:t>
            </w:r>
            <w:r w:rsidRPr="00731814">
              <w:rPr>
                <w:rFonts w:cs="Calibri"/>
              </w:rPr>
              <w:t xml:space="preserve"> </w:t>
            </w:r>
            <w:proofErr w:type="gramStart"/>
            <w:r w:rsidRPr="00731814">
              <w:rPr>
                <w:rFonts w:cs="Calibri"/>
              </w:rPr>
              <w:t>(  9</w:t>
            </w:r>
            <w:proofErr w:type="gramEnd"/>
            <w:r w:rsidRPr="00731814">
              <w:rPr>
                <w:rFonts w:cs="Calibri"/>
              </w:rPr>
              <w:t>)</w:t>
            </w:r>
          </w:p>
        </w:tc>
        <w:tc>
          <w:tcPr>
            <w:tcW w:w="1980" w:type="dxa"/>
            <w:shd w:val="clear" w:color="auto" w:fill="auto"/>
          </w:tcPr>
          <w:p w14:paraId="0B9EBFA9"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642B70D6"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7194B5A7"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7109C7CB" w14:textId="77777777" w:rsidR="00322294" w:rsidRPr="00731814" w:rsidRDefault="00322294" w:rsidP="00B97EED">
            <w:pPr>
              <w:jc w:val="center"/>
              <w:rPr>
                <w:rFonts w:cs="Calibri"/>
              </w:rPr>
            </w:pPr>
            <w:r w:rsidRPr="00731814">
              <w:rPr>
                <w:rFonts w:cs="Calibri"/>
              </w:rPr>
              <w:t>0.008</w:t>
            </w:r>
          </w:p>
        </w:tc>
      </w:tr>
      <w:tr w:rsidR="00322294" w:rsidRPr="00731814" w14:paraId="199A6A80" w14:textId="77777777" w:rsidTr="00B97EED">
        <w:tc>
          <w:tcPr>
            <w:tcW w:w="3472" w:type="dxa"/>
            <w:shd w:val="clear" w:color="auto" w:fill="auto"/>
          </w:tcPr>
          <w:p w14:paraId="5B3273E3" w14:textId="77777777" w:rsidR="00322294" w:rsidRPr="00731814" w:rsidRDefault="00322294" w:rsidP="00B97EED">
            <w:pPr>
              <w:rPr>
                <w:rFonts w:cs="Calibri"/>
              </w:rPr>
            </w:pPr>
            <w:r w:rsidRPr="00731814">
              <w:rPr>
                <w:rFonts w:cs="Calibri"/>
              </w:rPr>
              <w:t xml:space="preserve">   Yes, received</w:t>
            </w:r>
          </w:p>
        </w:tc>
        <w:tc>
          <w:tcPr>
            <w:tcW w:w="776" w:type="dxa"/>
            <w:shd w:val="clear" w:color="auto" w:fill="auto"/>
          </w:tcPr>
          <w:p w14:paraId="3994BE68" w14:textId="77777777" w:rsidR="00322294" w:rsidRPr="00731814" w:rsidRDefault="00322294" w:rsidP="00B97EED">
            <w:pPr>
              <w:jc w:val="center"/>
              <w:rPr>
                <w:rFonts w:cs="Calibri"/>
              </w:rPr>
            </w:pPr>
            <w:r w:rsidRPr="00731814">
              <w:rPr>
                <w:rFonts w:cs="Calibri"/>
              </w:rPr>
              <w:t>287</w:t>
            </w:r>
          </w:p>
        </w:tc>
        <w:tc>
          <w:tcPr>
            <w:tcW w:w="972" w:type="dxa"/>
            <w:shd w:val="clear" w:color="auto" w:fill="auto"/>
            <w:vAlign w:val="bottom"/>
          </w:tcPr>
          <w:p w14:paraId="1A5967B0" w14:textId="77777777" w:rsidR="00322294" w:rsidRPr="00731814" w:rsidRDefault="00322294" w:rsidP="00B97EED">
            <w:pPr>
              <w:jc w:val="center"/>
              <w:rPr>
                <w:rFonts w:cs="Calibri"/>
                <w:color w:val="000000"/>
              </w:rPr>
            </w:pPr>
            <w:r w:rsidRPr="00731814">
              <w:rPr>
                <w:rFonts w:cs="Calibri"/>
                <w:color w:val="000000"/>
              </w:rPr>
              <w:t xml:space="preserve">  81</w:t>
            </w:r>
            <w:r w:rsidRPr="00731814">
              <w:rPr>
                <w:rFonts w:cs="Calibri"/>
              </w:rPr>
              <w:t xml:space="preserve"> (28)</w:t>
            </w:r>
          </w:p>
        </w:tc>
        <w:tc>
          <w:tcPr>
            <w:tcW w:w="1980" w:type="dxa"/>
            <w:shd w:val="clear" w:color="auto" w:fill="auto"/>
            <w:vAlign w:val="bottom"/>
          </w:tcPr>
          <w:p w14:paraId="72EB7E7C" w14:textId="77777777" w:rsidR="00322294" w:rsidRPr="00731814" w:rsidRDefault="00322294" w:rsidP="00B97EED">
            <w:pPr>
              <w:jc w:val="center"/>
              <w:rPr>
                <w:rFonts w:cs="Calibri"/>
                <w:color w:val="000000"/>
                <w:lang w:eastAsia="en-GB"/>
              </w:rPr>
            </w:pPr>
            <w:r w:rsidRPr="00731814">
              <w:rPr>
                <w:rFonts w:cs="Calibri"/>
                <w:color w:val="000000"/>
              </w:rPr>
              <w:t>4.05 (2.61 to 6.29)</w:t>
            </w:r>
          </w:p>
        </w:tc>
        <w:tc>
          <w:tcPr>
            <w:tcW w:w="900" w:type="dxa"/>
            <w:shd w:val="clear" w:color="auto" w:fill="auto"/>
            <w:vAlign w:val="bottom"/>
          </w:tcPr>
          <w:p w14:paraId="4F605A0D" w14:textId="77777777" w:rsidR="00322294" w:rsidRPr="00731814" w:rsidRDefault="00322294" w:rsidP="00B97EED">
            <w:pPr>
              <w:jc w:val="center"/>
              <w:rPr>
                <w:rFonts w:cs="Calibri"/>
                <w:color w:val="000000"/>
              </w:rPr>
            </w:pPr>
          </w:p>
        </w:tc>
        <w:tc>
          <w:tcPr>
            <w:tcW w:w="1980" w:type="dxa"/>
            <w:shd w:val="clear" w:color="auto" w:fill="auto"/>
          </w:tcPr>
          <w:p w14:paraId="3E6B7A11" w14:textId="77777777" w:rsidR="00322294" w:rsidRPr="00731814" w:rsidRDefault="00322294" w:rsidP="00B97EED">
            <w:pPr>
              <w:jc w:val="center"/>
              <w:rPr>
                <w:rFonts w:cs="Calibri"/>
              </w:rPr>
            </w:pPr>
            <w:r w:rsidRPr="00731814">
              <w:rPr>
                <w:rFonts w:cs="Calibri"/>
              </w:rPr>
              <w:t>2.50 (1.44 to 4.34)</w:t>
            </w:r>
          </w:p>
        </w:tc>
        <w:tc>
          <w:tcPr>
            <w:tcW w:w="900" w:type="dxa"/>
            <w:shd w:val="clear" w:color="auto" w:fill="auto"/>
          </w:tcPr>
          <w:p w14:paraId="3C36B3BF" w14:textId="77777777" w:rsidR="00322294" w:rsidRPr="00731814" w:rsidRDefault="00322294" w:rsidP="00B97EED">
            <w:pPr>
              <w:jc w:val="center"/>
              <w:rPr>
                <w:rFonts w:cs="Calibri"/>
              </w:rPr>
            </w:pPr>
          </w:p>
        </w:tc>
      </w:tr>
      <w:tr w:rsidR="00322294" w:rsidRPr="00731814" w14:paraId="65540787" w14:textId="77777777" w:rsidTr="00B97EED">
        <w:tc>
          <w:tcPr>
            <w:tcW w:w="3472" w:type="dxa"/>
            <w:shd w:val="clear" w:color="auto" w:fill="auto"/>
          </w:tcPr>
          <w:p w14:paraId="53F4683F" w14:textId="77777777" w:rsidR="00322294" w:rsidRPr="00731814" w:rsidRDefault="00322294" w:rsidP="00B97EED">
            <w:pPr>
              <w:rPr>
                <w:rFonts w:cs="Calibri"/>
              </w:rPr>
            </w:pPr>
            <w:r w:rsidRPr="00731814">
              <w:rPr>
                <w:rFonts w:cs="Calibri"/>
              </w:rPr>
              <w:t xml:space="preserve">   Yes, given</w:t>
            </w:r>
          </w:p>
        </w:tc>
        <w:tc>
          <w:tcPr>
            <w:tcW w:w="776" w:type="dxa"/>
            <w:shd w:val="clear" w:color="auto" w:fill="auto"/>
          </w:tcPr>
          <w:p w14:paraId="6250181E" w14:textId="77777777" w:rsidR="00322294" w:rsidRPr="00731814" w:rsidRDefault="00322294" w:rsidP="00B97EED">
            <w:pPr>
              <w:jc w:val="center"/>
              <w:rPr>
                <w:rFonts w:cs="Calibri"/>
              </w:rPr>
            </w:pPr>
            <w:r w:rsidRPr="00731814">
              <w:rPr>
                <w:rFonts w:cs="Calibri"/>
              </w:rPr>
              <w:t>324</w:t>
            </w:r>
          </w:p>
        </w:tc>
        <w:tc>
          <w:tcPr>
            <w:tcW w:w="972" w:type="dxa"/>
            <w:shd w:val="clear" w:color="auto" w:fill="auto"/>
            <w:vAlign w:val="bottom"/>
          </w:tcPr>
          <w:p w14:paraId="35BA31EF" w14:textId="77777777" w:rsidR="00322294" w:rsidRPr="00731814" w:rsidRDefault="00322294" w:rsidP="00B97EED">
            <w:pPr>
              <w:jc w:val="center"/>
              <w:rPr>
                <w:rFonts w:cs="Calibri"/>
                <w:color w:val="000000"/>
              </w:rPr>
            </w:pPr>
            <w:r w:rsidRPr="00731814">
              <w:rPr>
                <w:rFonts w:cs="Calibri"/>
                <w:color w:val="000000"/>
              </w:rPr>
              <w:t xml:space="preserve">  26</w:t>
            </w:r>
            <w:r w:rsidRPr="00731814">
              <w:rPr>
                <w:rFonts w:cs="Calibri"/>
              </w:rPr>
              <w:t xml:space="preserve"> </w:t>
            </w:r>
            <w:proofErr w:type="gramStart"/>
            <w:r w:rsidRPr="00731814">
              <w:rPr>
                <w:rFonts w:cs="Calibri"/>
              </w:rPr>
              <w:t>(  8</w:t>
            </w:r>
            <w:proofErr w:type="gramEnd"/>
            <w:r w:rsidRPr="00731814">
              <w:rPr>
                <w:rFonts w:cs="Calibri"/>
              </w:rPr>
              <w:t>)</w:t>
            </w:r>
          </w:p>
        </w:tc>
        <w:tc>
          <w:tcPr>
            <w:tcW w:w="1980" w:type="dxa"/>
            <w:shd w:val="clear" w:color="auto" w:fill="auto"/>
            <w:vAlign w:val="bottom"/>
          </w:tcPr>
          <w:p w14:paraId="431A5B0A" w14:textId="77777777" w:rsidR="00322294" w:rsidRPr="00731814" w:rsidRDefault="00322294" w:rsidP="00B97EED">
            <w:pPr>
              <w:jc w:val="center"/>
              <w:rPr>
                <w:rFonts w:cs="Calibri"/>
                <w:color w:val="000000"/>
              </w:rPr>
            </w:pPr>
            <w:r w:rsidRPr="00731814">
              <w:rPr>
                <w:rFonts w:cs="Calibri"/>
                <w:color w:val="000000"/>
              </w:rPr>
              <w:t>0.90 (0.53 to 1.54)</w:t>
            </w:r>
          </w:p>
        </w:tc>
        <w:tc>
          <w:tcPr>
            <w:tcW w:w="900" w:type="dxa"/>
            <w:shd w:val="clear" w:color="auto" w:fill="auto"/>
            <w:vAlign w:val="bottom"/>
          </w:tcPr>
          <w:p w14:paraId="652377D5" w14:textId="77777777" w:rsidR="00322294" w:rsidRPr="00731814" w:rsidRDefault="00322294" w:rsidP="00B97EED">
            <w:pPr>
              <w:jc w:val="center"/>
              <w:rPr>
                <w:rFonts w:cs="Calibri"/>
              </w:rPr>
            </w:pPr>
          </w:p>
        </w:tc>
        <w:tc>
          <w:tcPr>
            <w:tcW w:w="1980" w:type="dxa"/>
            <w:shd w:val="clear" w:color="auto" w:fill="auto"/>
          </w:tcPr>
          <w:p w14:paraId="1CB9011F" w14:textId="77777777" w:rsidR="00322294" w:rsidRPr="00731814" w:rsidRDefault="00322294" w:rsidP="00B97EED">
            <w:pPr>
              <w:jc w:val="center"/>
              <w:rPr>
                <w:rFonts w:cs="Calibri"/>
              </w:rPr>
            </w:pPr>
            <w:r w:rsidRPr="00731814">
              <w:rPr>
                <w:rFonts w:cs="Calibri"/>
              </w:rPr>
              <w:t>1.23 (0.63 to 2.40)</w:t>
            </w:r>
          </w:p>
        </w:tc>
        <w:tc>
          <w:tcPr>
            <w:tcW w:w="900" w:type="dxa"/>
            <w:shd w:val="clear" w:color="auto" w:fill="auto"/>
          </w:tcPr>
          <w:p w14:paraId="006CB478" w14:textId="77777777" w:rsidR="00322294" w:rsidRPr="00731814" w:rsidRDefault="00322294" w:rsidP="00B97EED">
            <w:pPr>
              <w:jc w:val="center"/>
              <w:rPr>
                <w:rFonts w:cs="Calibri"/>
              </w:rPr>
            </w:pPr>
          </w:p>
        </w:tc>
      </w:tr>
      <w:tr w:rsidR="00322294" w:rsidRPr="00731814" w14:paraId="4EC88D83" w14:textId="77777777" w:rsidTr="00B97EED">
        <w:tc>
          <w:tcPr>
            <w:tcW w:w="3472" w:type="dxa"/>
            <w:shd w:val="clear" w:color="auto" w:fill="auto"/>
          </w:tcPr>
          <w:p w14:paraId="63B1BF20" w14:textId="77777777" w:rsidR="00322294" w:rsidRPr="00731814" w:rsidRDefault="00322294" w:rsidP="00B97EED">
            <w:pPr>
              <w:rPr>
                <w:rFonts w:cs="Calibri"/>
              </w:rPr>
            </w:pPr>
            <w:r w:rsidRPr="00731814">
              <w:rPr>
                <w:rFonts w:cs="Calibri"/>
              </w:rPr>
              <w:t xml:space="preserve">   Yes, received and given</w:t>
            </w:r>
          </w:p>
        </w:tc>
        <w:tc>
          <w:tcPr>
            <w:tcW w:w="776" w:type="dxa"/>
            <w:shd w:val="clear" w:color="auto" w:fill="auto"/>
          </w:tcPr>
          <w:p w14:paraId="34FE284F" w14:textId="77777777" w:rsidR="00322294" w:rsidRPr="00731814" w:rsidRDefault="00322294" w:rsidP="00B97EED">
            <w:pPr>
              <w:jc w:val="center"/>
              <w:rPr>
                <w:rFonts w:cs="Calibri"/>
              </w:rPr>
            </w:pPr>
            <w:r w:rsidRPr="00731814">
              <w:rPr>
                <w:rFonts w:cs="Calibri"/>
              </w:rPr>
              <w:t>133</w:t>
            </w:r>
          </w:p>
        </w:tc>
        <w:tc>
          <w:tcPr>
            <w:tcW w:w="972" w:type="dxa"/>
            <w:shd w:val="clear" w:color="auto" w:fill="auto"/>
            <w:vAlign w:val="bottom"/>
          </w:tcPr>
          <w:p w14:paraId="155D37F1" w14:textId="77777777" w:rsidR="00322294" w:rsidRPr="00731814" w:rsidRDefault="00322294" w:rsidP="00B97EED">
            <w:pPr>
              <w:jc w:val="center"/>
              <w:rPr>
                <w:rFonts w:cs="Calibri"/>
                <w:color w:val="000000"/>
              </w:rPr>
            </w:pPr>
            <w:r w:rsidRPr="00731814">
              <w:rPr>
                <w:rFonts w:cs="Calibri"/>
                <w:color w:val="000000"/>
              </w:rPr>
              <w:t xml:space="preserve">  19</w:t>
            </w:r>
            <w:r w:rsidRPr="00731814">
              <w:rPr>
                <w:rFonts w:cs="Calibri"/>
              </w:rPr>
              <w:t xml:space="preserve"> (14)</w:t>
            </w:r>
          </w:p>
        </w:tc>
        <w:tc>
          <w:tcPr>
            <w:tcW w:w="1980" w:type="dxa"/>
            <w:shd w:val="clear" w:color="auto" w:fill="auto"/>
            <w:vAlign w:val="bottom"/>
          </w:tcPr>
          <w:p w14:paraId="3437D8D7" w14:textId="77777777" w:rsidR="00322294" w:rsidRPr="00731814" w:rsidRDefault="00322294" w:rsidP="00B97EED">
            <w:pPr>
              <w:jc w:val="center"/>
              <w:rPr>
                <w:rFonts w:cs="Calibri"/>
                <w:color w:val="000000"/>
              </w:rPr>
            </w:pPr>
            <w:r w:rsidRPr="00731814">
              <w:rPr>
                <w:rFonts w:cs="Calibri"/>
                <w:color w:val="000000"/>
              </w:rPr>
              <w:t>1.72 (0.94 to 3.14)</w:t>
            </w:r>
          </w:p>
        </w:tc>
        <w:tc>
          <w:tcPr>
            <w:tcW w:w="900" w:type="dxa"/>
            <w:shd w:val="clear" w:color="auto" w:fill="auto"/>
            <w:vAlign w:val="bottom"/>
          </w:tcPr>
          <w:p w14:paraId="5D868419" w14:textId="77777777" w:rsidR="00322294" w:rsidRPr="00731814" w:rsidRDefault="00322294" w:rsidP="00B97EED">
            <w:pPr>
              <w:jc w:val="center"/>
              <w:rPr>
                <w:rFonts w:cs="Calibri"/>
              </w:rPr>
            </w:pPr>
          </w:p>
        </w:tc>
        <w:tc>
          <w:tcPr>
            <w:tcW w:w="1980" w:type="dxa"/>
            <w:shd w:val="clear" w:color="auto" w:fill="auto"/>
          </w:tcPr>
          <w:p w14:paraId="0C86A4AD" w14:textId="77777777" w:rsidR="00322294" w:rsidRPr="00731814" w:rsidRDefault="00322294" w:rsidP="00B97EED">
            <w:pPr>
              <w:jc w:val="center"/>
              <w:rPr>
                <w:rFonts w:cs="Calibri"/>
              </w:rPr>
            </w:pPr>
            <w:r w:rsidRPr="00731814">
              <w:rPr>
                <w:rFonts w:cs="Calibri"/>
              </w:rPr>
              <w:t>1.28 (0.66 to 2.51)</w:t>
            </w:r>
          </w:p>
        </w:tc>
        <w:tc>
          <w:tcPr>
            <w:tcW w:w="900" w:type="dxa"/>
            <w:shd w:val="clear" w:color="auto" w:fill="auto"/>
          </w:tcPr>
          <w:p w14:paraId="24684269" w14:textId="77777777" w:rsidR="00322294" w:rsidRPr="00731814" w:rsidRDefault="00322294" w:rsidP="00B97EED">
            <w:pPr>
              <w:jc w:val="center"/>
              <w:rPr>
                <w:rFonts w:cs="Calibri"/>
              </w:rPr>
            </w:pPr>
          </w:p>
        </w:tc>
      </w:tr>
      <w:tr w:rsidR="00322294" w:rsidRPr="00731814" w14:paraId="224C5295" w14:textId="77777777" w:rsidTr="00B97EED">
        <w:tc>
          <w:tcPr>
            <w:tcW w:w="3472" w:type="dxa"/>
            <w:shd w:val="clear" w:color="auto" w:fill="auto"/>
          </w:tcPr>
          <w:p w14:paraId="7EE9AC7C" w14:textId="77777777" w:rsidR="00322294" w:rsidRPr="00731814" w:rsidRDefault="00322294" w:rsidP="00B97EED">
            <w:pPr>
              <w:rPr>
                <w:rFonts w:cs="Calibri"/>
                <w:b/>
              </w:rPr>
            </w:pPr>
            <w:r w:rsidRPr="00731814">
              <w:rPr>
                <w:rFonts w:cs="Calibri"/>
                <w:b/>
              </w:rPr>
              <w:t>Frequency of condom use</w:t>
            </w:r>
          </w:p>
        </w:tc>
        <w:tc>
          <w:tcPr>
            <w:tcW w:w="776" w:type="dxa"/>
            <w:shd w:val="clear" w:color="auto" w:fill="auto"/>
          </w:tcPr>
          <w:p w14:paraId="658AFF57" w14:textId="77777777" w:rsidR="00322294" w:rsidRPr="00731814" w:rsidRDefault="00322294" w:rsidP="00B97EED">
            <w:pPr>
              <w:jc w:val="center"/>
              <w:rPr>
                <w:rFonts w:cs="Calibri"/>
                <w:b/>
              </w:rPr>
            </w:pPr>
          </w:p>
        </w:tc>
        <w:tc>
          <w:tcPr>
            <w:tcW w:w="972" w:type="dxa"/>
            <w:shd w:val="clear" w:color="auto" w:fill="auto"/>
          </w:tcPr>
          <w:p w14:paraId="207294D5" w14:textId="77777777" w:rsidR="00322294" w:rsidRPr="00731814" w:rsidRDefault="00322294" w:rsidP="00B97EED">
            <w:pPr>
              <w:jc w:val="center"/>
              <w:rPr>
                <w:rFonts w:cs="Calibri"/>
                <w:b/>
              </w:rPr>
            </w:pPr>
          </w:p>
        </w:tc>
        <w:tc>
          <w:tcPr>
            <w:tcW w:w="1980" w:type="dxa"/>
            <w:shd w:val="clear" w:color="auto" w:fill="auto"/>
          </w:tcPr>
          <w:p w14:paraId="66C47C41" w14:textId="77777777" w:rsidR="00322294" w:rsidRPr="00731814" w:rsidRDefault="00322294" w:rsidP="00B97EED">
            <w:pPr>
              <w:jc w:val="center"/>
              <w:rPr>
                <w:rFonts w:cs="Calibri"/>
                <w:b/>
              </w:rPr>
            </w:pPr>
          </w:p>
        </w:tc>
        <w:tc>
          <w:tcPr>
            <w:tcW w:w="900" w:type="dxa"/>
            <w:shd w:val="clear" w:color="auto" w:fill="auto"/>
            <w:vAlign w:val="bottom"/>
          </w:tcPr>
          <w:p w14:paraId="1ADFB164" w14:textId="77777777" w:rsidR="00322294" w:rsidRPr="00731814" w:rsidRDefault="00322294" w:rsidP="00B97EED">
            <w:pPr>
              <w:jc w:val="center"/>
              <w:rPr>
                <w:rFonts w:cs="Calibri"/>
              </w:rPr>
            </w:pPr>
          </w:p>
        </w:tc>
        <w:tc>
          <w:tcPr>
            <w:tcW w:w="1980" w:type="dxa"/>
            <w:shd w:val="clear" w:color="auto" w:fill="auto"/>
          </w:tcPr>
          <w:p w14:paraId="12A512C3" w14:textId="77777777" w:rsidR="00322294" w:rsidRPr="00731814" w:rsidRDefault="00322294" w:rsidP="00B97EED">
            <w:pPr>
              <w:jc w:val="center"/>
              <w:rPr>
                <w:rFonts w:cs="Calibri"/>
              </w:rPr>
            </w:pPr>
          </w:p>
        </w:tc>
        <w:tc>
          <w:tcPr>
            <w:tcW w:w="900" w:type="dxa"/>
            <w:shd w:val="clear" w:color="auto" w:fill="auto"/>
          </w:tcPr>
          <w:p w14:paraId="61CD769D" w14:textId="77777777" w:rsidR="00322294" w:rsidRPr="00731814" w:rsidRDefault="00322294" w:rsidP="00B97EED">
            <w:pPr>
              <w:jc w:val="center"/>
              <w:rPr>
                <w:rFonts w:cs="Calibri"/>
                <w:b/>
              </w:rPr>
            </w:pPr>
          </w:p>
        </w:tc>
      </w:tr>
      <w:tr w:rsidR="00322294" w:rsidRPr="00731814" w14:paraId="585B6421" w14:textId="77777777" w:rsidTr="00B97EED">
        <w:tc>
          <w:tcPr>
            <w:tcW w:w="3472" w:type="dxa"/>
            <w:shd w:val="clear" w:color="auto" w:fill="auto"/>
          </w:tcPr>
          <w:p w14:paraId="6508E708" w14:textId="77777777" w:rsidR="00322294" w:rsidRPr="00731814" w:rsidRDefault="00322294" w:rsidP="00B97EED">
            <w:pPr>
              <w:rPr>
                <w:rFonts w:cs="Calibri"/>
              </w:rPr>
            </w:pPr>
            <w:r w:rsidRPr="00731814">
              <w:rPr>
                <w:rFonts w:cs="Calibri"/>
                <w:b/>
              </w:rPr>
              <w:t xml:space="preserve">   </w:t>
            </w:r>
            <w:r w:rsidRPr="00731814">
              <w:rPr>
                <w:rFonts w:cs="Calibri"/>
              </w:rPr>
              <w:t>Never</w:t>
            </w:r>
          </w:p>
        </w:tc>
        <w:tc>
          <w:tcPr>
            <w:tcW w:w="776" w:type="dxa"/>
            <w:shd w:val="clear" w:color="auto" w:fill="auto"/>
          </w:tcPr>
          <w:p w14:paraId="219413FF" w14:textId="77777777" w:rsidR="00322294" w:rsidRPr="00731814" w:rsidRDefault="00322294" w:rsidP="00B97EED">
            <w:pPr>
              <w:jc w:val="center"/>
              <w:rPr>
                <w:rFonts w:cs="Calibri"/>
              </w:rPr>
            </w:pPr>
            <w:r w:rsidRPr="00731814">
              <w:rPr>
                <w:rFonts w:cs="Calibri"/>
              </w:rPr>
              <w:t>418</w:t>
            </w:r>
          </w:p>
        </w:tc>
        <w:tc>
          <w:tcPr>
            <w:tcW w:w="972" w:type="dxa"/>
            <w:shd w:val="clear" w:color="auto" w:fill="auto"/>
            <w:vAlign w:val="bottom"/>
          </w:tcPr>
          <w:p w14:paraId="48CFDB4D" w14:textId="77777777" w:rsidR="00322294" w:rsidRPr="00731814" w:rsidRDefault="00322294" w:rsidP="00B97EED">
            <w:pPr>
              <w:jc w:val="center"/>
              <w:rPr>
                <w:rFonts w:cs="Calibri"/>
                <w:color w:val="000000"/>
                <w:lang w:eastAsia="en-GB"/>
              </w:rPr>
            </w:pPr>
            <w:r w:rsidRPr="00731814">
              <w:rPr>
                <w:rFonts w:cs="Calibri"/>
                <w:color w:val="000000"/>
              </w:rPr>
              <w:t xml:space="preserve">  40</w:t>
            </w:r>
            <w:r w:rsidRPr="00731814">
              <w:rPr>
                <w:rFonts w:cs="Calibri"/>
              </w:rPr>
              <w:t xml:space="preserve"> (10)</w:t>
            </w:r>
          </w:p>
        </w:tc>
        <w:tc>
          <w:tcPr>
            <w:tcW w:w="1980" w:type="dxa"/>
            <w:shd w:val="clear" w:color="auto" w:fill="auto"/>
          </w:tcPr>
          <w:p w14:paraId="691D059E"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196D66C7"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150C94BF"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1EB31C8F" w14:textId="77777777" w:rsidR="00322294" w:rsidRPr="00731814" w:rsidRDefault="00322294" w:rsidP="00B97EED">
            <w:pPr>
              <w:jc w:val="center"/>
              <w:rPr>
                <w:rFonts w:cs="Calibri"/>
              </w:rPr>
            </w:pPr>
            <w:r w:rsidRPr="00731814">
              <w:rPr>
                <w:rFonts w:cs="Calibri"/>
              </w:rPr>
              <w:t>0.312</w:t>
            </w:r>
          </w:p>
        </w:tc>
      </w:tr>
      <w:tr w:rsidR="00322294" w:rsidRPr="00731814" w14:paraId="6AE9D49B" w14:textId="77777777" w:rsidTr="00B97EED">
        <w:tc>
          <w:tcPr>
            <w:tcW w:w="3472" w:type="dxa"/>
            <w:shd w:val="clear" w:color="auto" w:fill="auto"/>
          </w:tcPr>
          <w:p w14:paraId="451D1915" w14:textId="77777777" w:rsidR="00322294" w:rsidRPr="00731814" w:rsidRDefault="00322294" w:rsidP="00B97EED">
            <w:pPr>
              <w:rPr>
                <w:rFonts w:cs="Calibri"/>
              </w:rPr>
            </w:pPr>
            <w:r w:rsidRPr="00731814">
              <w:rPr>
                <w:rFonts w:cs="Calibri"/>
              </w:rPr>
              <w:t xml:space="preserve">   Sometimes</w:t>
            </w:r>
          </w:p>
        </w:tc>
        <w:tc>
          <w:tcPr>
            <w:tcW w:w="776" w:type="dxa"/>
            <w:shd w:val="clear" w:color="auto" w:fill="auto"/>
          </w:tcPr>
          <w:p w14:paraId="08582555" w14:textId="77777777" w:rsidR="00322294" w:rsidRPr="00731814" w:rsidRDefault="00322294" w:rsidP="00B97EED">
            <w:pPr>
              <w:jc w:val="center"/>
              <w:rPr>
                <w:rFonts w:cs="Calibri"/>
              </w:rPr>
            </w:pPr>
            <w:r w:rsidRPr="00731814">
              <w:rPr>
                <w:rFonts w:cs="Calibri"/>
              </w:rPr>
              <w:t>349</w:t>
            </w:r>
          </w:p>
        </w:tc>
        <w:tc>
          <w:tcPr>
            <w:tcW w:w="972" w:type="dxa"/>
            <w:shd w:val="clear" w:color="auto" w:fill="auto"/>
            <w:vAlign w:val="bottom"/>
          </w:tcPr>
          <w:p w14:paraId="389CD42B" w14:textId="77777777" w:rsidR="00322294" w:rsidRPr="00731814" w:rsidRDefault="00322294" w:rsidP="00B97EED">
            <w:pPr>
              <w:jc w:val="center"/>
              <w:rPr>
                <w:rFonts w:cs="Calibri"/>
                <w:color w:val="000000"/>
              </w:rPr>
            </w:pPr>
            <w:r w:rsidRPr="00731814">
              <w:rPr>
                <w:rFonts w:cs="Calibri"/>
                <w:color w:val="000000"/>
              </w:rPr>
              <w:t xml:space="preserve">  41</w:t>
            </w:r>
            <w:r w:rsidRPr="00731814">
              <w:rPr>
                <w:rFonts w:cs="Calibri"/>
              </w:rPr>
              <w:t xml:space="preserve"> (12)</w:t>
            </w:r>
          </w:p>
        </w:tc>
        <w:tc>
          <w:tcPr>
            <w:tcW w:w="1980" w:type="dxa"/>
            <w:shd w:val="clear" w:color="auto" w:fill="auto"/>
            <w:vAlign w:val="bottom"/>
          </w:tcPr>
          <w:p w14:paraId="7384487D" w14:textId="77777777" w:rsidR="00322294" w:rsidRPr="00731814" w:rsidRDefault="00322294" w:rsidP="00B97EED">
            <w:pPr>
              <w:jc w:val="center"/>
              <w:rPr>
                <w:rFonts w:cs="Calibri"/>
                <w:color w:val="000000"/>
                <w:lang w:eastAsia="en-GB"/>
              </w:rPr>
            </w:pPr>
            <w:r w:rsidRPr="00731814">
              <w:rPr>
                <w:rFonts w:cs="Calibri"/>
                <w:color w:val="000000"/>
              </w:rPr>
              <w:t>1.26 (0.79 to 1.99)</w:t>
            </w:r>
          </w:p>
        </w:tc>
        <w:tc>
          <w:tcPr>
            <w:tcW w:w="900" w:type="dxa"/>
            <w:shd w:val="clear" w:color="auto" w:fill="auto"/>
            <w:vAlign w:val="bottom"/>
          </w:tcPr>
          <w:p w14:paraId="34DDDF91" w14:textId="77777777" w:rsidR="00322294" w:rsidRPr="00731814" w:rsidRDefault="00322294" w:rsidP="00B97EED">
            <w:pPr>
              <w:jc w:val="center"/>
              <w:rPr>
                <w:rFonts w:cs="Calibri"/>
                <w:color w:val="000000"/>
              </w:rPr>
            </w:pPr>
          </w:p>
        </w:tc>
        <w:tc>
          <w:tcPr>
            <w:tcW w:w="1980" w:type="dxa"/>
            <w:shd w:val="clear" w:color="auto" w:fill="auto"/>
          </w:tcPr>
          <w:p w14:paraId="3ED696C4" w14:textId="77777777" w:rsidR="00322294" w:rsidRPr="00731814" w:rsidRDefault="00322294" w:rsidP="00B97EED">
            <w:pPr>
              <w:jc w:val="center"/>
              <w:rPr>
                <w:rFonts w:cs="Calibri"/>
              </w:rPr>
            </w:pPr>
            <w:r w:rsidRPr="00731814">
              <w:rPr>
                <w:rFonts w:cs="Calibri"/>
              </w:rPr>
              <w:t>1.18 (0.71 to 1.97)</w:t>
            </w:r>
          </w:p>
        </w:tc>
        <w:tc>
          <w:tcPr>
            <w:tcW w:w="900" w:type="dxa"/>
            <w:shd w:val="clear" w:color="auto" w:fill="auto"/>
          </w:tcPr>
          <w:p w14:paraId="4962B5EB" w14:textId="77777777" w:rsidR="00322294" w:rsidRPr="00731814" w:rsidRDefault="00322294" w:rsidP="00B97EED">
            <w:pPr>
              <w:jc w:val="center"/>
              <w:rPr>
                <w:rFonts w:cs="Calibri"/>
              </w:rPr>
            </w:pPr>
          </w:p>
        </w:tc>
      </w:tr>
      <w:tr w:rsidR="00322294" w:rsidRPr="00731814" w14:paraId="1501C23A" w14:textId="77777777" w:rsidTr="00B97EED">
        <w:tc>
          <w:tcPr>
            <w:tcW w:w="3472" w:type="dxa"/>
            <w:shd w:val="clear" w:color="auto" w:fill="auto"/>
          </w:tcPr>
          <w:p w14:paraId="278E2F27" w14:textId="77777777" w:rsidR="00322294" w:rsidRPr="00731814" w:rsidRDefault="00322294" w:rsidP="00B97EED">
            <w:pPr>
              <w:rPr>
                <w:rFonts w:cs="Calibri"/>
              </w:rPr>
            </w:pPr>
            <w:r w:rsidRPr="00731814">
              <w:rPr>
                <w:rFonts w:cs="Calibri"/>
              </w:rPr>
              <w:t xml:space="preserve">   Most of the time</w:t>
            </w:r>
          </w:p>
        </w:tc>
        <w:tc>
          <w:tcPr>
            <w:tcW w:w="776" w:type="dxa"/>
            <w:shd w:val="clear" w:color="auto" w:fill="auto"/>
          </w:tcPr>
          <w:p w14:paraId="14B3B3ED" w14:textId="77777777" w:rsidR="00322294" w:rsidRPr="00731814" w:rsidRDefault="00322294" w:rsidP="00B97EED">
            <w:pPr>
              <w:jc w:val="center"/>
              <w:rPr>
                <w:rFonts w:cs="Calibri"/>
              </w:rPr>
            </w:pPr>
            <w:r w:rsidRPr="00731814">
              <w:rPr>
                <w:rFonts w:cs="Calibri"/>
              </w:rPr>
              <w:t>287</w:t>
            </w:r>
          </w:p>
        </w:tc>
        <w:tc>
          <w:tcPr>
            <w:tcW w:w="972" w:type="dxa"/>
            <w:shd w:val="clear" w:color="auto" w:fill="auto"/>
            <w:vAlign w:val="bottom"/>
          </w:tcPr>
          <w:p w14:paraId="4D0A4CE2" w14:textId="77777777" w:rsidR="00322294" w:rsidRPr="00731814" w:rsidRDefault="00322294" w:rsidP="00B97EED">
            <w:pPr>
              <w:jc w:val="center"/>
              <w:rPr>
                <w:rFonts w:cs="Calibri"/>
                <w:color w:val="000000"/>
              </w:rPr>
            </w:pPr>
            <w:r w:rsidRPr="00731814">
              <w:rPr>
                <w:rFonts w:cs="Calibri"/>
                <w:color w:val="000000"/>
              </w:rPr>
              <w:t xml:space="preserve">  61</w:t>
            </w:r>
            <w:r w:rsidRPr="00731814">
              <w:rPr>
                <w:rFonts w:cs="Calibri"/>
              </w:rPr>
              <w:t xml:space="preserve"> (21)</w:t>
            </w:r>
          </w:p>
        </w:tc>
        <w:tc>
          <w:tcPr>
            <w:tcW w:w="1980" w:type="dxa"/>
            <w:shd w:val="clear" w:color="auto" w:fill="auto"/>
            <w:vAlign w:val="bottom"/>
          </w:tcPr>
          <w:p w14:paraId="1F346660" w14:textId="77777777" w:rsidR="00322294" w:rsidRPr="00731814" w:rsidRDefault="00322294" w:rsidP="00B97EED">
            <w:pPr>
              <w:jc w:val="center"/>
              <w:rPr>
                <w:rFonts w:cs="Calibri"/>
                <w:color w:val="000000"/>
              </w:rPr>
            </w:pPr>
            <w:r w:rsidRPr="00731814">
              <w:rPr>
                <w:rFonts w:cs="Calibri"/>
                <w:color w:val="000000"/>
              </w:rPr>
              <w:t>2.55 (1.66 to 3.93)</w:t>
            </w:r>
          </w:p>
        </w:tc>
        <w:tc>
          <w:tcPr>
            <w:tcW w:w="900" w:type="dxa"/>
            <w:shd w:val="clear" w:color="auto" w:fill="auto"/>
            <w:vAlign w:val="bottom"/>
          </w:tcPr>
          <w:p w14:paraId="38483669" w14:textId="77777777" w:rsidR="00322294" w:rsidRPr="00731814" w:rsidRDefault="00322294" w:rsidP="00B97EED">
            <w:pPr>
              <w:jc w:val="center"/>
              <w:rPr>
                <w:rFonts w:cs="Calibri"/>
              </w:rPr>
            </w:pPr>
          </w:p>
        </w:tc>
        <w:tc>
          <w:tcPr>
            <w:tcW w:w="1980" w:type="dxa"/>
            <w:shd w:val="clear" w:color="auto" w:fill="auto"/>
          </w:tcPr>
          <w:p w14:paraId="455C2333" w14:textId="77777777" w:rsidR="00322294" w:rsidRPr="00731814" w:rsidRDefault="00322294" w:rsidP="00B97EED">
            <w:pPr>
              <w:jc w:val="center"/>
              <w:rPr>
                <w:rFonts w:cs="Calibri"/>
              </w:rPr>
            </w:pPr>
            <w:r w:rsidRPr="00731814">
              <w:rPr>
                <w:rFonts w:cs="Calibri"/>
              </w:rPr>
              <w:t>1.59 (0.92 to 2.74)</w:t>
            </w:r>
          </w:p>
        </w:tc>
        <w:tc>
          <w:tcPr>
            <w:tcW w:w="900" w:type="dxa"/>
            <w:shd w:val="clear" w:color="auto" w:fill="auto"/>
          </w:tcPr>
          <w:p w14:paraId="7ABF392F" w14:textId="77777777" w:rsidR="00322294" w:rsidRPr="00731814" w:rsidRDefault="00322294" w:rsidP="00B97EED">
            <w:pPr>
              <w:jc w:val="center"/>
              <w:rPr>
                <w:rFonts w:cs="Calibri"/>
              </w:rPr>
            </w:pPr>
          </w:p>
        </w:tc>
      </w:tr>
      <w:tr w:rsidR="00322294" w:rsidRPr="00731814" w14:paraId="42D506A2" w14:textId="77777777" w:rsidTr="00B97EED">
        <w:tc>
          <w:tcPr>
            <w:tcW w:w="3472" w:type="dxa"/>
            <w:shd w:val="clear" w:color="auto" w:fill="auto"/>
          </w:tcPr>
          <w:p w14:paraId="7F84F22C" w14:textId="77777777" w:rsidR="00322294" w:rsidRPr="00731814" w:rsidRDefault="00322294" w:rsidP="00B97EED">
            <w:pPr>
              <w:rPr>
                <w:rFonts w:cs="Calibri"/>
              </w:rPr>
            </w:pPr>
            <w:r w:rsidRPr="00731814">
              <w:rPr>
                <w:rFonts w:cs="Calibri"/>
              </w:rPr>
              <w:t xml:space="preserve">   Always</w:t>
            </w:r>
          </w:p>
        </w:tc>
        <w:tc>
          <w:tcPr>
            <w:tcW w:w="776" w:type="dxa"/>
            <w:shd w:val="clear" w:color="auto" w:fill="auto"/>
          </w:tcPr>
          <w:p w14:paraId="2A4B90A6" w14:textId="77777777" w:rsidR="00322294" w:rsidRPr="00731814" w:rsidRDefault="00322294" w:rsidP="00B97EED">
            <w:pPr>
              <w:jc w:val="center"/>
              <w:rPr>
                <w:rFonts w:cs="Calibri"/>
              </w:rPr>
            </w:pPr>
            <w:r w:rsidRPr="00731814">
              <w:rPr>
                <w:rFonts w:cs="Calibri"/>
              </w:rPr>
              <w:t>63</w:t>
            </w:r>
          </w:p>
        </w:tc>
        <w:tc>
          <w:tcPr>
            <w:tcW w:w="972" w:type="dxa"/>
            <w:shd w:val="clear" w:color="auto" w:fill="auto"/>
            <w:vAlign w:val="bottom"/>
          </w:tcPr>
          <w:p w14:paraId="2FF90427" w14:textId="77777777" w:rsidR="00322294" w:rsidRPr="00731814" w:rsidRDefault="00322294" w:rsidP="00B97EED">
            <w:pPr>
              <w:jc w:val="center"/>
              <w:rPr>
                <w:rFonts w:cs="Calibri"/>
                <w:color w:val="000000"/>
              </w:rPr>
            </w:pPr>
            <w:r w:rsidRPr="00731814">
              <w:rPr>
                <w:rFonts w:cs="Calibri"/>
                <w:color w:val="000000"/>
              </w:rPr>
              <w:t xml:space="preserve">  17</w:t>
            </w:r>
            <w:r w:rsidRPr="00731814">
              <w:rPr>
                <w:rFonts w:cs="Calibri"/>
              </w:rPr>
              <w:t xml:space="preserve"> (27)</w:t>
            </w:r>
          </w:p>
        </w:tc>
        <w:tc>
          <w:tcPr>
            <w:tcW w:w="1980" w:type="dxa"/>
            <w:shd w:val="clear" w:color="auto" w:fill="auto"/>
            <w:vAlign w:val="bottom"/>
          </w:tcPr>
          <w:p w14:paraId="7F210975" w14:textId="77777777" w:rsidR="00322294" w:rsidRPr="00731814" w:rsidRDefault="00322294" w:rsidP="00B97EED">
            <w:pPr>
              <w:jc w:val="center"/>
              <w:rPr>
                <w:rFonts w:cs="Calibri"/>
                <w:color w:val="000000"/>
              </w:rPr>
            </w:pPr>
            <w:r w:rsidRPr="00731814">
              <w:rPr>
                <w:rFonts w:cs="Calibri"/>
                <w:color w:val="000000"/>
              </w:rPr>
              <w:t>3.49 (1.83 to 6.65)</w:t>
            </w:r>
          </w:p>
        </w:tc>
        <w:tc>
          <w:tcPr>
            <w:tcW w:w="900" w:type="dxa"/>
            <w:shd w:val="clear" w:color="auto" w:fill="auto"/>
            <w:vAlign w:val="bottom"/>
          </w:tcPr>
          <w:p w14:paraId="3174BDAC" w14:textId="77777777" w:rsidR="00322294" w:rsidRPr="00731814" w:rsidRDefault="00322294" w:rsidP="00B97EED">
            <w:pPr>
              <w:jc w:val="center"/>
              <w:rPr>
                <w:rFonts w:cs="Calibri"/>
              </w:rPr>
            </w:pPr>
          </w:p>
        </w:tc>
        <w:tc>
          <w:tcPr>
            <w:tcW w:w="1980" w:type="dxa"/>
            <w:shd w:val="clear" w:color="auto" w:fill="auto"/>
          </w:tcPr>
          <w:p w14:paraId="669D462D" w14:textId="77777777" w:rsidR="00322294" w:rsidRPr="00731814" w:rsidRDefault="00322294" w:rsidP="00B97EED">
            <w:pPr>
              <w:jc w:val="center"/>
              <w:rPr>
                <w:rFonts w:cs="Calibri"/>
              </w:rPr>
            </w:pPr>
            <w:r w:rsidRPr="00731814">
              <w:rPr>
                <w:rFonts w:cs="Calibri"/>
              </w:rPr>
              <w:t>1.73 (0.82 to 3.65)</w:t>
            </w:r>
          </w:p>
        </w:tc>
        <w:tc>
          <w:tcPr>
            <w:tcW w:w="900" w:type="dxa"/>
            <w:shd w:val="clear" w:color="auto" w:fill="auto"/>
          </w:tcPr>
          <w:p w14:paraId="3A9A0C42" w14:textId="77777777" w:rsidR="00322294" w:rsidRPr="00731814" w:rsidRDefault="00322294" w:rsidP="00B97EED">
            <w:pPr>
              <w:jc w:val="center"/>
              <w:rPr>
                <w:rFonts w:cs="Calibri"/>
              </w:rPr>
            </w:pPr>
          </w:p>
        </w:tc>
      </w:tr>
      <w:tr w:rsidR="00322294" w:rsidRPr="00731814" w14:paraId="6AB5B7BB" w14:textId="77777777" w:rsidTr="00B97EED">
        <w:tc>
          <w:tcPr>
            <w:tcW w:w="3472" w:type="dxa"/>
            <w:shd w:val="clear" w:color="auto" w:fill="D9D9D9"/>
          </w:tcPr>
          <w:p w14:paraId="016C59B6" w14:textId="77777777" w:rsidR="00322294" w:rsidRPr="00731814" w:rsidRDefault="00322294" w:rsidP="00B97EED">
            <w:pPr>
              <w:rPr>
                <w:rFonts w:cs="Calibri"/>
                <w:b/>
              </w:rPr>
            </w:pPr>
            <w:r w:rsidRPr="00731814">
              <w:rPr>
                <w:rFonts w:cs="Calibri"/>
                <w:b/>
              </w:rPr>
              <w:t>CLINICAL FACTORS</w:t>
            </w:r>
          </w:p>
        </w:tc>
        <w:tc>
          <w:tcPr>
            <w:tcW w:w="776" w:type="dxa"/>
            <w:shd w:val="clear" w:color="auto" w:fill="D9D9D9"/>
          </w:tcPr>
          <w:p w14:paraId="34BA3AF6" w14:textId="77777777" w:rsidR="00322294" w:rsidRPr="00731814" w:rsidRDefault="00322294" w:rsidP="00B97EED">
            <w:pPr>
              <w:jc w:val="center"/>
              <w:rPr>
                <w:rFonts w:cs="Calibri"/>
                <w:b/>
              </w:rPr>
            </w:pPr>
          </w:p>
        </w:tc>
        <w:tc>
          <w:tcPr>
            <w:tcW w:w="972" w:type="dxa"/>
            <w:shd w:val="clear" w:color="auto" w:fill="D9D9D9"/>
          </w:tcPr>
          <w:p w14:paraId="6774D0C6" w14:textId="77777777" w:rsidR="00322294" w:rsidRPr="00731814" w:rsidRDefault="00322294" w:rsidP="00B97EED">
            <w:pPr>
              <w:jc w:val="center"/>
              <w:rPr>
                <w:rFonts w:cs="Calibri"/>
                <w:b/>
              </w:rPr>
            </w:pPr>
          </w:p>
        </w:tc>
        <w:tc>
          <w:tcPr>
            <w:tcW w:w="1980" w:type="dxa"/>
            <w:shd w:val="clear" w:color="auto" w:fill="D9D9D9"/>
          </w:tcPr>
          <w:p w14:paraId="077A265E" w14:textId="77777777" w:rsidR="00322294" w:rsidRPr="00731814" w:rsidRDefault="00322294" w:rsidP="00B97EED">
            <w:pPr>
              <w:jc w:val="center"/>
              <w:rPr>
                <w:rFonts w:cs="Calibri"/>
                <w:b/>
              </w:rPr>
            </w:pPr>
          </w:p>
        </w:tc>
        <w:tc>
          <w:tcPr>
            <w:tcW w:w="900" w:type="dxa"/>
            <w:shd w:val="clear" w:color="auto" w:fill="D9D9D9"/>
          </w:tcPr>
          <w:p w14:paraId="741EABA1" w14:textId="77777777" w:rsidR="00322294" w:rsidRPr="00731814" w:rsidRDefault="00322294" w:rsidP="00B97EED">
            <w:pPr>
              <w:jc w:val="center"/>
              <w:rPr>
                <w:rFonts w:cs="Calibri"/>
                <w:b/>
              </w:rPr>
            </w:pPr>
          </w:p>
        </w:tc>
        <w:tc>
          <w:tcPr>
            <w:tcW w:w="1980" w:type="dxa"/>
            <w:shd w:val="clear" w:color="auto" w:fill="D9D9D9"/>
          </w:tcPr>
          <w:p w14:paraId="57AB2444" w14:textId="77777777" w:rsidR="00322294" w:rsidRPr="00731814" w:rsidRDefault="00322294" w:rsidP="00B97EED">
            <w:pPr>
              <w:jc w:val="center"/>
              <w:rPr>
                <w:rFonts w:cs="Calibri"/>
              </w:rPr>
            </w:pPr>
          </w:p>
        </w:tc>
        <w:tc>
          <w:tcPr>
            <w:tcW w:w="900" w:type="dxa"/>
            <w:shd w:val="clear" w:color="auto" w:fill="D9D9D9"/>
          </w:tcPr>
          <w:p w14:paraId="5B9B2A61" w14:textId="77777777" w:rsidR="00322294" w:rsidRPr="00731814" w:rsidRDefault="00322294" w:rsidP="00B97EED">
            <w:pPr>
              <w:jc w:val="center"/>
              <w:rPr>
                <w:rFonts w:cs="Calibri"/>
                <w:b/>
              </w:rPr>
            </w:pPr>
          </w:p>
        </w:tc>
      </w:tr>
      <w:tr w:rsidR="00322294" w:rsidRPr="00731814" w14:paraId="4FDFF9A9" w14:textId="77777777" w:rsidTr="00B97EED">
        <w:tc>
          <w:tcPr>
            <w:tcW w:w="3472" w:type="dxa"/>
            <w:shd w:val="clear" w:color="auto" w:fill="auto"/>
          </w:tcPr>
          <w:p w14:paraId="585681BC" w14:textId="77777777" w:rsidR="00322294" w:rsidRPr="00731814" w:rsidRDefault="00322294" w:rsidP="00B97EED">
            <w:pPr>
              <w:rPr>
                <w:rFonts w:cs="Calibri"/>
                <w:b/>
              </w:rPr>
            </w:pPr>
            <w:r w:rsidRPr="00731814">
              <w:rPr>
                <w:rFonts w:cs="Calibri"/>
                <w:b/>
              </w:rPr>
              <w:t>Circumcision (men only)</w:t>
            </w:r>
          </w:p>
        </w:tc>
        <w:tc>
          <w:tcPr>
            <w:tcW w:w="776" w:type="dxa"/>
            <w:shd w:val="clear" w:color="auto" w:fill="auto"/>
          </w:tcPr>
          <w:p w14:paraId="09BBEC5B" w14:textId="77777777" w:rsidR="00322294" w:rsidRPr="00731814" w:rsidRDefault="00322294" w:rsidP="00B97EED">
            <w:pPr>
              <w:jc w:val="center"/>
              <w:rPr>
                <w:rFonts w:cs="Calibri"/>
                <w:b/>
              </w:rPr>
            </w:pPr>
          </w:p>
        </w:tc>
        <w:tc>
          <w:tcPr>
            <w:tcW w:w="972" w:type="dxa"/>
            <w:shd w:val="clear" w:color="auto" w:fill="auto"/>
          </w:tcPr>
          <w:p w14:paraId="0967177C" w14:textId="77777777" w:rsidR="00322294" w:rsidRPr="00731814" w:rsidRDefault="00322294" w:rsidP="00B97EED">
            <w:pPr>
              <w:jc w:val="center"/>
              <w:rPr>
                <w:rFonts w:cs="Calibri"/>
                <w:b/>
              </w:rPr>
            </w:pPr>
          </w:p>
        </w:tc>
        <w:tc>
          <w:tcPr>
            <w:tcW w:w="1980" w:type="dxa"/>
            <w:shd w:val="clear" w:color="auto" w:fill="auto"/>
          </w:tcPr>
          <w:p w14:paraId="52FC9AE8" w14:textId="77777777" w:rsidR="00322294" w:rsidRPr="00731814" w:rsidRDefault="00322294" w:rsidP="00B97EED">
            <w:pPr>
              <w:jc w:val="center"/>
              <w:rPr>
                <w:rFonts w:cs="Calibri"/>
                <w:b/>
              </w:rPr>
            </w:pPr>
          </w:p>
        </w:tc>
        <w:tc>
          <w:tcPr>
            <w:tcW w:w="900" w:type="dxa"/>
            <w:shd w:val="clear" w:color="auto" w:fill="auto"/>
            <w:vAlign w:val="bottom"/>
          </w:tcPr>
          <w:p w14:paraId="3FCF8C39" w14:textId="77777777" w:rsidR="00322294" w:rsidRPr="00731814" w:rsidRDefault="00322294" w:rsidP="00B97EED">
            <w:pPr>
              <w:jc w:val="center"/>
              <w:rPr>
                <w:rFonts w:cs="Calibri"/>
                <w:lang w:eastAsia="en-GB"/>
              </w:rPr>
            </w:pPr>
          </w:p>
        </w:tc>
        <w:tc>
          <w:tcPr>
            <w:tcW w:w="1980" w:type="dxa"/>
            <w:shd w:val="clear" w:color="auto" w:fill="auto"/>
          </w:tcPr>
          <w:p w14:paraId="18434DA9" w14:textId="77777777" w:rsidR="00322294" w:rsidRPr="00731814" w:rsidRDefault="00322294" w:rsidP="00B97EED">
            <w:pPr>
              <w:jc w:val="center"/>
              <w:rPr>
                <w:rFonts w:cs="Calibri"/>
                <w:b/>
              </w:rPr>
            </w:pPr>
          </w:p>
        </w:tc>
        <w:tc>
          <w:tcPr>
            <w:tcW w:w="900" w:type="dxa"/>
            <w:shd w:val="clear" w:color="auto" w:fill="auto"/>
          </w:tcPr>
          <w:p w14:paraId="690715E6" w14:textId="77777777" w:rsidR="00322294" w:rsidRPr="00731814" w:rsidRDefault="00322294" w:rsidP="00B97EED">
            <w:pPr>
              <w:jc w:val="center"/>
              <w:rPr>
                <w:rFonts w:cs="Calibri"/>
                <w:b/>
              </w:rPr>
            </w:pPr>
          </w:p>
        </w:tc>
      </w:tr>
      <w:tr w:rsidR="00322294" w:rsidRPr="00731814" w14:paraId="605857B3" w14:textId="77777777" w:rsidTr="00B97EED">
        <w:tc>
          <w:tcPr>
            <w:tcW w:w="3472" w:type="dxa"/>
            <w:shd w:val="clear" w:color="auto" w:fill="auto"/>
          </w:tcPr>
          <w:p w14:paraId="5E79B1D1" w14:textId="77777777" w:rsidR="00322294" w:rsidRPr="00731814" w:rsidRDefault="00322294" w:rsidP="00B97EED">
            <w:pPr>
              <w:rPr>
                <w:rFonts w:cs="Calibri"/>
              </w:rPr>
            </w:pPr>
            <w:r w:rsidRPr="00731814">
              <w:rPr>
                <w:rFonts w:cs="Calibri"/>
              </w:rPr>
              <w:t xml:space="preserve">   Circumcised</w:t>
            </w:r>
          </w:p>
        </w:tc>
        <w:tc>
          <w:tcPr>
            <w:tcW w:w="776" w:type="dxa"/>
            <w:shd w:val="clear" w:color="auto" w:fill="auto"/>
          </w:tcPr>
          <w:p w14:paraId="7DA78E91" w14:textId="77777777" w:rsidR="00322294" w:rsidRPr="00731814" w:rsidRDefault="00322294" w:rsidP="00B97EED">
            <w:pPr>
              <w:jc w:val="center"/>
              <w:rPr>
                <w:rFonts w:cs="Calibri"/>
              </w:rPr>
            </w:pPr>
            <w:r w:rsidRPr="00731814">
              <w:rPr>
                <w:rFonts w:cs="Calibri"/>
              </w:rPr>
              <w:t>534</w:t>
            </w:r>
          </w:p>
        </w:tc>
        <w:tc>
          <w:tcPr>
            <w:tcW w:w="972" w:type="dxa"/>
            <w:shd w:val="clear" w:color="auto" w:fill="auto"/>
          </w:tcPr>
          <w:p w14:paraId="2015433E" w14:textId="77777777" w:rsidR="00322294" w:rsidRPr="00731814" w:rsidRDefault="00322294" w:rsidP="00B97EED">
            <w:pPr>
              <w:jc w:val="center"/>
              <w:rPr>
                <w:rFonts w:cs="Calibri"/>
              </w:rPr>
            </w:pPr>
            <w:r w:rsidRPr="00731814">
              <w:rPr>
                <w:rFonts w:cs="Calibri"/>
              </w:rPr>
              <w:t xml:space="preserve">  37 </w:t>
            </w:r>
            <w:proofErr w:type="gramStart"/>
            <w:r w:rsidRPr="00731814">
              <w:rPr>
                <w:rFonts w:cs="Calibri"/>
              </w:rPr>
              <w:t>(  7</w:t>
            </w:r>
            <w:proofErr w:type="gramEnd"/>
            <w:r w:rsidRPr="00731814">
              <w:rPr>
                <w:rFonts w:cs="Calibri"/>
              </w:rPr>
              <w:t>)</w:t>
            </w:r>
          </w:p>
        </w:tc>
        <w:tc>
          <w:tcPr>
            <w:tcW w:w="1980" w:type="dxa"/>
            <w:shd w:val="clear" w:color="auto" w:fill="auto"/>
          </w:tcPr>
          <w:p w14:paraId="6AC17105"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1A19C24E" w14:textId="77777777" w:rsidR="00322294" w:rsidRPr="00731814" w:rsidRDefault="00322294" w:rsidP="00B97EED">
            <w:pPr>
              <w:jc w:val="center"/>
              <w:rPr>
                <w:rFonts w:cs="Calibri"/>
                <w:color w:val="000000"/>
              </w:rPr>
            </w:pPr>
            <w:r w:rsidRPr="00731814">
              <w:rPr>
                <w:rFonts w:cs="Calibri"/>
                <w:color w:val="000000"/>
              </w:rPr>
              <w:t>0.179</w:t>
            </w:r>
          </w:p>
        </w:tc>
        <w:tc>
          <w:tcPr>
            <w:tcW w:w="1980" w:type="dxa"/>
            <w:shd w:val="clear" w:color="auto" w:fill="auto"/>
          </w:tcPr>
          <w:p w14:paraId="693FFCFB"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56D9106F" w14:textId="77777777" w:rsidR="00322294" w:rsidRPr="00731814" w:rsidRDefault="00322294" w:rsidP="00B97EED">
            <w:pPr>
              <w:jc w:val="center"/>
              <w:rPr>
                <w:rFonts w:cs="Calibri"/>
              </w:rPr>
            </w:pPr>
            <w:r w:rsidRPr="00731814">
              <w:rPr>
                <w:rFonts w:cs="Calibri"/>
              </w:rPr>
              <w:t>0.467</w:t>
            </w:r>
          </w:p>
        </w:tc>
      </w:tr>
      <w:tr w:rsidR="00322294" w:rsidRPr="00731814" w14:paraId="419EA7E8" w14:textId="77777777" w:rsidTr="00B97EED">
        <w:tc>
          <w:tcPr>
            <w:tcW w:w="3472" w:type="dxa"/>
            <w:shd w:val="clear" w:color="auto" w:fill="auto"/>
          </w:tcPr>
          <w:p w14:paraId="38296504" w14:textId="77777777" w:rsidR="00322294" w:rsidRPr="00731814" w:rsidRDefault="00322294" w:rsidP="00B97EED">
            <w:pPr>
              <w:rPr>
                <w:rFonts w:cs="Calibri"/>
              </w:rPr>
            </w:pPr>
            <w:r w:rsidRPr="00731814">
              <w:rPr>
                <w:rFonts w:cs="Calibri"/>
              </w:rPr>
              <w:t xml:space="preserve">   Not circumcised</w:t>
            </w:r>
          </w:p>
        </w:tc>
        <w:tc>
          <w:tcPr>
            <w:tcW w:w="776" w:type="dxa"/>
            <w:shd w:val="clear" w:color="auto" w:fill="auto"/>
          </w:tcPr>
          <w:p w14:paraId="27150F04" w14:textId="77777777" w:rsidR="00322294" w:rsidRPr="00731814" w:rsidRDefault="00322294" w:rsidP="00B97EED">
            <w:pPr>
              <w:jc w:val="center"/>
              <w:rPr>
                <w:rFonts w:cs="Calibri"/>
              </w:rPr>
            </w:pPr>
            <w:r w:rsidRPr="00731814">
              <w:rPr>
                <w:rFonts w:cs="Calibri"/>
              </w:rPr>
              <w:t>49</w:t>
            </w:r>
          </w:p>
        </w:tc>
        <w:tc>
          <w:tcPr>
            <w:tcW w:w="972" w:type="dxa"/>
            <w:shd w:val="clear" w:color="auto" w:fill="auto"/>
          </w:tcPr>
          <w:p w14:paraId="6DEDC7A5" w14:textId="77777777" w:rsidR="00322294" w:rsidRPr="00731814" w:rsidRDefault="00322294" w:rsidP="00B97EED">
            <w:pPr>
              <w:jc w:val="center"/>
              <w:rPr>
                <w:rFonts w:cs="Calibri"/>
              </w:rPr>
            </w:pPr>
            <w:r w:rsidRPr="00731814">
              <w:rPr>
                <w:rFonts w:cs="Calibri"/>
              </w:rPr>
              <w:t xml:space="preserve">    6 (12)</w:t>
            </w:r>
          </w:p>
        </w:tc>
        <w:tc>
          <w:tcPr>
            <w:tcW w:w="1980" w:type="dxa"/>
            <w:shd w:val="clear" w:color="auto" w:fill="auto"/>
          </w:tcPr>
          <w:p w14:paraId="5610F1D0" w14:textId="77777777" w:rsidR="00322294" w:rsidRPr="00731814" w:rsidRDefault="00322294" w:rsidP="00B97EED">
            <w:pPr>
              <w:jc w:val="center"/>
              <w:rPr>
                <w:rFonts w:cs="Calibri"/>
                <w:color w:val="000000"/>
                <w:lang w:eastAsia="en-GB"/>
              </w:rPr>
            </w:pPr>
            <w:r w:rsidRPr="00731814">
              <w:rPr>
                <w:rFonts w:cs="Calibri"/>
                <w:color w:val="000000"/>
              </w:rPr>
              <w:t>1.87 (0.75 to 4.69)</w:t>
            </w:r>
          </w:p>
        </w:tc>
        <w:tc>
          <w:tcPr>
            <w:tcW w:w="900" w:type="dxa"/>
            <w:shd w:val="clear" w:color="auto" w:fill="auto"/>
            <w:vAlign w:val="bottom"/>
          </w:tcPr>
          <w:p w14:paraId="63198F8D" w14:textId="77777777" w:rsidR="00322294" w:rsidRPr="00731814" w:rsidRDefault="00322294" w:rsidP="00B97EED">
            <w:pPr>
              <w:jc w:val="center"/>
              <w:rPr>
                <w:rFonts w:cs="Calibri"/>
                <w:color w:val="000000"/>
              </w:rPr>
            </w:pPr>
          </w:p>
        </w:tc>
        <w:tc>
          <w:tcPr>
            <w:tcW w:w="1980" w:type="dxa"/>
            <w:shd w:val="clear" w:color="auto" w:fill="auto"/>
          </w:tcPr>
          <w:p w14:paraId="66A51001" w14:textId="77777777" w:rsidR="00322294" w:rsidRPr="00731814" w:rsidRDefault="00322294" w:rsidP="00B97EED">
            <w:pPr>
              <w:jc w:val="center"/>
              <w:rPr>
                <w:rFonts w:cs="Calibri"/>
              </w:rPr>
            </w:pPr>
            <w:r w:rsidRPr="00731814">
              <w:rPr>
                <w:rFonts w:cs="Calibri"/>
              </w:rPr>
              <w:t>1.63 (0.44 to 6.12)</w:t>
            </w:r>
          </w:p>
        </w:tc>
        <w:tc>
          <w:tcPr>
            <w:tcW w:w="900" w:type="dxa"/>
            <w:shd w:val="clear" w:color="auto" w:fill="auto"/>
          </w:tcPr>
          <w:p w14:paraId="6563D2E6" w14:textId="77777777" w:rsidR="00322294" w:rsidRPr="00731814" w:rsidRDefault="00322294" w:rsidP="00B97EED">
            <w:pPr>
              <w:jc w:val="center"/>
              <w:rPr>
                <w:rFonts w:cs="Calibri"/>
              </w:rPr>
            </w:pPr>
          </w:p>
        </w:tc>
      </w:tr>
      <w:tr w:rsidR="00322294" w:rsidRPr="00731814" w14:paraId="207DA9A1" w14:textId="77777777" w:rsidTr="00B97EED">
        <w:tc>
          <w:tcPr>
            <w:tcW w:w="3472" w:type="dxa"/>
            <w:shd w:val="clear" w:color="auto" w:fill="auto"/>
          </w:tcPr>
          <w:p w14:paraId="7E9C4DC3" w14:textId="77777777" w:rsidR="00322294" w:rsidRPr="00731814" w:rsidRDefault="00322294" w:rsidP="00B97EED">
            <w:pPr>
              <w:rPr>
                <w:rFonts w:cs="Calibri"/>
                <w:b/>
              </w:rPr>
            </w:pPr>
            <w:r w:rsidRPr="00731814">
              <w:rPr>
                <w:rFonts w:cs="Calibri"/>
                <w:b/>
              </w:rPr>
              <w:t>Genital sores (in the last year)</w:t>
            </w:r>
          </w:p>
        </w:tc>
        <w:tc>
          <w:tcPr>
            <w:tcW w:w="776" w:type="dxa"/>
            <w:shd w:val="clear" w:color="auto" w:fill="auto"/>
          </w:tcPr>
          <w:p w14:paraId="4D6033EA" w14:textId="77777777" w:rsidR="00322294" w:rsidRPr="00731814" w:rsidRDefault="00322294" w:rsidP="00B97EED">
            <w:pPr>
              <w:jc w:val="center"/>
              <w:rPr>
                <w:rFonts w:cs="Calibri"/>
                <w:b/>
              </w:rPr>
            </w:pPr>
          </w:p>
        </w:tc>
        <w:tc>
          <w:tcPr>
            <w:tcW w:w="972" w:type="dxa"/>
            <w:shd w:val="clear" w:color="auto" w:fill="auto"/>
          </w:tcPr>
          <w:p w14:paraId="7EB47E6E" w14:textId="77777777" w:rsidR="00322294" w:rsidRPr="00731814" w:rsidRDefault="00322294" w:rsidP="00B97EED">
            <w:pPr>
              <w:jc w:val="center"/>
              <w:rPr>
                <w:rFonts w:cs="Calibri"/>
                <w:b/>
              </w:rPr>
            </w:pPr>
          </w:p>
        </w:tc>
        <w:tc>
          <w:tcPr>
            <w:tcW w:w="1980" w:type="dxa"/>
            <w:shd w:val="clear" w:color="auto" w:fill="auto"/>
          </w:tcPr>
          <w:p w14:paraId="6D634DC6" w14:textId="77777777" w:rsidR="00322294" w:rsidRPr="00731814" w:rsidRDefault="00322294" w:rsidP="00B97EED">
            <w:pPr>
              <w:jc w:val="center"/>
              <w:rPr>
                <w:rFonts w:cs="Calibri"/>
                <w:b/>
              </w:rPr>
            </w:pPr>
          </w:p>
        </w:tc>
        <w:tc>
          <w:tcPr>
            <w:tcW w:w="900" w:type="dxa"/>
            <w:shd w:val="clear" w:color="auto" w:fill="auto"/>
            <w:vAlign w:val="bottom"/>
          </w:tcPr>
          <w:p w14:paraId="15ABA309" w14:textId="77777777" w:rsidR="00322294" w:rsidRPr="00731814" w:rsidRDefault="00322294" w:rsidP="00B97EED">
            <w:pPr>
              <w:jc w:val="center"/>
              <w:rPr>
                <w:rFonts w:cs="Calibri"/>
              </w:rPr>
            </w:pPr>
          </w:p>
        </w:tc>
        <w:tc>
          <w:tcPr>
            <w:tcW w:w="1980" w:type="dxa"/>
            <w:shd w:val="clear" w:color="auto" w:fill="auto"/>
          </w:tcPr>
          <w:p w14:paraId="749A5EB7" w14:textId="77777777" w:rsidR="00322294" w:rsidRPr="00731814" w:rsidRDefault="00322294" w:rsidP="00B97EED">
            <w:pPr>
              <w:jc w:val="center"/>
              <w:rPr>
                <w:rFonts w:cs="Calibri"/>
                <w:b/>
              </w:rPr>
            </w:pPr>
          </w:p>
        </w:tc>
        <w:tc>
          <w:tcPr>
            <w:tcW w:w="900" w:type="dxa"/>
            <w:shd w:val="clear" w:color="auto" w:fill="auto"/>
          </w:tcPr>
          <w:p w14:paraId="61309980" w14:textId="77777777" w:rsidR="00322294" w:rsidRPr="00731814" w:rsidRDefault="00322294" w:rsidP="00B97EED">
            <w:pPr>
              <w:jc w:val="center"/>
              <w:rPr>
                <w:rFonts w:cs="Calibri"/>
              </w:rPr>
            </w:pPr>
          </w:p>
        </w:tc>
      </w:tr>
      <w:tr w:rsidR="00322294" w:rsidRPr="00731814" w14:paraId="23211114" w14:textId="77777777" w:rsidTr="00B97EED">
        <w:tc>
          <w:tcPr>
            <w:tcW w:w="3472" w:type="dxa"/>
            <w:shd w:val="clear" w:color="auto" w:fill="auto"/>
          </w:tcPr>
          <w:p w14:paraId="0FE14F12" w14:textId="77777777" w:rsidR="00322294" w:rsidRPr="00731814" w:rsidRDefault="00322294" w:rsidP="00B97EED">
            <w:pPr>
              <w:rPr>
                <w:rFonts w:cs="Calibri"/>
              </w:rPr>
            </w:pPr>
            <w:r w:rsidRPr="00731814">
              <w:rPr>
                <w:rFonts w:cs="Calibri"/>
              </w:rPr>
              <w:t xml:space="preserve">   No</w:t>
            </w:r>
          </w:p>
        </w:tc>
        <w:tc>
          <w:tcPr>
            <w:tcW w:w="776" w:type="dxa"/>
            <w:shd w:val="clear" w:color="auto" w:fill="auto"/>
          </w:tcPr>
          <w:p w14:paraId="51A32740" w14:textId="77777777" w:rsidR="00322294" w:rsidRPr="00731814" w:rsidRDefault="00322294" w:rsidP="00B97EED">
            <w:pPr>
              <w:jc w:val="center"/>
              <w:rPr>
                <w:rFonts w:cs="Calibri"/>
              </w:rPr>
            </w:pPr>
            <w:r w:rsidRPr="00731814">
              <w:rPr>
                <w:rFonts w:cs="Calibri"/>
              </w:rPr>
              <w:t>937</w:t>
            </w:r>
          </w:p>
        </w:tc>
        <w:tc>
          <w:tcPr>
            <w:tcW w:w="972" w:type="dxa"/>
            <w:shd w:val="clear" w:color="auto" w:fill="auto"/>
          </w:tcPr>
          <w:p w14:paraId="7B25A78D" w14:textId="77777777" w:rsidR="00322294" w:rsidRPr="00731814" w:rsidRDefault="00322294" w:rsidP="00B97EED">
            <w:pPr>
              <w:jc w:val="center"/>
              <w:rPr>
                <w:rFonts w:cs="Calibri"/>
              </w:rPr>
            </w:pPr>
            <w:r w:rsidRPr="00731814">
              <w:rPr>
                <w:rFonts w:cs="Calibri"/>
              </w:rPr>
              <w:t>121 (13)</w:t>
            </w:r>
          </w:p>
        </w:tc>
        <w:tc>
          <w:tcPr>
            <w:tcW w:w="1980" w:type="dxa"/>
            <w:shd w:val="clear" w:color="auto" w:fill="auto"/>
          </w:tcPr>
          <w:p w14:paraId="6E99BC3D"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1AD75F48" w14:textId="77777777" w:rsidR="00322294" w:rsidRPr="00731814" w:rsidRDefault="00322294" w:rsidP="00B97EED">
            <w:pPr>
              <w:jc w:val="center"/>
              <w:rPr>
                <w:rFonts w:cs="Calibri"/>
                <w:color w:val="000000"/>
              </w:rPr>
            </w:pPr>
            <w:r w:rsidRPr="00731814">
              <w:rPr>
                <w:rFonts w:cs="Calibri"/>
                <w:color w:val="000000"/>
              </w:rPr>
              <w:t>0.006</w:t>
            </w:r>
          </w:p>
        </w:tc>
        <w:tc>
          <w:tcPr>
            <w:tcW w:w="1980" w:type="dxa"/>
            <w:shd w:val="clear" w:color="auto" w:fill="auto"/>
          </w:tcPr>
          <w:p w14:paraId="536F0F04"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669FFFB1" w14:textId="77777777" w:rsidR="00322294" w:rsidRPr="00731814" w:rsidRDefault="00322294" w:rsidP="00B97EED">
            <w:pPr>
              <w:jc w:val="center"/>
              <w:rPr>
                <w:rFonts w:cs="Calibri"/>
              </w:rPr>
            </w:pPr>
            <w:r w:rsidRPr="00731814">
              <w:rPr>
                <w:rFonts w:cs="Calibri"/>
              </w:rPr>
              <w:t>0.093</w:t>
            </w:r>
          </w:p>
        </w:tc>
      </w:tr>
      <w:tr w:rsidR="00322294" w:rsidRPr="00731814" w14:paraId="18052A66" w14:textId="77777777" w:rsidTr="00B97EED">
        <w:tc>
          <w:tcPr>
            <w:tcW w:w="3472" w:type="dxa"/>
            <w:shd w:val="clear" w:color="auto" w:fill="auto"/>
          </w:tcPr>
          <w:p w14:paraId="4698F5B2" w14:textId="77777777" w:rsidR="00322294" w:rsidRPr="00731814" w:rsidRDefault="00322294" w:rsidP="00B97EED">
            <w:pPr>
              <w:rPr>
                <w:rFonts w:cs="Calibri"/>
              </w:rPr>
            </w:pPr>
            <w:r w:rsidRPr="00731814">
              <w:rPr>
                <w:rFonts w:cs="Calibri"/>
              </w:rPr>
              <w:t xml:space="preserve">   Yes</w:t>
            </w:r>
          </w:p>
        </w:tc>
        <w:tc>
          <w:tcPr>
            <w:tcW w:w="776" w:type="dxa"/>
            <w:shd w:val="clear" w:color="auto" w:fill="auto"/>
          </w:tcPr>
          <w:p w14:paraId="751687CD" w14:textId="77777777" w:rsidR="00322294" w:rsidRPr="00731814" w:rsidRDefault="00322294" w:rsidP="00B97EED">
            <w:pPr>
              <w:jc w:val="center"/>
              <w:rPr>
                <w:rFonts w:cs="Calibri"/>
              </w:rPr>
            </w:pPr>
            <w:r w:rsidRPr="00731814">
              <w:rPr>
                <w:rFonts w:cs="Calibri"/>
              </w:rPr>
              <w:t>184</w:t>
            </w:r>
          </w:p>
        </w:tc>
        <w:tc>
          <w:tcPr>
            <w:tcW w:w="972" w:type="dxa"/>
            <w:shd w:val="clear" w:color="auto" w:fill="auto"/>
          </w:tcPr>
          <w:p w14:paraId="7C64B104" w14:textId="77777777" w:rsidR="00322294" w:rsidRPr="00731814" w:rsidRDefault="00322294" w:rsidP="00B97EED">
            <w:pPr>
              <w:jc w:val="center"/>
              <w:rPr>
                <w:rFonts w:cs="Calibri"/>
              </w:rPr>
            </w:pPr>
            <w:r w:rsidRPr="00731814">
              <w:rPr>
                <w:rFonts w:cs="Calibri"/>
              </w:rPr>
              <w:t xml:space="preserve">  38 (21)</w:t>
            </w:r>
          </w:p>
        </w:tc>
        <w:tc>
          <w:tcPr>
            <w:tcW w:w="1980" w:type="dxa"/>
            <w:shd w:val="clear" w:color="auto" w:fill="auto"/>
          </w:tcPr>
          <w:p w14:paraId="3DE7D5DF" w14:textId="77777777" w:rsidR="00322294" w:rsidRPr="00731814" w:rsidRDefault="00322294" w:rsidP="00B97EED">
            <w:pPr>
              <w:jc w:val="center"/>
              <w:rPr>
                <w:rFonts w:cs="Calibri"/>
                <w:color w:val="000000"/>
                <w:lang w:eastAsia="en-GB"/>
              </w:rPr>
            </w:pPr>
            <w:r w:rsidRPr="00731814">
              <w:rPr>
                <w:rFonts w:cs="Calibri"/>
                <w:color w:val="000000"/>
              </w:rPr>
              <w:t>1.76 (1.17 to 2.63)</w:t>
            </w:r>
          </w:p>
        </w:tc>
        <w:tc>
          <w:tcPr>
            <w:tcW w:w="900" w:type="dxa"/>
            <w:shd w:val="clear" w:color="auto" w:fill="auto"/>
            <w:vAlign w:val="bottom"/>
          </w:tcPr>
          <w:p w14:paraId="0204A9C0" w14:textId="77777777" w:rsidR="00322294" w:rsidRPr="00731814" w:rsidRDefault="00322294" w:rsidP="00B97EED">
            <w:pPr>
              <w:jc w:val="center"/>
              <w:rPr>
                <w:rFonts w:cs="Calibri"/>
                <w:color w:val="000000"/>
              </w:rPr>
            </w:pPr>
          </w:p>
        </w:tc>
        <w:tc>
          <w:tcPr>
            <w:tcW w:w="1980" w:type="dxa"/>
            <w:shd w:val="clear" w:color="auto" w:fill="auto"/>
          </w:tcPr>
          <w:p w14:paraId="07F0E725" w14:textId="77777777" w:rsidR="00322294" w:rsidRPr="00731814" w:rsidRDefault="00322294" w:rsidP="00B97EED">
            <w:pPr>
              <w:jc w:val="center"/>
              <w:rPr>
                <w:rFonts w:cs="Calibri"/>
              </w:rPr>
            </w:pPr>
            <w:r w:rsidRPr="00731814">
              <w:rPr>
                <w:rFonts w:cs="Calibri"/>
              </w:rPr>
              <w:t>1.65 (0.92 to 2.95)</w:t>
            </w:r>
          </w:p>
        </w:tc>
        <w:tc>
          <w:tcPr>
            <w:tcW w:w="900" w:type="dxa"/>
            <w:shd w:val="clear" w:color="auto" w:fill="auto"/>
          </w:tcPr>
          <w:p w14:paraId="3FE0395B" w14:textId="77777777" w:rsidR="00322294" w:rsidRPr="00731814" w:rsidRDefault="00322294" w:rsidP="00B97EED">
            <w:pPr>
              <w:jc w:val="center"/>
              <w:rPr>
                <w:rFonts w:cs="Calibri"/>
              </w:rPr>
            </w:pPr>
          </w:p>
        </w:tc>
      </w:tr>
      <w:tr w:rsidR="00322294" w:rsidRPr="00731814" w14:paraId="4954F127" w14:textId="77777777" w:rsidTr="00B97EED">
        <w:tc>
          <w:tcPr>
            <w:tcW w:w="3472" w:type="dxa"/>
            <w:shd w:val="clear" w:color="auto" w:fill="auto"/>
          </w:tcPr>
          <w:p w14:paraId="19384726" w14:textId="77777777" w:rsidR="00322294" w:rsidRPr="00731814" w:rsidRDefault="00322294" w:rsidP="00B97EED">
            <w:pPr>
              <w:rPr>
                <w:rFonts w:cs="Calibri"/>
                <w:b/>
              </w:rPr>
            </w:pPr>
            <w:r w:rsidRPr="00731814">
              <w:rPr>
                <w:rFonts w:cs="Calibri"/>
                <w:b/>
              </w:rPr>
              <w:t>Abnormal discharge (in last year)</w:t>
            </w:r>
          </w:p>
        </w:tc>
        <w:tc>
          <w:tcPr>
            <w:tcW w:w="776" w:type="dxa"/>
            <w:shd w:val="clear" w:color="auto" w:fill="auto"/>
          </w:tcPr>
          <w:p w14:paraId="1F0E4A35" w14:textId="77777777" w:rsidR="00322294" w:rsidRPr="00731814" w:rsidRDefault="00322294" w:rsidP="00B97EED">
            <w:pPr>
              <w:jc w:val="center"/>
              <w:rPr>
                <w:rFonts w:cs="Calibri"/>
                <w:b/>
              </w:rPr>
            </w:pPr>
          </w:p>
        </w:tc>
        <w:tc>
          <w:tcPr>
            <w:tcW w:w="972" w:type="dxa"/>
            <w:shd w:val="clear" w:color="auto" w:fill="auto"/>
          </w:tcPr>
          <w:p w14:paraId="02419F16" w14:textId="77777777" w:rsidR="00322294" w:rsidRPr="00731814" w:rsidRDefault="00322294" w:rsidP="00B97EED">
            <w:pPr>
              <w:jc w:val="center"/>
              <w:rPr>
                <w:rFonts w:cs="Calibri"/>
                <w:b/>
              </w:rPr>
            </w:pPr>
          </w:p>
        </w:tc>
        <w:tc>
          <w:tcPr>
            <w:tcW w:w="1980" w:type="dxa"/>
            <w:shd w:val="clear" w:color="auto" w:fill="auto"/>
          </w:tcPr>
          <w:p w14:paraId="2A80BB93" w14:textId="77777777" w:rsidR="00322294" w:rsidRPr="00731814" w:rsidRDefault="00322294" w:rsidP="00B97EED">
            <w:pPr>
              <w:jc w:val="center"/>
              <w:rPr>
                <w:rFonts w:cs="Calibri"/>
                <w:b/>
              </w:rPr>
            </w:pPr>
          </w:p>
        </w:tc>
        <w:tc>
          <w:tcPr>
            <w:tcW w:w="900" w:type="dxa"/>
            <w:shd w:val="clear" w:color="auto" w:fill="auto"/>
            <w:vAlign w:val="bottom"/>
          </w:tcPr>
          <w:p w14:paraId="27A8D32B" w14:textId="77777777" w:rsidR="00322294" w:rsidRPr="00731814" w:rsidRDefault="00322294" w:rsidP="00B97EED">
            <w:pPr>
              <w:jc w:val="center"/>
              <w:rPr>
                <w:rFonts w:cs="Calibri"/>
              </w:rPr>
            </w:pPr>
          </w:p>
        </w:tc>
        <w:tc>
          <w:tcPr>
            <w:tcW w:w="1980" w:type="dxa"/>
            <w:shd w:val="clear" w:color="auto" w:fill="auto"/>
          </w:tcPr>
          <w:p w14:paraId="12B9DE28" w14:textId="77777777" w:rsidR="00322294" w:rsidRPr="00731814" w:rsidRDefault="00322294" w:rsidP="00B97EED">
            <w:pPr>
              <w:jc w:val="center"/>
              <w:rPr>
                <w:rFonts w:cs="Calibri"/>
                <w:b/>
              </w:rPr>
            </w:pPr>
          </w:p>
        </w:tc>
        <w:tc>
          <w:tcPr>
            <w:tcW w:w="900" w:type="dxa"/>
            <w:shd w:val="clear" w:color="auto" w:fill="auto"/>
          </w:tcPr>
          <w:p w14:paraId="7F8C6D95" w14:textId="77777777" w:rsidR="00322294" w:rsidRPr="00731814" w:rsidRDefault="00322294" w:rsidP="00B97EED">
            <w:pPr>
              <w:jc w:val="center"/>
              <w:rPr>
                <w:rFonts w:cs="Calibri"/>
              </w:rPr>
            </w:pPr>
          </w:p>
        </w:tc>
      </w:tr>
      <w:tr w:rsidR="00322294" w:rsidRPr="00731814" w14:paraId="72E7A03B" w14:textId="77777777" w:rsidTr="00B97EED">
        <w:tc>
          <w:tcPr>
            <w:tcW w:w="3472" w:type="dxa"/>
            <w:shd w:val="clear" w:color="auto" w:fill="auto"/>
          </w:tcPr>
          <w:p w14:paraId="5AB4411B" w14:textId="77777777" w:rsidR="00322294" w:rsidRPr="00731814" w:rsidRDefault="00322294" w:rsidP="00B97EED">
            <w:pPr>
              <w:rPr>
                <w:rFonts w:cs="Calibri"/>
              </w:rPr>
            </w:pPr>
            <w:r w:rsidRPr="00731814">
              <w:rPr>
                <w:rFonts w:cs="Calibri"/>
              </w:rPr>
              <w:t xml:space="preserve">   No</w:t>
            </w:r>
          </w:p>
        </w:tc>
        <w:tc>
          <w:tcPr>
            <w:tcW w:w="776" w:type="dxa"/>
            <w:shd w:val="clear" w:color="auto" w:fill="auto"/>
          </w:tcPr>
          <w:p w14:paraId="50327DC7" w14:textId="77777777" w:rsidR="00322294" w:rsidRPr="00731814" w:rsidRDefault="00322294" w:rsidP="00B97EED">
            <w:pPr>
              <w:jc w:val="center"/>
              <w:rPr>
                <w:rFonts w:cs="Calibri"/>
              </w:rPr>
            </w:pPr>
            <w:r w:rsidRPr="00731814">
              <w:rPr>
                <w:rFonts w:cs="Calibri"/>
              </w:rPr>
              <w:t>873</w:t>
            </w:r>
          </w:p>
        </w:tc>
        <w:tc>
          <w:tcPr>
            <w:tcW w:w="972" w:type="dxa"/>
            <w:shd w:val="clear" w:color="auto" w:fill="auto"/>
          </w:tcPr>
          <w:p w14:paraId="3C101462" w14:textId="77777777" w:rsidR="00322294" w:rsidRPr="00731814" w:rsidRDefault="00322294" w:rsidP="00B97EED">
            <w:pPr>
              <w:jc w:val="center"/>
              <w:rPr>
                <w:rFonts w:cs="Calibri"/>
              </w:rPr>
            </w:pPr>
            <w:r w:rsidRPr="00731814">
              <w:rPr>
                <w:rFonts w:cs="Calibri"/>
              </w:rPr>
              <w:t>106 (12)</w:t>
            </w:r>
          </w:p>
        </w:tc>
        <w:tc>
          <w:tcPr>
            <w:tcW w:w="1980" w:type="dxa"/>
            <w:shd w:val="clear" w:color="auto" w:fill="auto"/>
          </w:tcPr>
          <w:p w14:paraId="4FEACC51"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7DAD1BA9"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750B133C"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44EDD3EA" w14:textId="77777777" w:rsidR="00322294" w:rsidRPr="00731814" w:rsidRDefault="00322294" w:rsidP="00B97EED">
            <w:pPr>
              <w:jc w:val="center"/>
              <w:rPr>
                <w:rFonts w:cs="Calibri"/>
              </w:rPr>
            </w:pPr>
            <w:r w:rsidRPr="00731814">
              <w:rPr>
                <w:rFonts w:cs="Calibri"/>
              </w:rPr>
              <w:t>0.222</w:t>
            </w:r>
          </w:p>
        </w:tc>
      </w:tr>
      <w:tr w:rsidR="00322294" w:rsidRPr="00731814" w14:paraId="4C036F63" w14:textId="77777777" w:rsidTr="00B97EED">
        <w:tc>
          <w:tcPr>
            <w:tcW w:w="3472" w:type="dxa"/>
            <w:shd w:val="clear" w:color="auto" w:fill="auto"/>
          </w:tcPr>
          <w:p w14:paraId="3AFAEAAD" w14:textId="77777777" w:rsidR="00322294" w:rsidRPr="00731814" w:rsidRDefault="00322294" w:rsidP="00B97EED">
            <w:pPr>
              <w:rPr>
                <w:rFonts w:cs="Calibri"/>
              </w:rPr>
            </w:pPr>
            <w:r w:rsidRPr="00731814">
              <w:rPr>
                <w:rFonts w:cs="Calibri"/>
              </w:rPr>
              <w:t xml:space="preserve">   Yes</w:t>
            </w:r>
          </w:p>
        </w:tc>
        <w:tc>
          <w:tcPr>
            <w:tcW w:w="776" w:type="dxa"/>
            <w:shd w:val="clear" w:color="auto" w:fill="auto"/>
          </w:tcPr>
          <w:p w14:paraId="4709B069" w14:textId="77777777" w:rsidR="00322294" w:rsidRPr="00731814" w:rsidRDefault="00322294" w:rsidP="00B97EED">
            <w:pPr>
              <w:jc w:val="center"/>
              <w:rPr>
                <w:rFonts w:cs="Calibri"/>
              </w:rPr>
            </w:pPr>
            <w:r w:rsidRPr="00731814">
              <w:rPr>
                <w:rFonts w:cs="Calibri"/>
              </w:rPr>
              <w:t>248</w:t>
            </w:r>
          </w:p>
        </w:tc>
        <w:tc>
          <w:tcPr>
            <w:tcW w:w="972" w:type="dxa"/>
            <w:shd w:val="clear" w:color="auto" w:fill="auto"/>
          </w:tcPr>
          <w:p w14:paraId="59C18382" w14:textId="77777777" w:rsidR="00322294" w:rsidRPr="00731814" w:rsidRDefault="00322294" w:rsidP="00B97EED">
            <w:pPr>
              <w:jc w:val="center"/>
              <w:rPr>
                <w:rFonts w:cs="Calibri"/>
              </w:rPr>
            </w:pPr>
            <w:r w:rsidRPr="00731814">
              <w:rPr>
                <w:rFonts w:cs="Calibri"/>
              </w:rPr>
              <w:t xml:space="preserve">  53 (21)</w:t>
            </w:r>
          </w:p>
        </w:tc>
        <w:tc>
          <w:tcPr>
            <w:tcW w:w="1980" w:type="dxa"/>
            <w:shd w:val="clear" w:color="auto" w:fill="auto"/>
          </w:tcPr>
          <w:p w14:paraId="6FDF0A7C" w14:textId="77777777" w:rsidR="00322294" w:rsidRPr="00731814" w:rsidRDefault="00322294" w:rsidP="00B97EED">
            <w:pPr>
              <w:jc w:val="center"/>
              <w:rPr>
                <w:rFonts w:cs="Calibri"/>
                <w:color w:val="000000"/>
                <w:lang w:eastAsia="en-GB"/>
              </w:rPr>
            </w:pPr>
            <w:r w:rsidRPr="00731814">
              <w:rPr>
                <w:rFonts w:cs="Calibri"/>
                <w:color w:val="000000"/>
              </w:rPr>
              <w:t>1.97 (1.36 to 2.83)</w:t>
            </w:r>
          </w:p>
        </w:tc>
        <w:tc>
          <w:tcPr>
            <w:tcW w:w="900" w:type="dxa"/>
            <w:shd w:val="clear" w:color="auto" w:fill="auto"/>
            <w:vAlign w:val="bottom"/>
          </w:tcPr>
          <w:p w14:paraId="5AA22557" w14:textId="77777777" w:rsidR="00322294" w:rsidRPr="00731814" w:rsidRDefault="00322294" w:rsidP="00B97EED">
            <w:pPr>
              <w:jc w:val="center"/>
              <w:rPr>
                <w:rFonts w:cs="Calibri"/>
                <w:color w:val="000000"/>
              </w:rPr>
            </w:pPr>
          </w:p>
        </w:tc>
        <w:tc>
          <w:tcPr>
            <w:tcW w:w="1980" w:type="dxa"/>
            <w:shd w:val="clear" w:color="auto" w:fill="auto"/>
          </w:tcPr>
          <w:p w14:paraId="197F62D5" w14:textId="77777777" w:rsidR="00322294" w:rsidRPr="00731814" w:rsidRDefault="00322294" w:rsidP="00B97EED">
            <w:pPr>
              <w:jc w:val="center"/>
              <w:rPr>
                <w:rFonts w:cs="Calibri"/>
              </w:rPr>
            </w:pPr>
            <w:r w:rsidRPr="00731814">
              <w:rPr>
                <w:rFonts w:cs="Calibri"/>
              </w:rPr>
              <w:t>1.42 (0.81 to 2.49)</w:t>
            </w:r>
          </w:p>
        </w:tc>
        <w:tc>
          <w:tcPr>
            <w:tcW w:w="900" w:type="dxa"/>
            <w:shd w:val="clear" w:color="auto" w:fill="auto"/>
          </w:tcPr>
          <w:p w14:paraId="46FF5241" w14:textId="77777777" w:rsidR="00322294" w:rsidRPr="00731814" w:rsidRDefault="00322294" w:rsidP="00B97EED">
            <w:pPr>
              <w:jc w:val="center"/>
              <w:rPr>
                <w:rFonts w:cs="Calibri"/>
              </w:rPr>
            </w:pPr>
          </w:p>
        </w:tc>
      </w:tr>
      <w:tr w:rsidR="00322294" w:rsidRPr="00731814" w14:paraId="3737FBC7" w14:textId="77777777" w:rsidTr="00B97EED">
        <w:tc>
          <w:tcPr>
            <w:tcW w:w="3472" w:type="dxa"/>
            <w:shd w:val="clear" w:color="auto" w:fill="auto"/>
          </w:tcPr>
          <w:p w14:paraId="3AD518C2" w14:textId="77777777" w:rsidR="00322294" w:rsidRPr="00731814" w:rsidRDefault="00322294" w:rsidP="00B97EED">
            <w:pPr>
              <w:rPr>
                <w:rFonts w:cs="Calibri"/>
                <w:b/>
              </w:rPr>
            </w:pPr>
            <w:r w:rsidRPr="00731814">
              <w:rPr>
                <w:rFonts w:cs="Calibri"/>
                <w:b/>
              </w:rPr>
              <w:t>Genital itching currently</w:t>
            </w:r>
          </w:p>
        </w:tc>
        <w:tc>
          <w:tcPr>
            <w:tcW w:w="776" w:type="dxa"/>
            <w:shd w:val="clear" w:color="auto" w:fill="auto"/>
          </w:tcPr>
          <w:p w14:paraId="1C23A49E" w14:textId="77777777" w:rsidR="00322294" w:rsidRPr="00731814" w:rsidRDefault="00322294" w:rsidP="00B97EED">
            <w:pPr>
              <w:jc w:val="center"/>
              <w:rPr>
                <w:rFonts w:cs="Calibri"/>
                <w:b/>
              </w:rPr>
            </w:pPr>
          </w:p>
        </w:tc>
        <w:tc>
          <w:tcPr>
            <w:tcW w:w="972" w:type="dxa"/>
            <w:shd w:val="clear" w:color="auto" w:fill="auto"/>
          </w:tcPr>
          <w:p w14:paraId="1E6F0895" w14:textId="77777777" w:rsidR="00322294" w:rsidRPr="00731814" w:rsidRDefault="00322294" w:rsidP="00B97EED">
            <w:pPr>
              <w:jc w:val="center"/>
              <w:rPr>
                <w:rFonts w:cs="Calibri"/>
                <w:b/>
              </w:rPr>
            </w:pPr>
          </w:p>
        </w:tc>
        <w:tc>
          <w:tcPr>
            <w:tcW w:w="1980" w:type="dxa"/>
            <w:shd w:val="clear" w:color="auto" w:fill="auto"/>
          </w:tcPr>
          <w:p w14:paraId="24A90509" w14:textId="77777777" w:rsidR="00322294" w:rsidRPr="00731814" w:rsidRDefault="00322294" w:rsidP="00B97EED">
            <w:pPr>
              <w:jc w:val="center"/>
              <w:rPr>
                <w:rFonts w:cs="Calibri"/>
                <w:b/>
              </w:rPr>
            </w:pPr>
          </w:p>
        </w:tc>
        <w:tc>
          <w:tcPr>
            <w:tcW w:w="900" w:type="dxa"/>
            <w:shd w:val="clear" w:color="auto" w:fill="auto"/>
            <w:vAlign w:val="bottom"/>
          </w:tcPr>
          <w:p w14:paraId="0332F9FF" w14:textId="77777777" w:rsidR="00322294" w:rsidRPr="00731814" w:rsidRDefault="00322294" w:rsidP="00B97EED">
            <w:pPr>
              <w:jc w:val="center"/>
              <w:rPr>
                <w:rFonts w:cs="Calibri"/>
              </w:rPr>
            </w:pPr>
          </w:p>
        </w:tc>
        <w:tc>
          <w:tcPr>
            <w:tcW w:w="1980" w:type="dxa"/>
            <w:shd w:val="clear" w:color="auto" w:fill="auto"/>
          </w:tcPr>
          <w:p w14:paraId="55AD694D" w14:textId="77777777" w:rsidR="00322294" w:rsidRPr="00731814" w:rsidRDefault="00322294" w:rsidP="00B97EED">
            <w:pPr>
              <w:jc w:val="center"/>
              <w:rPr>
                <w:rFonts w:cs="Calibri"/>
                <w:b/>
              </w:rPr>
            </w:pPr>
          </w:p>
        </w:tc>
        <w:tc>
          <w:tcPr>
            <w:tcW w:w="900" w:type="dxa"/>
            <w:shd w:val="clear" w:color="auto" w:fill="auto"/>
          </w:tcPr>
          <w:p w14:paraId="78AD9B9E" w14:textId="77777777" w:rsidR="00322294" w:rsidRPr="00731814" w:rsidRDefault="00322294" w:rsidP="00B97EED">
            <w:pPr>
              <w:jc w:val="center"/>
              <w:rPr>
                <w:rFonts w:cs="Calibri"/>
                <w:b/>
              </w:rPr>
            </w:pPr>
          </w:p>
        </w:tc>
      </w:tr>
      <w:tr w:rsidR="00322294" w:rsidRPr="00731814" w14:paraId="6853D7B7" w14:textId="77777777" w:rsidTr="00B97EED">
        <w:tc>
          <w:tcPr>
            <w:tcW w:w="3472" w:type="dxa"/>
            <w:shd w:val="clear" w:color="auto" w:fill="auto"/>
          </w:tcPr>
          <w:p w14:paraId="79C2D309" w14:textId="77777777" w:rsidR="00322294" w:rsidRPr="00731814" w:rsidRDefault="00322294" w:rsidP="00B97EED">
            <w:pPr>
              <w:rPr>
                <w:rFonts w:cs="Calibri"/>
              </w:rPr>
            </w:pPr>
            <w:r w:rsidRPr="00731814">
              <w:rPr>
                <w:rFonts w:cs="Calibri"/>
              </w:rPr>
              <w:t xml:space="preserve">   No</w:t>
            </w:r>
          </w:p>
        </w:tc>
        <w:tc>
          <w:tcPr>
            <w:tcW w:w="776" w:type="dxa"/>
            <w:shd w:val="clear" w:color="auto" w:fill="auto"/>
          </w:tcPr>
          <w:p w14:paraId="422706FE" w14:textId="77777777" w:rsidR="00322294" w:rsidRPr="00731814" w:rsidRDefault="00322294" w:rsidP="00B97EED">
            <w:pPr>
              <w:jc w:val="center"/>
              <w:rPr>
                <w:rFonts w:cs="Calibri"/>
              </w:rPr>
            </w:pPr>
            <w:r w:rsidRPr="00731814">
              <w:rPr>
                <w:rFonts w:cs="Calibri"/>
              </w:rPr>
              <w:t>975</w:t>
            </w:r>
          </w:p>
        </w:tc>
        <w:tc>
          <w:tcPr>
            <w:tcW w:w="972" w:type="dxa"/>
            <w:shd w:val="clear" w:color="auto" w:fill="auto"/>
          </w:tcPr>
          <w:p w14:paraId="6E440886" w14:textId="77777777" w:rsidR="00322294" w:rsidRPr="00731814" w:rsidRDefault="00322294" w:rsidP="00B97EED">
            <w:pPr>
              <w:jc w:val="center"/>
              <w:rPr>
                <w:rFonts w:cs="Calibri"/>
              </w:rPr>
            </w:pPr>
            <w:r w:rsidRPr="00731814">
              <w:rPr>
                <w:rFonts w:cs="Calibri"/>
              </w:rPr>
              <w:t>128 (13)</w:t>
            </w:r>
          </w:p>
        </w:tc>
        <w:tc>
          <w:tcPr>
            <w:tcW w:w="1980" w:type="dxa"/>
            <w:shd w:val="clear" w:color="auto" w:fill="auto"/>
          </w:tcPr>
          <w:p w14:paraId="4307FD1B"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2485DB8A" w14:textId="77777777" w:rsidR="00322294" w:rsidRPr="00731814" w:rsidRDefault="00322294" w:rsidP="00B97EED">
            <w:pPr>
              <w:jc w:val="center"/>
              <w:rPr>
                <w:rFonts w:cs="Calibri"/>
                <w:color w:val="000000"/>
              </w:rPr>
            </w:pPr>
            <w:r w:rsidRPr="00731814">
              <w:rPr>
                <w:rFonts w:cs="Calibri"/>
                <w:color w:val="000000"/>
              </w:rPr>
              <w:t>0.013</w:t>
            </w:r>
          </w:p>
        </w:tc>
        <w:tc>
          <w:tcPr>
            <w:tcW w:w="1980" w:type="dxa"/>
            <w:shd w:val="clear" w:color="auto" w:fill="auto"/>
          </w:tcPr>
          <w:p w14:paraId="3E43F1BC"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4F9D8067" w14:textId="77777777" w:rsidR="00322294" w:rsidRPr="00731814" w:rsidRDefault="00322294" w:rsidP="00B97EED">
            <w:pPr>
              <w:jc w:val="center"/>
              <w:rPr>
                <w:rFonts w:cs="Calibri"/>
              </w:rPr>
            </w:pPr>
            <w:r w:rsidRPr="00731814">
              <w:rPr>
                <w:rFonts w:cs="Calibri"/>
              </w:rPr>
              <w:t>0.339</w:t>
            </w:r>
          </w:p>
        </w:tc>
      </w:tr>
      <w:tr w:rsidR="00322294" w:rsidRPr="00731814" w14:paraId="0F9D157E" w14:textId="77777777" w:rsidTr="00B97EED">
        <w:tc>
          <w:tcPr>
            <w:tcW w:w="3472" w:type="dxa"/>
            <w:shd w:val="clear" w:color="auto" w:fill="auto"/>
          </w:tcPr>
          <w:p w14:paraId="738781B0" w14:textId="77777777" w:rsidR="00322294" w:rsidRPr="00731814" w:rsidRDefault="00322294" w:rsidP="00B97EED">
            <w:pPr>
              <w:rPr>
                <w:rFonts w:cs="Calibri"/>
              </w:rPr>
            </w:pPr>
            <w:r w:rsidRPr="00731814">
              <w:rPr>
                <w:rFonts w:cs="Calibri"/>
              </w:rPr>
              <w:t xml:space="preserve">   Yes</w:t>
            </w:r>
          </w:p>
        </w:tc>
        <w:tc>
          <w:tcPr>
            <w:tcW w:w="776" w:type="dxa"/>
            <w:shd w:val="clear" w:color="auto" w:fill="auto"/>
          </w:tcPr>
          <w:p w14:paraId="30872098" w14:textId="77777777" w:rsidR="00322294" w:rsidRPr="00731814" w:rsidRDefault="00322294" w:rsidP="00B97EED">
            <w:pPr>
              <w:jc w:val="center"/>
              <w:rPr>
                <w:rFonts w:cs="Calibri"/>
              </w:rPr>
            </w:pPr>
            <w:r w:rsidRPr="00731814">
              <w:rPr>
                <w:rFonts w:cs="Calibri"/>
              </w:rPr>
              <w:t>143</w:t>
            </w:r>
          </w:p>
        </w:tc>
        <w:tc>
          <w:tcPr>
            <w:tcW w:w="972" w:type="dxa"/>
            <w:shd w:val="clear" w:color="auto" w:fill="auto"/>
          </w:tcPr>
          <w:p w14:paraId="4AFA312C" w14:textId="77777777" w:rsidR="00322294" w:rsidRPr="00731814" w:rsidRDefault="00322294" w:rsidP="00B97EED">
            <w:pPr>
              <w:jc w:val="center"/>
              <w:rPr>
                <w:rFonts w:cs="Calibri"/>
              </w:rPr>
            </w:pPr>
            <w:r w:rsidRPr="00731814">
              <w:rPr>
                <w:rFonts w:cs="Calibri"/>
              </w:rPr>
              <w:t xml:space="preserve">  30 (21)</w:t>
            </w:r>
          </w:p>
        </w:tc>
        <w:tc>
          <w:tcPr>
            <w:tcW w:w="1980" w:type="dxa"/>
            <w:shd w:val="clear" w:color="auto" w:fill="auto"/>
          </w:tcPr>
          <w:p w14:paraId="7B3D4989" w14:textId="77777777" w:rsidR="00322294" w:rsidRPr="00731814" w:rsidRDefault="00322294" w:rsidP="00B97EED">
            <w:pPr>
              <w:jc w:val="center"/>
              <w:rPr>
                <w:rFonts w:cs="Calibri"/>
                <w:color w:val="000000"/>
                <w:lang w:eastAsia="en-GB"/>
              </w:rPr>
            </w:pPr>
            <w:r w:rsidRPr="00731814">
              <w:rPr>
                <w:rFonts w:cs="Calibri"/>
                <w:color w:val="000000"/>
              </w:rPr>
              <w:t>1.76 (1.13 to 2.74)</w:t>
            </w:r>
          </w:p>
        </w:tc>
        <w:tc>
          <w:tcPr>
            <w:tcW w:w="900" w:type="dxa"/>
            <w:shd w:val="clear" w:color="auto" w:fill="auto"/>
            <w:vAlign w:val="bottom"/>
          </w:tcPr>
          <w:p w14:paraId="793B03D4" w14:textId="77777777" w:rsidR="00322294" w:rsidRPr="00731814" w:rsidRDefault="00322294" w:rsidP="00B97EED">
            <w:pPr>
              <w:jc w:val="center"/>
              <w:rPr>
                <w:rFonts w:cs="Calibri"/>
                <w:color w:val="000000"/>
              </w:rPr>
            </w:pPr>
          </w:p>
        </w:tc>
        <w:tc>
          <w:tcPr>
            <w:tcW w:w="1980" w:type="dxa"/>
            <w:shd w:val="clear" w:color="auto" w:fill="auto"/>
          </w:tcPr>
          <w:p w14:paraId="680ECDFB" w14:textId="77777777" w:rsidR="00322294" w:rsidRPr="00731814" w:rsidRDefault="00322294" w:rsidP="00B97EED">
            <w:pPr>
              <w:jc w:val="center"/>
              <w:rPr>
                <w:rFonts w:cs="Calibri"/>
              </w:rPr>
            </w:pPr>
            <w:r w:rsidRPr="00731814">
              <w:rPr>
                <w:rFonts w:cs="Calibri"/>
              </w:rPr>
              <w:t>1.41 (0.70 to 2.88)</w:t>
            </w:r>
          </w:p>
        </w:tc>
        <w:tc>
          <w:tcPr>
            <w:tcW w:w="900" w:type="dxa"/>
            <w:shd w:val="clear" w:color="auto" w:fill="auto"/>
          </w:tcPr>
          <w:p w14:paraId="1B00FAAA" w14:textId="77777777" w:rsidR="00322294" w:rsidRPr="00731814" w:rsidRDefault="00322294" w:rsidP="00B97EED">
            <w:pPr>
              <w:jc w:val="center"/>
              <w:rPr>
                <w:rFonts w:cs="Calibri"/>
              </w:rPr>
            </w:pPr>
          </w:p>
        </w:tc>
      </w:tr>
      <w:tr w:rsidR="00322294" w:rsidRPr="00731814" w14:paraId="7AC4832F" w14:textId="77777777" w:rsidTr="00B97EED">
        <w:tc>
          <w:tcPr>
            <w:tcW w:w="3472" w:type="dxa"/>
            <w:shd w:val="clear" w:color="auto" w:fill="auto"/>
          </w:tcPr>
          <w:p w14:paraId="184E2C10" w14:textId="77777777" w:rsidR="00322294" w:rsidRPr="00731814" w:rsidRDefault="00322294" w:rsidP="00B97EED">
            <w:pPr>
              <w:rPr>
                <w:rFonts w:cs="Calibri"/>
                <w:b/>
              </w:rPr>
            </w:pPr>
            <w:r w:rsidRPr="00731814">
              <w:rPr>
                <w:rFonts w:cs="Calibri"/>
                <w:b/>
              </w:rPr>
              <w:t>STI diagnosis in the past year</w:t>
            </w:r>
          </w:p>
        </w:tc>
        <w:tc>
          <w:tcPr>
            <w:tcW w:w="776" w:type="dxa"/>
            <w:shd w:val="clear" w:color="auto" w:fill="auto"/>
          </w:tcPr>
          <w:p w14:paraId="09FD1884" w14:textId="77777777" w:rsidR="00322294" w:rsidRPr="00731814" w:rsidRDefault="00322294" w:rsidP="00B97EED">
            <w:pPr>
              <w:jc w:val="center"/>
              <w:rPr>
                <w:rFonts w:cs="Calibri"/>
                <w:b/>
              </w:rPr>
            </w:pPr>
          </w:p>
        </w:tc>
        <w:tc>
          <w:tcPr>
            <w:tcW w:w="972" w:type="dxa"/>
            <w:shd w:val="clear" w:color="auto" w:fill="auto"/>
          </w:tcPr>
          <w:p w14:paraId="4DA223FE" w14:textId="77777777" w:rsidR="00322294" w:rsidRPr="00731814" w:rsidRDefault="00322294" w:rsidP="00B97EED">
            <w:pPr>
              <w:jc w:val="center"/>
              <w:rPr>
                <w:rFonts w:cs="Calibri"/>
                <w:b/>
              </w:rPr>
            </w:pPr>
          </w:p>
        </w:tc>
        <w:tc>
          <w:tcPr>
            <w:tcW w:w="1980" w:type="dxa"/>
            <w:shd w:val="clear" w:color="auto" w:fill="auto"/>
          </w:tcPr>
          <w:p w14:paraId="604BAF46" w14:textId="77777777" w:rsidR="00322294" w:rsidRPr="00731814" w:rsidRDefault="00322294" w:rsidP="00B97EED">
            <w:pPr>
              <w:jc w:val="center"/>
              <w:rPr>
                <w:rFonts w:cs="Calibri"/>
                <w:b/>
              </w:rPr>
            </w:pPr>
          </w:p>
        </w:tc>
        <w:tc>
          <w:tcPr>
            <w:tcW w:w="900" w:type="dxa"/>
            <w:shd w:val="clear" w:color="auto" w:fill="auto"/>
            <w:vAlign w:val="bottom"/>
          </w:tcPr>
          <w:p w14:paraId="528FEEC3" w14:textId="77777777" w:rsidR="00322294" w:rsidRPr="00731814" w:rsidRDefault="00322294" w:rsidP="00B97EED">
            <w:pPr>
              <w:jc w:val="center"/>
              <w:rPr>
                <w:rFonts w:cs="Calibri"/>
              </w:rPr>
            </w:pPr>
          </w:p>
        </w:tc>
        <w:tc>
          <w:tcPr>
            <w:tcW w:w="1980" w:type="dxa"/>
            <w:shd w:val="clear" w:color="auto" w:fill="auto"/>
          </w:tcPr>
          <w:p w14:paraId="76C7A2FA" w14:textId="77777777" w:rsidR="00322294" w:rsidRPr="00731814" w:rsidRDefault="00322294" w:rsidP="00B97EED">
            <w:pPr>
              <w:jc w:val="center"/>
              <w:rPr>
                <w:rFonts w:cs="Calibri"/>
                <w:b/>
              </w:rPr>
            </w:pPr>
          </w:p>
        </w:tc>
        <w:tc>
          <w:tcPr>
            <w:tcW w:w="900" w:type="dxa"/>
            <w:shd w:val="clear" w:color="auto" w:fill="auto"/>
          </w:tcPr>
          <w:p w14:paraId="63C43F7D" w14:textId="77777777" w:rsidR="00322294" w:rsidRPr="00731814" w:rsidRDefault="00322294" w:rsidP="00B97EED">
            <w:pPr>
              <w:jc w:val="center"/>
              <w:rPr>
                <w:rFonts w:cs="Calibri"/>
                <w:b/>
              </w:rPr>
            </w:pPr>
          </w:p>
        </w:tc>
      </w:tr>
      <w:tr w:rsidR="00322294" w:rsidRPr="00731814" w14:paraId="5C4B734E" w14:textId="77777777" w:rsidTr="00B97EED">
        <w:tc>
          <w:tcPr>
            <w:tcW w:w="3472" w:type="dxa"/>
            <w:shd w:val="clear" w:color="auto" w:fill="auto"/>
          </w:tcPr>
          <w:p w14:paraId="5FE9AE0A" w14:textId="77777777" w:rsidR="00322294" w:rsidRPr="00731814" w:rsidRDefault="00322294" w:rsidP="00B97EED">
            <w:pPr>
              <w:rPr>
                <w:rFonts w:cs="Calibri"/>
              </w:rPr>
            </w:pPr>
            <w:r w:rsidRPr="00731814">
              <w:rPr>
                <w:rFonts w:cs="Calibri"/>
              </w:rPr>
              <w:t xml:space="preserve">   No</w:t>
            </w:r>
          </w:p>
        </w:tc>
        <w:tc>
          <w:tcPr>
            <w:tcW w:w="776" w:type="dxa"/>
            <w:shd w:val="clear" w:color="auto" w:fill="auto"/>
          </w:tcPr>
          <w:p w14:paraId="22C69B2A" w14:textId="77777777" w:rsidR="00322294" w:rsidRPr="00731814" w:rsidRDefault="00322294" w:rsidP="00B97EED">
            <w:pPr>
              <w:jc w:val="center"/>
              <w:rPr>
                <w:rFonts w:cs="Calibri"/>
              </w:rPr>
            </w:pPr>
            <w:r w:rsidRPr="00731814">
              <w:rPr>
                <w:rFonts w:cs="Calibri"/>
              </w:rPr>
              <w:t>936</w:t>
            </w:r>
          </w:p>
        </w:tc>
        <w:tc>
          <w:tcPr>
            <w:tcW w:w="972" w:type="dxa"/>
            <w:shd w:val="clear" w:color="auto" w:fill="auto"/>
          </w:tcPr>
          <w:p w14:paraId="383B5274" w14:textId="77777777" w:rsidR="00322294" w:rsidRPr="00731814" w:rsidRDefault="00322294" w:rsidP="00B97EED">
            <w:pPr>
              <w:jc w:val="center"/>
              <w:rPr>
                <w:rFonts w:cs="Calibri"/>
              </w:rPr>
            </w:pPr>
            <w:r w:rsidRPr="00731814">
              <w:rPr>
                <w:rFonts w:cs="Calibri"/>
              </w:rPr>
              <w:t>125 (13)</w:t>
            </w:r>
          </w:p>
        </w:tc>
        <w:tc>
          <w:tcPr>
            <w:tcW w:w="1980" w:type="dxa"/>
            <w:shd w:val="clear" w:color="auto" w:fill="auto"/>
          </w:tcPr>
          <w:p w14:paraId="56D70ED2"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13607099" w14:textId="77777777" w:rsidR="00322294" w:rsidRPr="00731814" w:rsidRDefault="00322294" w:rsidP="00B97EED">
            <w:pPr>
              <w:jc w:val="center"/>
              <w:rPr>
                <w:rFonts w:cs="Calibri"/>
                <w:color w:val="000000"/>
              </w:rPr>
            </w:pPr>
            <w:r w:rsidRPr="00731814">
              <w:rPr>
                <w:rFonts w:cs="Calibri"/>
                <w:color w:val="000000"/>
              </w:rPr>
              <w:t>0.065</w:t>
            </w:r>
          </w:p>
        </w:tc>
        <w:tc>
          <w:tcPr>
            <w:tcW w:w="1980" w:type="dxa"/>
            <w:shd w:val="clear" w:color="auto" w:fill="auto"/>
          </w:tcPr>
          <w:p w14:paraId="75CC5D0B"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3C1A696E" w14:textId="77777777" w:rsidR="00322294" w:rsidRPr="00731814" w:rsidRDefault="00322294" w:rsidP="00B97EED">
            <w:pPr>
              <w:jc w:val="center"/>
              <w:rPr>
                <w:rFonts w:cs="Calibri"/>
              </w:rPr>
            </w:pPr>
            <w:r w:rsidRPr="00731814">
              <w:rPr>
                <w:rFonts w:cs="Calibri"/>
              </w:rPr>
              <w:t>0.076</w:t>
            </w:r>
          </w:p>
        </w:tc>
      </w:tr>
      <w:tr w:rsidR="00322294" w:rsidRPr="00731814" w14:paraId="291E1371" w14:textId="77777777" w:rsidTr="00B97EED">
        <w:tc>
          <w:tcPr>
            <w:tcW w:w="3472" w:type="dxa"/>
            <w:shd w:val="clear" w:color="auto" w:fill="auto"/>
          </w:tcPr>
          <w:p w14:paraId="55936913" w14:textId="77777777" w:rsidR="00322294" w:rsidRPr="00731814" w:rsidRDefault="00322294" w:rsidP="00B97EED">
            <w:pPr>
              <w:rPr>
                <w:rFonts w:cs="Calibri"/>
              </w:rPr>
            </w:pPr>
            <w:r w:rsidRPr="00731814">
              <w:rPr>
                <w:rFonts w:cs="Calibri"/>
              </w:rPr>
              <w:t xml:space="preserve">   Yes</w:t>
            </w:r>
          </w:p>
        </w:tc>
        <w:tc>
          <w:tcPr>
            <w:tcW w:w="776" w:type="dxa"/>
            <w:shd w:val="clear" w:color="auto" w:fill="auto"/>
          </w:tcPr>
          <w:p w14:paraId="1332F3C5" w14:textId="77777777" w:rsidR="00322294" w:rsidRPr="00731814" w:rsidRDefault="00322294" w:rsidP="00B97EED">
            <w:pPr>
              <w:jc w:val="center"/>
              <w:rPr>
                <w:rFonts w:cs="Calibri"/>
              </w:rPr>
            </w:pPr>
            <w:r w:rsidRPr="00731814">
              <w:rPr>
                <w:rFonts w:cs="Calibri"/>
              </w:rPr>
              <w:t>183</w:t>
            </w:r>
          </w:p>
        </w:tc>
        <w:tc>
          <w:tcPr>
            <w:tcW w:w="972" w:type="dxa"/>
            <w:shd w:val="clear" w:color="auto" w:fill="auto"/>
          </w:tcPr>
          <w:p w14:paraId="24BE7554" w14:textId="77777777" w:rsidR="00322294" w:rsidRPr="00731814" w:rsidRDefault="00322294" w:rsidP="00B97EED">
            <w:pPr>
              <w:jc w:val="center"/>
              <w:rPr>
                <w:rFonts w:cs="Calibri"/>
              </w:rPr>
            </w:pPr>
            <w:r w:rsidRPr="00731814">
              <w:rPr>
                <w:rFonts w:cs="Calibri"/>
              </w:rPr>
              <w:t xml:space="preserve">  34 (19)</w:t>
            </w:r>
          </w:p>
        </w:tc>
        <w:tc>
          <w:tcPr>
            <w:tcW w:w="1980" w:type="dxa"/>
            <w:shd w:val="clear" w:color="auto" w:fill="auto"/>
          </w:tcPr>
          <w:p w14:paraId="39A7EA2A" w14:textId="77777777" w:rsidR="00322294" w:rsidRPr="00731814" w:rsidRDefault="00322294" w:rsidP="00B97EED">
            <w:pPr>
              <w:jc w:val="center"/>
              <w:rPr>
                <w:rFonts w:cs="Calibri"/>
                <w:color w:val="000000"/>
                <w:lang w:eastAsia="en-GB"/>
              </w:rPr>
            </w:pPr>
            <w:r w:rsidRPr="00731814">
              <w:rPr>
                <w:rFonts w:cs="Calibri"/>
                <w:color w:val="000000"/>
              </w:rPr>
              <w:t>1.48 (0.98 to 2.25)</w:t>
            </w:r>
          </w:p>
        </w:tc>
        <w:tc>
          <w:tcPr>
            <w:tcW w:w="900" w:type="dxa"/>
            <w:shd w:val="clear" w:color="auto" w:fill="auto"/>
            <w:vAlign w:val="bottom"/>
          </w:tcPr>
          <w:p w14:paraId="79CF0E24" w14:textId="77777777" w:rsidR="00322294" w:rsidRPr="00731814" w:rsidRDefault="00322294" w:rsidP="00B97EED">
            <w:pPr>
              <w:jc w:val="center"/>
              <w:rPr>
                <w:rFonts w:cs="Calibri"/>
                <w:color w:val="000000"/>
              </w:rPr>
            </w:pPr>
          </w:p>
        </w:tc>
        <w:tc>
          <w:tcPr>
            <w:tcW w:w="1980" w:type="dxa"/>
            <w:shd w:val="clear" w:color="auto" w:fill="auto"/>
          </w:tcPr>
          <w:p w14:paraId="175E86D2" w14:textId="77777777" w:rsidR="00322294" w:rsidRPr="00731814" w:rsidRDefault="00322294" w:rsidP="00B97EED">
            <w:pPr>
              <w:jc w:val="center"/>
              <w:rPr>
                <w:rFonts w:cs="Calibri"/>
              </w:rPr>
            </w:pPr>
            <w:r w:rsidRPr="00731814">
              <w:rPr>
                <w:rFonts w:cs="Calibri"/>
              </w:rPr>
              <w:t>1.72 (0.95 to 3.14)</w:t>
            </w:r>
          </w:p>
        </w:tc>
        <w:tc>
          <w:tcPr>
            <w:tcW w:w="900" w:type="dxa"/>
            <w:shd w:val="clear" w:color="auto" w:fill="auto"/>
          </w:tcPr>
          <w:p w14:paraId="2066F6FD" w14:textId="77777777" w:rsidR="00322294" w:rsidRPr="00731814" w:rsidRDefault="00322294" w:rsidP="00B97EED">
            <w:pPr>
              <w:jc w:val="center"/>
              <w:rPr>
                <w:rFonts w:cs="Calibri"/>
              </w:rPr>
            </w:pPr>
          </w:p>
        </w:tc>
      </w:tr>
      <w:tr w:rsidR="00322294" w:rsidRPr="00731814" w14:paraId="1305ED48" w14:textId="77777777" w:rsidTr="00B97EED">
        <w:tc>
          <w:tcPr>
            <w:tcW w:w="3472" w:type="dxa"/>
            <w:shd w:val="clear" w:color="auto" w:fill="auto"/>
          </w:tcPr>
          <w:p w14:paraId="01DC8D21" w14:textId="77777777" w:rsidR="00322294" w:rsidRPr="00731814" w:rsidRDefault="00322294" w:rsidP="00B97EED">
            <w:pPr>
              <w:rPr>
                <w:rFonts w:cs="Calibri"/>
                <w:b/>
              </w:rPr>
            </w:pPr>
            <w:r w:rsidRPr="00731814">
              <w:rPr>
                <w:rFonts w:cs="Calibri"/>
                <w:b/>
              </w:rPr>
              <w:t>Syphilis</w:t>
            </w:r>
          </w:p>
        </w:tc>
        <w:tc>
          <w:tcPr>
            <w:tcW w:w="776" w:type="dxa"/>
            <w:shd w:val="clear" w:color="auto" w:fill="auto"/>
          </w:tcPr>
          <w:p w14:paraId="051ECB83" w14:textId="77777777" w:rsidR="00322294" w:rsidRPr="00731814" w:rsidRDefault="00322294" w:rsidP="00B97EED">
            <w:pPr>
              <w:jc w:val="center"/>
              <w:rPr>
                <w:rFonts w:cs="Calibri"/>
                <w:b/>
              </w:rPr>
            </w:pPr>
          </w:p>
        </w:tc>
        <w:tc>
          <w:tcPr>
            <w:tcW w:w="972" w:type="dxa"/>
            <w:shd w:val="clear" w:color="auto" w:fill="auto"/>
          </w:tcPr>
          <w:p w14:paraId="09720DA1" w14:textId="77777777" w:rsidR="00322294" w:rsidRPr="00731814" w:rsidRDefault="00322294" w:rsidP="00B97EED">
            <w:pPr>
              <w:jc w:val="center"/>
              <w:rPr>
                <w:rFonts w:cs="Calibri"/>
                <w:b/>
              </w:rPr>
            </w:pPr>
          </w:p>
        </w:tc>
        <w:tc>
          <w:tcPr>
            <w:tcW w:w="1980" w:type="dxa"/>
            <w:shd w:val="clear" w:color="auto" w:fill="auto"/>
          </w:tcPr>
          <w:p w14:paraId="778183F6" w14:textId="77777777" w:rsidR="00322294" w:rsidRPr="00731814" w:rsidRDefault="00322294" w:rsidP="00B97EED">
            <w:pPr>
              <w:jc w:val="center"/>
              <w:rPr>
                <w:rFonts w:cs="Calibri"/>
                <w:b/>
              </w:rPr>
            </w:pPr>
          </w:p>
        </w:tc>
        <w:tc>
          <w:tcPr>
            <w:tcW w:w="900" w:type="dxa"/>
            <w:shd w:val="clear" w:color="auto" w:fill="auto"/>
            <w:vAlign w:val="bottom"/>
          </w:tcPr>
          <w:p w14:paraId="3EB064F0" w14:textId="77777777" w:rsidR="00322294" w:rsidRPr="00731814" w:rsidRDefault="00322294" w:rsidP="00B97EED">
            <w:pPr>
              <w:jc w:val="center"/>
              <w:rPr>
                <w:rFonts w:cs="Calibri"/>
              </w:rPr>
            </w:pPr>
          </w:p>
        </w:tc>
        <w:tc>
          <w:tcPr>
            <w:tcW w:w="1980" w:type="dxa"/>
            <w:shd w:val="clear" w:color="auto" w:fill="auto"/>
          </w:tcPr>
          <w:p w14:paraId="101D25C7" w14:textId="77777777" w:rsidR="00322294" w:rsidRPr="00731814" w:rsidRDefault="00322294" w:rsidP="00B97EED">
            <w:pPr>
              <w:jc w:val="center"/>
              <w:rPr>
                <w:rFonts w:cs="Calibri"/>
                <w:b/>
              </w:rPr>
            </w:pPr>
          </w:p>
        </w:tc>
        <w:tc>
          <w:tcPr>
            <w:tcW w:w="900" w:type="dxa"/>
            <w:shd w:val="clear" w:color="auto" w:fill="auto"/>
          </w:tcPr>
          <w:p w14:paraId="493F0DEC" w14:textId="77777777" w:rsidR="00322294" w:rsidRPr="00731814" w:rsidRDefault="00322294" w:rsidP="00B97EED">
            <w:pPr>
              <w:jc w:val="center"/>
              <w:rPr>
                <w:rFonts w:cs="Calibri"/>
                <w:b/>
              </w:rPr>
            </w:pPr>
          </w:p>
        </w:tc>
      </w:tr>
      <w:tr w:rsidR="00322294" w:rsidRPr="00731814" w14:paraId="2B32E9F9" w14:textId="77777777" w:rsidTr="00B97EED">
        <w:tc>
          <w:tcPr>
            <w:tcW w:w="3472" w:type="dxa"/>
            <w:shd w:val="clear" w:color="auto" w:fill="auto"/>
          </w:tcPr>
          <w:p w14:paraId="656C8EC3" w14:textId="77777777" w:rsidR="00322294" w:rsidRPr="00731814" w:rsidRDefault="00322294" w:rsidP="00B97EED">
            <w:pPr>
              <w:rPr>
                <w:rFonts w:cs="Calibri"/>
              </w:rPr>
            </w:pPr>
            <w:r w:rsidRPr="00731814">
              <w:rPr>
                <w:rFonts w:cs="Calibri"/>
              </w:rPr>
              <w:t xml:space="preserve">   Negative</w:t>
            </w:r>
          </w:p>
        </w:tc>
        <w:tc>
          <w:tcPr>
            <w:tcW w:w="776" w:type="dxa"/>
            <w:shd w:val="clear" w:color="auto" w:fill="auto"/>
          </w:tcPr>
          <w:p w14:paraId="10ADC41B" w14:textId="77777777" w:rsidR="00322294" w:rsidRPr="00731814" w:rsidRDefault="00322294" w:rsidP="00B97EED">
            <w:pPr>
              <w:jc w:val="center"/>
              <w:rPr>
                <w:rFonts w:cs="Calibri"/>
              </w:rPr>
            </w:pPr>
            <w:r w:rsidRPr="00731814">
              <w:rPr>
                <w:rFonts w:cs="Calibri"/>
              </w:rPr>
              <w:t>944</w:t>
            </w:r>
          </w:p>
        </w:tc>
        <w:tc>
          <w:tcPr>
            <w:tcW w:w="972" w:type="dxa"/>
            <w:shd w:val="clear" w:color="auto" w:fill="auto"/>
          </w:tcPr>
          <w:p w14:paraId="7548FD8C" w14:textId="77777777" w:rsidR="00322294" w:rsidRPr="00731814" w:rsidRDefault="00322294" w:rsidP="00B97EED">
            <w:pPr>
              <w:jc w:val="center"/>
              <w:rPr>
                <w:rFonts w:cs="Calibri"/>
              </w:rPr>
            </w:pPr>
            <w:r w:rsidRPr="00731814">
              <w:rPr>
                <w:rFonts w:cs="Calibri"/>
              </w:rPr>
              <w:t>116 (12)</w:t>
            </w:r>
          </w:p>
        </w:tc>
        <w:tc>
          <w:tcPr>
            <w:tcW w:w="1980" w:type="dxa"/>
            <w:shd w:val="clear" w:color="auto" w:fill="auto"/>
          </w:tcPr>
          <w:p w14:paraId="0C33D77A" w14:textId="77777777" w:rsidR="00322294" w:rsidRPr="00731814" w:rsidRDefault="00322294" w:rsidP="00B97EED">
            <w:pPr>
              <w:jc w:val="center"/>
              <w:rPr>
                <w:rFonts w:cs="Calibri"/>
              </w:rPr>
            </w:pPr>
            <w:r w:rsidRPr="00731814">
              <w:rPr>
                <w:rFonts w:cs="Calibri"/>
              </w:rPr>
              <w:t>1</w:t>
            </w:r>
          </w:p>
        </w:tc>
        <w:tc>
          <w:tcPr>
            <w:tcW w:w="900" w:type="dxa"/>
            <w:shd w:val="clear" w:color="auto" w:fill="auto"/>
            <w:vAlign w:val="bottom"/>
          </w:tcPr>
          <w:p w14:paraId="3BDE2149" w14:textId="77777777" w:rsidR="00322294" w:rsidRPr="00731814" w:rsidRDefault="00322294" w:rsidP="00B97EED">
            <w:pPr>
              <w:jc w:val="center"/>
              <w:rPr>
                <w:rFonts w:cs="Calibri"/>
                <w:color w:val="000000"/>
              </w:rPr>
            </w:pPr>
            <w:r w:rsidRPr="00731814">
              <w:rPr>
                <w:rFonts w:cs="Calibri"/>
                <w:color w:val="000000"/>
              </w:rPr>
              <w:t>&lt;0.001</w:t>
            </w:r>
          </w:p>
        </w:tc>
        <w:tc>
          <w:tcPr>
            <w:tcW w:w="1980" w:type="dxa"/>
            <w:shd w:val="clear" w:color="auto" w:fill="auto"/>
          </w:tcPr>
          <w:p w14:paraId="53AFCFAD"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1ABEF7BE" w14:textId="77777777" w:rsidR="00322294" w:rsidRPr="00731814" w:rsidRDefault="00322294" w:rsidP="00B97EED">
            <w:pPr>
              <w:jc w:val="center"/>
              <w:rPr>
                <w:rFonts w:cs="Calibri"/>
              </w:rPr>
            </w:pPr>
            <w:r w:rsidRPr="00731814">
              <w:rPr>
                <w:rFonts w:cs="Calibri"/>
              </w:rPr>
              <w:t>0.003</w:t>
            </w:r>
          </w:p>
        </w:tc>
      </w:tr>
      <w:tr w:rsidR="00322294" w:rsidRPr="00731814" w14:paraId="2BE1BAFF" w14:textId="77777777" w:rsidTr="00B97EED">
        <w:tc>
          <w:tcPr>
            <w:tcW w:w="3472" w:type="dxa"/>
            <w:shd w:val="clear" w:color="auto" w:fill="auto"/>
          </w:tcPr>
          <w:p w14:paraId="5B46C6E7" w14:textId="77777777" w:rsidR="00322294" w:rsidRPr="00731814" w:rsidRDefault="00322294" w:rsidP="00B97EED">
            <w:pPr>
              <w:rPr>
                <w:rFonts w:cs="Calibri"/>
              </w:rPr>
            </w:pPr>
            <w:r w:rsidRPr="00731814">
              <w:rPr>
                <w:rFonts w:cs="Calibri"/>
              </w:rPr>
              <w:t xml:space="preserve">   Positive</w:t>
            </w:r>
          </w:p>
        </w:tc>
        <w:tc>
          <w:tcPr>
            <w:tcW w:w="776" w:type="dxa"/>
            <w:shd w:val="clear" w:color="auto" w:fill="auto"/>
          </w:tcPr>
          <w:p w14:paraId="454976C4" w14:textId="77777777" w:rsidR="00322294" w:rsidRPr="00731814" w:rsidRDefault="00322294" w:rsidP="00B97EED">
            <w:pPr>
              <w:jc w:val="center"/>
              <w:rPr>
                <w:rFonts w:cs="Calibri"/>
              </w:rPr>
            </w:pPr>
            <w:r w:rsidRPr="00731814">
              <w:rPr>
                <w:rFonts w:cs="Calibri"/>
              </w:rPr>
              <w:t>175</w:t>
            </w:r>
          </w:p>
        </w:tc>
        <w:tc>
          <w:tcPr>
            <w:tcW w:w="972" w:type="dxa"/>
            <w:shd w:val="clear" w:color="auto" w:fill="auto"/>
          </w:tcPr>
          <w:p w14:paraId="2E5E17CB" w14:textId="77777777" w:rsidR="00322294" w:rsidRPr="00731814" w:rsidRDefault="00322294" w:rsidP="00B97EED">
            <w:pPr>
              <w:jc w:val="center"/>
              <w:rPr>
                <w:rFonts w:cs="Calibri"/>
              </w:rPr>
            </w:pPr>
            <w:r w:rsidRPr="00731814">
              <w:rPr>
                <w:rFonts w:cs="Calibri"/>
              </w:rPr>
              <w:t xml:space="preserve">  41 (23)</w:t>
            </w:r>
          </w:p>
        </w:tc>
        <w:tc>
          <w:tcPr>
            <w:tcW w:w="1980" w:type="dxa"/>
            <w:shd w:val="clear" w:color="auto" w:fill="auto"/>
          </w:tcPr>
          <w:p w14:paraId="6AC3915F" w14:textId="77777777" w:rsidR="00322294" w:rsidRPr="00731814" w:rsidRDefault="00322294" w:rsidP="00B97EED">
            <w:pPr>
              <w:jc w:val="center"/>
              <w:rPr>
                <w:rFonts w:cs="Calibri"/>
                <w:color w:val="000000"/>
                <w:lang w:eastAsia="en-GB"/>
              </w:rPr>
            </w:pPr>
            <w:r w:rsidRPr="00731814">
              <w:rPr>
                <w:rFonts w:cs="Calibri"/>
                <w:color w:val="000000"/>
              </w:rPr>
              <w:t>2.18 (1.46 to 3.26)</w:t>
            </w:r>
          </w:p>
        </w:tc>
        <w:tc>
          <w:tcPr>
            <w:tcW w:w="900" w:type="dxa"/>
            <w:shd w:val="clear" w:color="auto" w:fill="auto"/>
            <w:vAlign w:val="bottom"/>
          </w:tcPr>
          <w:p w14:paraId="6BACE66A" w14:textId="77777777" w:rsidR="00322294" w:rsidRPr="00731814" w:rsidRDefault="00322294" w:rsidP="00B97EED">
            <w:pPr>
              <w:jc w:val="right"/>
              <w:rPr>
                <w:rFonts w:cs="Calibri"/>
                <w:color w:val="000000"/>
              </w:rPr>
            </w:pPr>
          </w:p>
        </w:tc>
        <w:tc>
          <w:tcPr>
            <w:tcW w:w="1980" w:type="dxa"/>
            <w:shd w:val="clear" w:color="auto" w:fill="auto"/>
          </w:tcPr>
          <w:p w14:paraId="631068D7" w14:textId="77777777" w:rsidR="00322294" w:rsidRPr="00731814" w:rsidRDefault="00322294" w:rsidP="00B97EED">
            <w:pPr>
              <w:jc w:val="center"/>
              <w:rPr>
                <w:rFonts w:cs="Calibri"/>
              </w:rPr>
            </w:pPr>
            <w:r w:rsidRPr="00731814">
              <w:rPr>
                <w:rFonts w:cs="Calibri"/>
              </w:rPr>
              <w:t>2.38 (1.34 to 4.22)</w:t>
            </w:r>
          </w:p>
        </w:tc>
        <w:tc>
          <w:tcPr>
            <w:tcW w:w="900" w:type="dxa"/>
            <w:shd w:val="clear" w:color="auto" w:fill="auto"/>
          </w:tcPr>
          <w:p w14:paraId="0792F586" w14:textId="77777777" w:rsidR="00322294" w:rsidRPr="00731814" w:rsidRDefault="00322294" w:rsidP="00B97EED">
            <w:pPr>
              <w:jc w:val="center"/>
              <w:rPr>
                <w:rFonts w:cs="Calibri"/>
              </w:rPr>
            </w:pPr>
          </w:p>
        </w:tc>
      </w:tr>
      <w:tr w:rsidR="00322294" w:rsidRPr="00731814" w14:paraId="59B73629" w14:textId="77777777" w:rsidTr="00B97EED">
        <w:tc>
          <w:tcPr>
            <w:tcW w:w="3472" w:type="dxa"/>
            <w:shd w:val="clear" w:color="auto" w:fill="auto"/>
          </w:tcPr>
          <w:p w14:paraId="0DCF8DA6" w14:textId="77777777" w:rsidR="00322294" w:rsidRPr="00731814" w:rsidRDefault="00322294" w:rsidP="00B97EED">
            <w:pPr>
              <w:rPr>
                <w:rFonts w:cs="Calibri"/>
              </w:rPr>
            </w:pPr>
            <w:r w:rsidRPr="00731814">
              <w:rPr>
                <w:rFonts w:cs="Calibri"/>
                <w:b/>
              </w:rPr>
              <w:t>Schistosome infection (all)*</w:t>
            </w:r>
          </w:p>
        </w:tc>
        <w:tc>
          <w:tcPr>
            <w:tcW w:w="776" w:type="dxa"/>
            <w:shd w:val="clear" w:color="auto" w:fill="auto"/>
          </w:tcPr>
          <w:p w14:paraId="6E79D7F1" w14:textId="77777777" w:rsidR="00322294" w:rsidRPr="00731814" w:rsidRDefault="00322294" w:rsidP="00B97EED">
            <w:pPr>
              <w:jc w:val="center"/>
              <w:rPr>
                <w:rFonts w:cs="Calibri"/>
              </w:rPr>
            </w:pPr>
          </w:p>
        </w:tc>
        <w:tc>
          <w:tcPr>
            <w:tcW w:w="972" w:type="dxa"/>
            <w:shd w:val="clear" w:color="auto" w:fill="auto"/>
          </w:tcPr>
          <w:p w14:paraId="535E330F" w14:textId="77777777" w:rsidR="00322294" w:rsidRPr="00731814" w:rsidRDefault="00322294" w:rsidP="00B97EED">
            <w:pPr>
              <w:jc w:val="center"/>
              <w:rPr>
                <w:rFonts w:cs="Calibri"/>
              </w:rPr>
            </w:pPr>
          </w:p>
        </w:tc>
        <w:tc>
          <w:tcPr>
            <w:tcW w:w="1980" w:type="dxa"/>
            <w:shd w:val="clear" w:color="auto" w:fill="auto"/>
          </w:tcPr>
          <w:p w14:paraId="5FD99FB0" w14:textId="77777777" w:rsidR="00322294" w:rsidRPr="00731814" w:rsidRDefault="00322294" w:rsidP="00B97EED">
            <w:pPr>
              <w:jc w:val="center"/>
              <w:rPr>
                <w:rFonts w:cs="Calibri"/>
                <w:color w:val="000000"/>
              </w:rPr>
            </w:pPr>
          </w:p>
        </w:tc>
        <w:tc>
          <w:tcPr>
            <w:tcW w:w="900" w:type="dxa"/>
            <w:shd w:val="clear" w:color="auto" w:fill="auto"/>
            <w:vAlign w:val="bottom"/>
          </w:tcPr>
          <w:p w14:paraId="3AD00997" w14:textId="77777777" w:rsidR="00322294" w:rsidRPr="00731814" w:rsidRDefault="00322294" w:rsidP="00B97EED">
            <w:pPr>
              <w:jc w:val="right"/>
              <w:rPr>
                <w:rFonts w:cs="Calibri"/>
                <w:color w:val="000000"/>
              </w:rPr>
            </w:pPr>
          </w:p>
        </w:tc>
        <w:tc>
          <w:tcPr>
            <w:tcW w:w="1980" w:type="dxa"/>
            <w:shd w:val="clear" w:color="auto" w:fill="auto"/>
          </w:tcPr>
          <w:p w14:paraId="5A0CB9D9" w14:textId="77777777" w:rsidR="00322294" w:rsidRPr="00731814" w:rsidDel="00543A71" w:rsidRDefault="00322294" w:rsidP="00B97EED">
            <w:pPr>
              <w:jc w:val="center"/>
              <w:rPr>
                <w:rFonts w:cs="Calibri"/>
              </w:rPr>
            </w:pPr>
          </w:p>
        </w:tc>
        <w:tc>
          <w:tcPr>
            <w:tcW w:w="900" w:type="dxa"/>
            <w:shd w:val="clear" w:color="auto" w:fill="auto"/>
          </w:tcPr>
          <w:p w14:paraId="3542AB6D" w14:textId="77777777" w:rsidR="00322294" w:rsidRPr="00731814" w:rsidRDefault="00322294" w:rsidP="00B97EED">
            <w:pPr>
              <w:jc w:val="center"/>
              <w:rPr>
                <w:rFonts w:cs="Calibri"/>
              </w:rPr>
            </w:pPr>
          </w:p>
        </w:tc>
      </w:tr>
      <w:tr w:rsidR="00322294" w:rsidRPr="00731814" w14:paraId="03DEC25F" w14:textId="77777777" w:rsidTr="00B97EED">
        <w:tc>
          <w:tcPr>
            <w:tcW w:w="3472" w:type="dxa"/>
            <w:shd w:val="clear" w:color="auto" w:fill="auto"/>
          </w:tcPr>
          <w:p w14:paraId="64A59A42" w14:textId="77777777" w:rsidR="00322294" w:rsidRPr="00731814" w:rsidRDefault="00322294" w:rsidP="00B97EED">
            <w:pPr>
              <w:rPr>
                <w:rFonts w:cs="Calibri"/>
              </w:rPr>
            </w:pPr>
            <w:r w:rsidRPr="00731814">
              <w:rPr>
                <w:rFonts w:cs="Calibri"/>
              </w:rPr>
              <w:t xml:space="preserve">   Negative</w:t>
            </w:r>
          </w:p>
        </w:tc>
        <w:tc>
          <w:tcPr>
            <w:tcW w:w="776" w:type="dxa"/>
            <w:shd w:val="clear" w:color="auto" w:fill="auto"/>
          </w:tcPr>
          <w:p w14:paraId="401BCE3D" w14:textId="77777777" w:rsidR="00322294" w:rsidRPr="00731814" w:rsidRDefault="00322294" w:rsidP="00B97EED">
            <w:pPr>
              <w:jc w:val="center"/>
              <w:rPr>
                <w:rFonts w:cs="Calibri"/>
              </w:rPr>
            </w:pPr>
            <w:r w:rsidRPr="00731814">
              <w:rPr>
                <w:rFonts w:cs="Calibri"/>
              </w:rPr>
              <w:t>190</w:t>
            </w:r>
          </w:p>
        </w:tc>
        <w:tc>
          <w:tcPr>
            <w:tcW w:w="972" w:type="dxa"/>
            <w:shd w:val="clear" w:color="auto" w:fill="auto"/>
          </w:tcPr>
          <w:p w14:paraId="05C3C218" w14:textId="77777777" w:rsidR="00322294" w:rsidRPr="00731814" w:rsidRDefault="00322294" w:rsidP="00B97EED">
            <w:pPr>
              <w:jc w:val="center"/>
              <w:rPr>
                <w:rFonts w:cs="Calibri"/>
              </w:rPr>
            </w:pPr>
            <w:r w:rsidRPr="00731814">
              <w:rPr>
                <w:rFonts w:cs="Calibri"/>
              </w:rPr>
              <w:t>22 (12)</w:t>
            </w:r>
          </w:p>
        </w:tc>
        <w:tc>
          <w:tcPr>
            <w:tcW w:w="1980" w:type="dxa"/>
            <w:shd w:val="clear" w:color="auto" w:fill="auto"/>
          </w:tcPr>
          <w:p w14:paraId="41F9D495"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285D2502" w14:textId="77777777" w:rsidR="00322294" w:rsidRPr="00731814" w:rsidRDefault="00322294" w:rsidP="00B97EED">
            <w:pPr>
              <w:jc w:val="center"/>
              <w:rPr>
                <w:rFonts w:cs="Calibri"/>
              </w:rPr>
            </w:pPr>
            <w:r w:rsidRPr="00731814">
              <w:rPr>
                <w:rFonts w:cs="Calibri"/>
              </w:rPr>
              <w:t>0.489</w:t>
            </w:r>
          </w:p>
        </w:tc>
        <w:tc>
          <w:tcPr>
            <w:tcW w:w="1980" w:type="dxa"/>
            <w:shd w:val="clear" w:color="auto" w:fill="auto"/>
          </w:tcPr>
          <w:p w14:paraId="18617F24"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6F575181" w14:textId="77777777" w:rsidR="00322294" w:rsidRPr="00731814" w:rsidRDefault="00322294" w:rsidP="00B97EED">
            <w:pPr>
              <w:jc w:val="center"/>
              <w:rPr>
                <w:rFonts w:cs="Calibri"/>
              </w:rPr>
            </w:pPr>
            <w:r w:rsidRPr="00731814">
              <w:rPr>
                <w:rFonts w:cs="Calibri"/>
              </w:rPr>
              <w:t>0.392</w:t>
            </w:r>
          </w:p>
        </w:tc>
      </w:tr>
      <w:tr w:rsidR="00322294" w:rsidRPr="00731814" w14:paraId="044D6D3C" w14:textId="77777777" w:rsidTr="00B97EED">
        <w:tc>
          <w:tcPr>
            <w:tcW w:w="3472" w:type="dxa"/>
            <w:shd w:val="clear" w:color="auto" w:fill="auto"/>
          </w:tcPr>
          <w:p w14:paraId="13D35769" w14:textId="77777777" w:rsidR="00322294" w:rsidRPr="00731814" w:rsidRDefault="00322294" w:rsidP="00B97EED">
            <w:pPr>
              <w:rPr>
                <w:rFonts w:cs="Calibri"/>
              </w:rPr>
            </w:pPr>
            <w:r w:rsidRPr="00731814">
              <w:rPr>
                <w:rFonts w:cs="Calibri"/>
              </w:rPr>
              <w:t xml:space="preserve">   Low to moderate</w:t>
            </w:r>
          </w:p>
        </w:tc>
        <w:tc>
          <w:tcPr>
            <w:tcW w:w="776" w:type="dxa"/>
            <w:shd w:val="clear" w:color="auto" w:fill="auto"/>
          </w:tcPr>
          <w:p w14:paraId="2DCD00A8" w14:textId="77777777" w:rsidR="00322294" w:rsidRPr="00731814" w:rsidRDefault="00322294" w:rsidP="00B97EED">
            <w:pPr>
              <w:jc w:val="center"/>
              <w:rPr>
                <w:rFonts w:cs="Calibri"/>
              </w:rPr>
            </w:pPr>
            <w:r w:rsidRPr="00731814">
              <w:rPr>
                <w:rFonts w:cs="Calibri"/>
              </w:rPr>
              <w:t>484</w:t>
            </w:r>
          </w:p>
        </w:tc>
        <w:tc>
          <w:tcPr>
            <w:tcW w:w="972" w:type="dxa"/>
            <w:shd w:val="clear" w:color="auto" w:fill="auto"/>
          </w:tcPr>
          <w:p w14:paraId="2C9EF8A3" w14:textId="77777777" w:rsidR="00322294" w:rsidRPr="00731814" w:rsidRDefault="00322294" w:rsidP="00B97EED">
            <w:pPr>
              <w:jc w:val="center"/>
              <w:rPr>
                <w:rFonts w:cs="Calibri"/>
              </w:rPr>
            </w:pPr>
            <w:r w:rsidRPr="00731814">
              <w:rPr>
                <w:rFonts w:cs="Calibri"/>
              </w:rPr>
              <w:t>68 (14)</w:t>
            </w:r>
          </w:p>
        </w:tc>
        <w:tc>
          <w:tcPr>
            <w:tcW w:w="1980" w:type="dxa"/>
            <w:shd w:val="clear" w:color="auto" w:fill="auto"/>
          </w:tcPr>
          <w:p w14:paraId="69B54341" w14:textId="77777777" w:rsidR="00322294" w:rsidRPr="00731814" w:rsidRDefault="00322294" w:rsidP="00B97EED">
            <w:pPr>
              <w:jc w:val="center"/>
              <w:rPr>
                <w:rFonts w:cs="Calibri"/>
              </w:rPr>
            </w:pPr>
            <w:r w:rsidRPr="00731814">
              <w:rPr>
                <w:rFonts w:cs="Calibri"/>
              </w:rPr>
              <w:t>1.25 (0.75 to 2.09)</w:t>
            </w:r>
          </w:p>
        </w:tc>
        <w:tc>
          <w:tcPr>
            <w:tcW w:w="900" w:type="dxa"/>
            <w:shd w:val="clear" w:color="auto" w:fill="auto"/>
          </w:tcPr>
          <w:p w14:paraId="69E1FDBC" w14:textId="77777777" w:rsidR="00322294" w:rsidRPr="00731814" w:rsidRDefault="00322294" w:rsidP="00B97EED">
            <w:pPr>
              <w:jc w:val="center"/>
              <w:rPr>
                <w:rFonts w:cs="Calibri"/>
              </w:rPr>
            </w:pPr>
          </w:p>
        </w:tc>
        <w:tc>
          <w:tcPr>
            <w:tcW w:w="1980" w:type="dxa"/>
            <w:shd w:val="clear" w:color="auto" w:fill="auto"/>
          </w:tcPr>
          <w:p w14:paraId="1DD00F6F" w14:textId="77777777" w:rsidR="00322294" w:rsidRPr="00731814" w:rsidRDefault="00322294" w:rsidP="00B97EED">
            <w:pPr>
              <w:jc w:val="center"/>
              <w:rPr>
                <w:rFonts w:cs="Calibri"/>
              </w:rPr>
            </w:pPr>
            <w:r w:rsidRPr="00731814">
              <w:rPr>
                <w:rFonts w:cs="Calibri"/>
              </w:rPr>
              <w:t>1.29 (0.63 to 2.65)</w:t>
            </w:r>
          </w:p>
        </w:tc>
        <w:tc>
          <w:tcPr>
            <w:tcW w:w="900" w:type="dxa"/>
            <w:shd w:val="clear" w:color="auto" w:fill="auto"/>
          </w:tcPr>
          <w:p w14:paraId="51ECCBA5" w14:textId="77777777" w:rsidR="00322294" w:rsidRPr="00731814" w:rsidRDefault="00322294" w:rsidP="00B97EED">
            <w:pPr>
              <w:jc w:val="center"/>
              <w:rPr>
                <w:rFonts w:cs="Calibri"/>
              </w:rPr>
            </w:pPr>
          </w:p>
        </w:tc>
      </w:tr>
      <w:tr w:rsidR="00322294" w:rsidRPr="00731814" w14:paraId="782589D4" w14:textId="77777777" w:rsidTr="00B97EED">
        <w:tc>
          <w:tcPr>
            <w:tcW w:w="3472" w:type="dxa"/>
            <w:shd w:val="clear" w:color="auto" w:fill="auto"/>
          </w:tcPr>
          <w:p w14:paraId="296446AE" w14:textId="77777777" w:rsidR="00322294" w:rsidRPr="00731814" w:rsidRDefault="00322294" w:rsidP="00B97EED">
            <w:pPr>
              <w:rPr>
                <w:rFonts w:cs="Calibri"/>
              </w:rPr>
            </w:pPr>
            <w:r w:rsidRPr="00731814">
              <w:rPr>
                <w:rFonts w:cs="Calibri"/>
              </w:rPr>
              <w:t xml:space="preserve">   Highly positive</w:t>
            </w:r>
          </w:p>
        </w:tc>
        <w:tc>
          <w:tcPr>
            <w:tcW w:w="776" w:type="dxa"/>
            <w:shd w:val="clear" w:color="auto" w:fill="auto"/>
          </w:tcPr>
          <w:p w14:paraId="06F83750" w14:textId="77777777" w:rsidR="00322294" w:rsidRPr="00731814" w:rsidRDefault="00322294" w:rsidP="00B97EED">
            <w:pPr>
              <w:jc w:val="center"/>
              <w:rPr>
                <w:rFonts w:cs="Calibri"/>
              </w:rPr>
            </w:pPr>
            <w:r w:rsidRPr="00731814">
              <w:rPr>
                <w:rFonts w:cs="Calibri"/>
              </w:rPr>
              <w:t>434</w:t>
            </w:r>
          </w:p>
        </w:tc>
        <w:tc>
          <w:tcPr>
            <w:tcW w:w="972" w:type="dxa"/>
            <w:shd w:val="clear" w:color="auto" w:fill="auto"/>
          </w:tcPr>
          <w:p w14:paraId="7B6EB114" w14:textId="77777777" w:rsidR="00322294" w:rsidRPr="00731814" w:rsidRDefault="00322294" w:rsidP="00B97EED">
            <w:pPr>
              <w:jc w:val="center"/>
              <w:rPr>
                <w:rFonts w:cs="Calibri"/>
              </w:rPr>
            </w:pPr>
            <w:r w:rsidRPr="00731814">
              <w:rPr>
                <w:rFonts w:cs="Calibri"/>
              </w:rPr>
              <w:t>66 (15)</w:t>
            </w:r>
          </w:p>
        </w:tc>
        <w:tc>
          <w:tcPr>
            <w:tcW w:w="1980" w:type="dxa"/>
            <w:shd w:val="clear" w:color="auto" w:fill="auto"/>
          </w:tcPr>
          <w:p w14:paraId="608C553C" w14:textId="77777777" w:rsidR="00322294" w:rsidRPr="00731814" w:rsidRDefault="00322294" w:rsidP="00B97EED">
            <w:pPr>
              <w:jc w:val="center"/>
              <w:rPr>
                <w:rFonts w:cs="Calibri"/>
              </w:rPr>
            </w:pPr>
            <w:r w:rsidRPr="00731814">
              <w:rPr>
                <w:rFonts w:cs="Calibri"/>
              </w:rPr>
              <w:t>1.37 (0.82 to 2.29)</w:t>
            </w:r>
          </w:p>
        </w:tc>
        <w:tc>
          <w:tcPr>
            <w:tcW w:w="900" w:type="dxa"/>
            <w:shd w:val="clear" w:color="auto" w:fill="auto"/>
          </w:tcPr>
          <w:p w14:paraId="02AEBA23" w14:textId="77777777" w:rsidR="00322294" w:rsidRPr="00731814" w:rsidRDefault="00322294" w:rsidP="00B97EED">
            <w:pPr>
              <w:jc w:val="center"/>
              <w:rPr>
                <w:rFonts w:cs="Calibri"/>
              </w:rPr>
            </w:pPr>
          </w:p>
        </w:tc>
        <w:tc>
          <w:tcPr>
            <w:tcW w:w="1980" w:type="dxa"/>
            <w:shd w:val="clear" w:color="auto" w:fill="auto"/>
          </w:tcPr>
          <w:p w14:paraId="0427944E" w14:textId="77777777" w:rsidR="00322294" w:rsidRPr="00731814" w:rsidRDefault="00322294" w:rsidP="00B97EED">
            <w:pPr>
              <w:jc w:val="center"/>
              <w:rPr>
                <w:rFonts w:cs="Calibri"/>
              </w:rPr>
            </w:pPr>
            <w:r w:rsidRPr="00731814">
              <w:rPr>
                <w:rFonts w:cs="Calibri"/>
              </w:rPr>
              <w:t>1.65 (0.78 to 3.46)</w:t>
            </w:r>
          </w:p>
        </w:tc>
        <w:tc>
          <w:tcPr>
            <w:tcW w:w="900" w:type="dxa"/>
            <w:shd w:val="clear" w:color="auto" w:fill="auto"/>
          </w:tcPr>
          <w:p w14:paraId="7D7121AB" w14:textId="77777777" w:rsidR="00322294" w:rsidRPr="00731814" w:rsidRDefault="00322294" w:rsidP="00B97EED">
            <w:pPr>
              <w:jc w:val="center"/>
              <w:rPr>
                <w:rFonts w:cs="Calibri"/>
              </w:rPr>
            </w:pPr>
          </w:p>
        </w:tc>
      </w:tr>
      <w:tr w:rsidR="00322294" w:rsidRPr="00731814" w14:paraId="71E82990" w14:textId="77777777" w:rsidTr="00B97EED">
        <w:tc>
          <w:tcPr>
            <w:tcW w:w="3472" w:type="dxa"/>
            <w:shd w:val="clear" w:color="auto" w:fill="auto"/>
          </w:tcPr>
          <w:p w14:paraId="53259083" w14:textId="77777777" w:rsidR="00322294" w:rsidRPr="00731814" w:rsidRDefault="00322294" w:rsidP="00B97EED">
            <w:pPr>
              <w:rPr>
                <w:rFonts w:cs="Calibri"/>
              </w:rPr>
            </w:pPr>
            <w:r w:rsidRPr="00731814">
              <w:rPr>
                <w:rFonts w:cs="Calibri"/>
                <w:b/>
              </w:rPr>
              <w:t>Schistosome infection (males)*</w:t>
            </w:r>
          </w:p>
        </w:tc>
        <w:tc>
          <w:tcPr>
            <w:tcW w:w="776" w:type="dxa"/>
            <w:shd w:val="clear" w:color="auto" w:fill="auto"/>
          </w:tcPr>
          <w:p w14:paraId="6325CD3A" w14:textId="77777777" w:rsidR="00322294" w:rsidRPr="00731814" w:rsidRDefault="00322294" w:rsidP="00B97EED">
            <w:pPr>
              <w:jc w:val="center"/>
              <w:rPr>
                <w:rFonts w:cs="Calibri"/>
              </w:rPr>
            </w:pPr>
          </w:p>
        </w:tc>
        <w:tc>
          <w:tcPr>
            <w:tcW w:w="972" w:type="dxa"/>
            <w:shd w:val="clear" w:color="auto" w:fill="auto"/>
          </w:tcPr>
          <w:p w14:paraId="3C3F0988" w14:textId="77777777" w:rsidR="00322294" w:rsidRPr="00731814" w:rsidRDefault="00322294" w:rsidP="00B97EED">
            <w:pPr>
              <w:jc w:val="center"/>
              <w:rPr>
                <w:rFonts w:cs="Calibri"/>
              </w:rPr>
            </w:pPr>
          </w:p>
        </w:tc>
        <w:tc>
          <w:tcPr>
            <w:tcW w:w="1980" w:type="dxa"/>
            <w:shd w:val="clear" w:color="auto" w:fill="auto"/>
          </w:tcPr>
          <w:p w14:paraId="595D699E" w14:textId="77777777" w:rsidR="00322294" w:rsidRPr="00731814" w:rsidRDefault="00322294" w:rsidP="00B97EED">
            <w:pPr>
              <w:jc w:val="center"/>
              <w:rPr>
                <w:rFonts w:cs="Calibri"/>
                <w:color w:val="000000"/>
              </w:rPr>
            </w:pPr>
          </w:p>
        </w:tc>
        <w:tc>
          <w:tcPr>
            <w:tcW w:w="900" w:type="dxa"/>
            <w:shd w:val="clear" w:color="auto" w:fill="auto"/>
            <w:vAlign w:val="bottom"/>
          </w:tcPr>
          <w:p w14:paraId="6FA9A99D" w14:textId="77777777" w:rsidR="00322294" w:rsidRPr="00731814" w:rsidRDefault="00322294" w:rsidP="00B97EED">
            <w:pPr>
              <w:jc w:val="right"/>
              <w:rPr>
                <w:rFonts w:cs="Calibri"/>
                <w:color w:val="000000"/>
              </w:rPr>
            </w:pPr>
          </w:p>
        </w:tc>
        <w:tc>
          <w:tcPr>
            <w:tcW w:w="1980" w:type="dxa"/>
            <w:shd w:val="clear" w:color="auto" w:fill="auto"/>
          </w:tcPr>
          <w:p w14:paraId="5ADCD65B" w14:textId="77777777" w:rsidR="00322294" w:rsidRPr="00731814" w:rsidDel="00543A71" w:rsidRDefault="00322294" w:rsidP="00B97EED">
            <w:pPr>
              <w:jc w:val="center"/>
              <w:rPr>
                <w:rFonts w:cs="Calibri"/>
              </w:rPr>
            </w:pPr>
          </w:p>
        </w:tc>
        <w:tc>
          <w:tcPr>
            <w:tcW w:w="900" w:type="dxa"/>
            <w:shd w:val="clear" w:color="auto" w:fill="auto"/>
          </w:tcPr>
          <w:p w14:paraId="651857AB" w14:textId="77777777" w:rsidR="00322294" w:rsidRPr="00731814" w:rsidRDefault="00322294" w:rsidP="00B97EED">
            <w:pPr>
              <w:jc w:val="center"/>
              <w:rPr>
                <w:rFonts w:cs="Calibri"/>
              </w:rPr>
            </w:pPr>
          </w:p>
        </w:tc>
      </w:tr>
      <w:tr w:rsidR="00322294" w:rsidRPr="00731814" w14:paraId="657B6099" w14:textId="77777777" w:rsidTr="00B97EED">
        <w:tc>
          <w:tcPr>
            <w:tcW w:w="3472" w:type="dxa"/>
            <w:shd w:val="clear" w:color="auto" w:fill="auto"/>
          </w:tcPr>
          <w:p w14:paraId="728F6F79" w14:textId="77777777" w:rsidR="00322294" w:rsidRPr="00731814" w:rsidRDefault="00322294" w:rsidP="00B97EED">
            <w:pPr>
              <w:rPr>
                <w:rFonts w:cs="Calibri"/>
              </w:rPr>
            </w:pPr>
            <w:r w:rsidRPr="00731814">
              <w:rPr>
                <w:rFonts w:cs="Calibri"/>
              </w:rPr>
              <w:t xml:space="preserve">   Negative</w:t>
            </w:r>
          </w:p>
        </w:tc>
        <w:tc>
          <w:tcPr>
            <w:tcW w:w="776" w:type="dxa"/>
            <w:shd w:val="clear" w:color="auto" w:fill="auto"/>
          </w:tcPr>
          <w:p w14:paraId="03B46009" w14:textId="77777777" w:rsidR="00322294" w:rsidRPr="00731814" w:rsidRDefault="00322294" w:rsidP="00B97EED">
            <w:pPr>
              <w:jc w:val="center"/>
              <w:rPr>
                <w:rFonts w:cs="Calibri"/>
              </w:rPr>
            </w:pPr>
            <w:r w:rsidRPr="00731814">
              <w:rPr>
                <w:rFonts w:cs="Calibri"/>
              </w:rPr>
              <w:t xml:space="preserve">  86</w:t>
            </w:r>
          </w:p>
        </w:tc>
        <w:tc>
          <w:tcPr>
            <w:tcW w:w="972" w:type="dxa"/>
            <w:shd w:val="clear" w:color="auto" w:fill="auto"/>
          </w:tcPr>
          <w:p w14:paraId="39D4DC1D" w14:textId="77777777" w:rsidR="00322294" w:rsidRPr="00731814" w:rsidRDefault="00322294" w:rsidP="00B97EED">
            <w:pPr>
              <w:jc w:val="center"/>
              <w:rPr>
                <w:rFonts w:cs="Calibri"/>
              </w:rPr>
            </w:pPr>
            <w:r w:rsidRPr="00731814">
              <w:rPr>
                <w:rFonts w:cs="Calibri"/>
              </w:rPr>
              <w:t xml:space="preserve">  2 </w:t>
            </w:r>
            <w:proofErr w:type="gramStart"/>
            <w:r w:rsidRPr="00731814">
              <w:rPr>
                <w:rFonts w:cs="Calibri"/>
              </w:rPr>
              <w:t>(  2</w:t>
            </w:r>
            <w:proofErr w:type="gramEnd"/>
            <w:r w:rsidRPr="00731814">
              <w:rPr>
                <w:rFonts w:cs="Calibri"/>
              </w:rPr>
              <w:t>)</w:t>
            </w:r>
          </w:p>
        </w:tc>
        <w:tc>
          <w:tcPr>
            <w:tcW w:w="1980" w:type="dxa"/>
            <w:shd w:val="clear" w:color="auto" w:fill="auto"/>
          </w:tcPr>
          <w:p w14:paraId="360D09C5"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2D3C9E1D" w14:textId="77777777" w:rsidR="00322294" w:rsidRPr="00731814" w:rsidRDefault="00322294" w:rsidP="00B97EED">
            <w:pPr>
              <w:jc w:val="center"/>
              <w:rPr>
                <w:rFonts w:cs="Calibri"/>
              </w:rPr>
            </w:pPr>
            <w:r w:rsidRPr="00731814">
              <w:rPr>
                <w:rFonts w:cs="Calibri"/>
              </w:rPr>
              <w:t>0.091</w:t>
            </w:r>
          </w:p>
        </w:tc>
        <w:tc>
          <w:tcPr>
            <w:tcW w:w="1980" w:type="dxa"/>
            <w:shd w:val="clear" w:color="auto" w:fill="auto"/>
          </w:tcPr>
          <w:p w14:paraId="098A8652"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224FABB7" w14:textId="77777777" w:rsidR="00322294" w:rsidRPr="00731814" w:rsidRDefault="00322294" w:rsidP="00B97EED">
            <w:pPr>
              <w:jc w:val="center"/>
              <w:rPr>
                <w:rFonts w:cs="Calibri"/>
              </w:rPr>
            </w:pPr>
            <w:r w:rsidRPr="00731814">
              <w:rPr>
                <w:rFonts w:cs="Calibri"/>
              </w:rPr>
              <w:t>0.130</w:t>
            </w:r>
          </w:p>
        </w:tc>
      </w:tr>
      <w:tr w:rsidR="00322294" w:rsidRPr="00731814" w14:paraId="087FEBF3" w14:textId="77777777" w:rsidTr="00B97EED">
        <w:tc>
          <w:tcPr>
            <w:tcW w:w="3472" w:type="dxa"/>
            <w:shd w:val="clear" w:color="auto" w:fill="auto"/>
          </w:tcPr>
          <w:p w14:paraId="4935B49C" w14:textId="77777777" w:rsidR="00322294" w:rsidRPr="00731814" w:rsidRDefault="00322294" w:rsidP="00B97EED">
            <w:pPr>
              <w:rPr>
                <w:rFonts w:cs="Calibri"/>
              </w:rPr>
            </w:pPr>
            <w:r w:rsidRPr="00731814">
              <w:rPr>
                <w:rFonts w:cs="Calibri"/>
              </w:rPr>
              <w:t xml:space="preserve">   Low to moderate </w:t>
            </w:r>
          </w:p>
        </w:tc>
        <w:tc>
          <w:tcPr>
            <w:tcW w:w="776" w:type="dxa"/>
            <w:shd w:val="clear" w:color="auto" w:fill="auto"/>
          </w:tcPr>
          <w:p w14:paraId="2C5E9525" w14:textId="77777777" w:rsidR="00322294" w:rsidRPr="00731814" w:rsidRDefault="00322294" w:rsidP="00B97EED">
            <w:pPr>
              <w:jc w:val="center"/>
              <w:rPr>
                <w:rFonts w:cs="Calibri"/>
              </w:rPr>
            </w:pPr>
            <w:r w:rsidRPr="00731814">
              <w:rPr>
                <w:rFonts w:cs="Calibri"/>
              </w:rPr>
              <w:t>238</w:t>
            </w:r>
          </w:p>
        </w:tc>
        <w:tc>
          <w:tcPr>
            <w:tcW w:w="972" w:type="dxa"/>
            <w:shd w:val="clear" w:color="auto" w:fill="auto"/>
          </w:tcPr>
          <w:p w14:paraId="438C896D" w14:textId="77777777" w:rsidR="00322294" w:rsidRPr="00731814" w:rsidRDefault="00322294" w:rsidP="00B97EED">
            <w:pPr>
              <w:jc w:val="center"/>
              <w:rPr>
                <w:rFonts w:cs="Calibri"/>
              </w:rPr>
            </w:pPr>
            <w:r w:rsidRPr="00731814">
              <w:rPr>
                <w:rFonts w:cs="Calibri"/>
              </w:rPr>
              <w:t xml:space="preserve">16 </w:t>
            </w:r>
            <w:proofErr w:type="gramStart"/>
            <w:r w:rsidRPr="00731814">
              <w:rPr>
                <w:rFonts w:cs="Calibri"/>
              </w:rPr>
              <w:t>(  7</w:t>
            </w:r>
            <w:proofErr w:type="gramEnd"/>
            <w:r w:rsidRPr="00731814">
              <w:rPr>
                <w:rFonts w:cs="Calibri"/>
              </w:rPr>
              <w:t>)</w:t>
            </w:r>
          </w:p>
        </w:tc>
        <w:tc>
          <w:tcPr>
            <w:tcW w:w="1980" w:type="dxa"/>
            <w:shd w:val="clear" w:color="auto" w:fill="auto"/>
          </w:tcPr>
          <w:p w14:paraId="01810467" w14:textId="77777777" w:rsidR="00322294" w:rsidRPr="00731814" w:rsidRDefault="00322294" w:rsidP="00B97EED">
            <w:pPr>
              <w:jc w:val="center"/>
              <w:rPr>
                <w:rFonts w:cs="Calibri"/>
              </w:rPr>
            </w:pPr>
            <w:r w:rsidRPr="00731814">
              <w:rPr>
                <w:rFonts w:cs="Calibri"/>
              </w:rPr>
              <w:t>3.03 (0.68 to 13.4)</w:t>
            </w:r>
          </w:p>
        </w:tc>
        <w:tc>
          <w:tcPr>
            <w:tcW w:w="900" w:type="dxa"/>
            <w:shd w:val="clear" w:color="auto" w:fill="auto"/>
          </w:tcPr>
          <w:p w14:paraId="4D9282D0" w14:textId="77777777" w:rsidR="00322294" w:rsidRPr="00731814" w:rsidRDefault="00322294" w:rsidP="00B97EED">
            <w:pPr>
              <w:jc w:val="center"/>
              <w:rPr>
                <w:rFonts w:cs="Calibri"/>
              </w:rPr>
            </w:pPr>
          </w:p>
        </w:tc>
        <w:tc>
          <w:tcPr>
            <w:tcW w:w="1980" w:type="dxa"/>
            <w:shd w:val="clear" w:color="auto" w:fill="auto"/>
          </w:tcPr>
          <w:p w14:paraId="08B14387" w14:textId="77777777" w:rsidR="00322294" w:rsidRPr="00731814" w:rsidRDefault="00322294" w:rsidP="00B97EED">
            <w:pPr>
              <w:jc w:val="center"/>
              <w:rPr>
                <w:rFonts w:cs="Calibri"/>
              </w:rPr>
            </w:pPr>
            <w:r w:rsidRPr="00731814">
              <w:rPr>
                <w:rFonts w:cs="Calibri"/>
              </w:rPr>
              <w:t>3.54 (0.43 to 29.0)</w:t>
            </w:r>
          </w:p>
        </w:tc>
        <w:tc>
          <w:tcPr>
            <w:tcW w:w="900" w:type="dxa"/>
            <w:shd w:val="clear" w:color="auto" w:fill="auto"/>
          </w:tcPr>
          <w:p w14:paraId="13784872" w14:textId="77777777" w:rsidR="00322294" w:rsidRPr="00731814" w:rsidRDefault="00322294" w:rsidP="00B97EED">
            <w:pPr>
              <w:jc w:val="center"/>
              <w:rPr>
                <w:rFonts w:cs="Calibri"/>
              </w:rPr>
            </w:pPr>
          </w:p>
        </w:tc>
      </w:tr>
      <w:tr w:rsidR="00322294" w:rsidRPr="00731814" w14:paraId="4D126528" w14:textId="77777777" w:rsidTr="00B97EED">
        <w:tc>
          <w:tcPr>
            <w:tcW w:w="3472" w:type="dxa"/>
            <w:shd w:val="clear" w:color="auto" w:fill="auto"/>
          </w:tcPr>
          <w:p w14:paraId="2E8B7509" w14:textId="77777777" w:rsidR="00322294" w:rsidRPr="00731814" w:rsidRDefault="00322294" w:rsidP="00B97EED">
            <w:pPr>
              <w:rPr>
                <w:rFonts w:cs="Calibri"/>
              </w:rPr>
            </w:pPr>
            <w:r w:rsidRPr="00731814">
              <w:rPr>
                <w:rFonts w:cs="Calibri"/>
              </w:rPr>
              <w:t xml:space="preserve">   Highly positive</w:t>
            </w:r>
          </w:p>
        </w:tc>
        <w:tc>
          <w:tcPr>
            <w:tcW w:w="776" w:type="dxa"/>
            <w:shd w:val="clear" w:color="auto" w:fill="auto"/>
          </w:tcPr>
          <w:p w14:paraId="3715B71B" w14:textId="77777777" w:rsidR="00322294" w:rsidRPr="00731814" w:rsidRDefault="00322294" w:rsidP="00B97EED">
            <w:pPr>
              <w:jc w:val="center"/>
              <w:rPr>
                <w:rFonts w:cs="Calibri"/>
              </w:rPr>
            </w:pPr>
            <w:r w:rsidRPr="00731814">
              <w:rPr>
                <w:rFonts w:cs="Calibri"/>
              </w:rPr>
              <w:t>258</w:t>
            </w:r>
          </w:p>
        </w:tc>
        <w:tc>
          <w:tcPr>
            <w:tcW w:w="972" w:type="dxa"/>
            <w:shd w:val="clear" w:color="auto" w:fill="auto"/>
          </w:tcPr>
          <w:p w14:paraId="571E62AB" w14:textId="77777777" w:rsidR="00322294" w:rsidRPr="00731814" w:rsidRDefault="00322294" w:rsidP="00B97EED">
            <w:pPr>
              <w:jc w:val="center"/>
              <w:rPr>
                <w:rFonts w:cs="Calibri"/>
              </w:rPr>
            </w:pPr>
            <w:r w:rsidRPr="00731814">
              <w:rPr>
                <w:rFonts w:cs="Calibri"/>
              </w:rPr>
              <w:t>25 (10)</w:t>
            </w:r>
          </w:p>
        </w:tc>
        <w:tc>
          <w:tcPr>
            <w:tcW w:w="1980" w:type="dxa"/>
            <w:shd w:val="clear" w:color="auto" w:fill="auto"/>
          </w:tcPr>
          <w:p w14:paraId="43BC2E7C" w14:textId="77777777" w:rsidR="00322294" w:rsidRPr="00731814" w:rsidRDefault="00322294" w:rsidP="00B97EED">
            <w:pPr>
              <w:jc w:val="center"/>
              <w:rPr>
                <w:rFonts w:cs="Calibri"/>
              </w:rPr>
            </w:pPr>
            <w:r w:rsidRPr="00731814">
              <w:rPr>
                <w:rFonts w:cs="Calibri"/>
              </w:rPr>
              <w:t>4.51 (1.05 to 19.4)</w:t>
            </w:r>
          </w:p>
        </w:tc>
        <w:tc>
          <w:tcPr>
            <w:tcW w:w="900" w:type="dxa"/>
            <w:shd w:val="clear" w:color="auto" w:fill="auto"/>
          </w:tcPr>
          <w:p w14:paraId="25502842" w14:textId="77777777" w:rsidR="00322294" w:rsidRPr="00731814" w:rsidRDefault="00322294" w:rsidP="00B97EED">
            <w:pPr>
              <w:jc w:val="center"/>
              <w:rPr>
                <w:rFonts w:cs="Calibri"/>
              </w:rPr>
            </w:pPr>
          </w:p>
        </w:tc>
        <w:tc>
          <w:tcPr>
            <w:tcW w:w="1980" w:type="dxa"/>
            <w:shd w:val="clear" w:color="auto" w:fill="auto"/>
          </w:tcPr>
          <w:p w14:paraId="0F254452" w14:textId="77777777" w:rsidR="00322294" w:rsidRPr="00731814" w:rsidRDefault="00322294" w:rsidP="00B97EED">
            <w:pPr>
              <w:jc w:val="center"/>
              <w:rPr>
                <w:rFonts w:cs="Calibri"/>
              </w:rPr>
            </w:pPr>
            <w:r w:rsidRPr="00731814">
              <w:rPr>
                <w:rFonts w:cs="Calibri"/>
              </w:rPr>
              <w:t>6.64 (0.80 to 55.4)</w:t>
            </w:r>
          </w:p>
        </w:tc>
        <w:tc>
          <w:tcPr>
            <w:tcW w:w="900" w:type="dxa"/>
            <w:shd w:val="clear" w:color="auto" w:fill="auto"/>
          </w:tcPr>
          <w:p w14:paraId="23BAB730" w14:textId="77777777" w:rsidR="00322294" w:rsidRPr="00731814" w:rsidRDefault="00322294" w:rsidP="00B97EED">
            <w:pPr>
              <w:jc w:val="center"/>
              <w:rPr>
                <w:rFonts w:cs="Calibri"/>
              </w:rPr>
            </w:pPr>
          </w:p>
        </w:tc>
      </w:tr>
      <w:tr w:rsidR="00322294" w:rsidRPr="00731814" w14:paraId="3F475C70" w14:textId="77777777" w:rsidTr="00B97EED">
        <w:tc>
          <w:tcPr>
            <w:tcW w:w="3472" w:type="dxa"/>
            <w:shd w:val="clear" w:color="auto" w:fill="auto"/>
          </w:tcPr>
          <w:p w14:paraId="55BF9CA0" w14:textId="77777777" w:rsidR="00322294" w:rsidRPr="00731814" w:rsidRDefault="00322294" w:rsidP="00B97EED">
            <w:pPr>
              <w:rPr>
                <w:rFonts w:cs="Calibri"/>
              </w:rPr>
            </w:pPr>
            <w:r w:rsidRPr="00731814">
              <w:rPr>
                <w:rFonts w:cs="Calibri"/>
                <w:b/>
              </w:rPr>
              <w:t>Schistosome infection (females)*</w:t>
            </w:r>
          </w:p>
        </w:tc>
        <w:tc>
          <w:tcPr>
            <w:tcW w:w="776" w:type="dxa"/>
            <w:shd w:val="clear" w:color="auto" w:fill="auto"/>
          </w:tcPr>
          <w:p w14:paraId="32E891F3" w14:textId="77777777" w:rsidR="00322294" w:rsidRPr="00731814" w:rsidRDefault="00322294" w:rsidP="00B97EED">
            <w:pPr>
              <w:jc w:val="center"/>
              <w:rPr>
                <w:rFonts w:cs="Calibri"/>
              </w:rPr>
            </w:pPr>
          </w:p>
        </w:tc>
        <w:tc>
          <w:tcPr>
            <w:tcW w:w="972" w:type="dxa"/>
            <w:shd w:val="clear" w:color="auto" w:fill="auto"/>
          </w:tcPr>
          <w:p w14:paraId="1F33D95E" w14:textId="77777777" w:rsidR="00322294" w:rsidRPr="00731814" w:rsidRDefault="00322294" w:rsidP="00B97EED">
            <w:pPr>
              <w:jc w:val="center"/>
              <w:rPr>
                <w:rFonts w:cs="Calibri"/>
              </w:rPr>
            </w:pPr>
          </w:p>
        </w:tc>
        <w:tc>
          <w:tcPr>
            <w:tcW w:w="1980" w:type="dxa"/>
            <w:shd w:val="clear" w:color="auto" w:fill="auto"/>
          </w:tcPr>
          <w:p w14:paraId="2326A692" w14:textId="77777777" w:rsidR="00322294" w:rsidRPr="00731814" w:rsidRDefault="00322294" w:rsidP="00B97EED">
            <w:pPr>
              <w:jc w:val="center"/>
              <w:rPr>
                <w:rFonts w:cs="Calibri"/>
                <w:color w:val="000000"/>
              </w:rPr>
            </w:pPr>
          </w:p>
        </w:tc>
        <w:tc>
          <w:tcPr>
            <w:tcW w:w="900" w:type="dxa"/>
            <w:shd w:val="clear" w:color="auto" w:fill="auto"/>
            <w:vAlign w:val="bottom"/>
          </w:tcPr>
          <w:p w14:paraId="1CD0E417" w14:textId="77777777" w:rsidR="00322294" w:rsidRPr="00731814" w:rsidRDefault="00322294" w:rsidP="00B97EED">
            <w:pPr>
              <w:jc w:val="right"/>
              <w:rPr>
                <w:rFonts w:cs="Calibri"/>
                <w:color w:val="000000"/>
              </w:rPr>
            </w:pPr>
          </w:p>
        </w:tc>
        <w:tc>
          <w:tcPr>
            <w:tcW w:w="1980" w:type="dxa"/>
            <w:shd w:val="clear" w:color="auto" w:fill="auto"/>
          </w:tcPr>
          <w:p w14:paraId="14CB10E9" w14:textId="77777777" w:rsidR="00322294" w:rsidRPr="00731814" w:rsidDel="00543A71" w:rsidRDefault="00322294" w:rsidP="00B97EED">
            <w:pPr>
              <w:jc w:val="center"/>
              <w:rPr>
                <w:rFonts w:cs="Calibri"/>
              </w:rPr>
            </w:pPr>
          </w:p>
        </w:tc>
        <w:tc>
          <w:tcPr>
            <w:tcW w:w="900" w:type="dxa"/>
            <w:shd w:val="clear" w:color="auto" w:fill="auto"/>
          </w:tcPr>
          <w:p w14:paraId="4D548A38" w14:textId="77777777" w:rsidR="00322294" w:rsidRPr="00731814" w:rsidRDefault="00322294" w:rsidP="00B97EED">
            <w:pPr>
              <w:jc w:val="center"/>
              <w:rPr>
                <w:rFonts w:cs="Calibri"/>
              </w:rPr>
            </w:pPr>
          </w:p>
        </w:tc>
      </w:tr>
      <w:tr w:rsidR="00322294" w:rsidRPr="00731814" w14:paraId="52480817" w14:textId="77777777" w:rsidTr="00B97EED">
        <w:tc>
          <w:tcPr>
            <w:tcW w:w="3472" w:type="dxa"/>
            <w:shd w:val="clear" w:color="auto" w:fill="auto"/>
          </w:tcPr>
          <w:p w14:paraId="2FB20337" w14:textId="77777777" w:rsidR="00322294" w:rsidRPr="00731814" w:rsidRDefault="00322294" w:rsidP="00B97EED">
            <w:pPr>
              <w:rPr>
                <w:rFonts w:cs="Calibri"/>
              </w:rPr>
            </w:pPr>
            <w:r w:rsidRPr="00731814">
              <w:rPr>
                <w:rFonts w:cs="Calibri"/>
              </w:rPr>
              <w:t xml:space="preserve">   Negative</w:t>
            </w:r>
          </w:p>
        </w:tc>
        <w:tc>
          <w:tcPr>
            <w:tcW w:w="776" w:type="dxa"/>
            <w:shd w:val="clear" w:color="auto" w:fill="auto"/>
          </w:tcPr>
          <w:p w14:paraId="5B32163E" w14:textId="77777777" w:rsidR="00322294" w:rsidRPr="00731814" w:rsidRDefault="00322294" w:rsidP="00B97EED">
            <w:pPr>
              <w:jc w:val="center"/>
              <w:rPr>
                <w:rFonts w:cs="Calibri"/>
              </w:rPr>
            </w:pPr>
            <w:r w:rsidRPr="00731814">
              <w:rPr>
                <w:rFonts w:cs="Calibri"/>
              </w:rPr>
              <w:t>104</w:t>
            </w:r>
          </w:p>
        </w:tc>
        <w:tc>
          <w:tcPr>
            <w:tcW w:w="972" w:type="dxa"/>
            <w:shd w:val="clear" w:color="auto" w:fill="auto"/>
          </w:tcPr>
          <w:p w14:paraId="2B8C2A62" w14:textId="77777777" w:rsidR="00322294" w:rsidRPr="00731814" w:rsidRDefault="00322294" w:rsidP="00B97EED">
            <w:pPr>
              <w:jc w:val="center"/>
              <w:rPr>
                <w:rFonts w:cs="Calibri"/>
              </w:rPr>
            </w:pPr>
            <w:r w:rsidRPr="00731814">
              <w:rPr>
                <w:rFonts w:cs="Calibri"/>
              </w:rPr>
              <w:t>20 (19)</w:t>
            </w:r>
          </w:p>
        </w:tc>
        <w:tc>
          <w:tcPr>
            <w:tcW w:w="1980" w:type="dxa"/>
            <w:shd w:val="clear" w:color="auto" w:fill="auto"/>
          </w:tcPr>
          <w:p w14:paraId="3B42AD9F"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080B7333" w14:textId="77777777" w:rsidR="00322294" w:rsidRPr="00731814" w:rsidRDefault="00322294" w:rsidP="00B97EED">
            <w:pPr>
              <w:jc w:val="center"/>
              <w:rPr>
                <w:rFonts w:cs="Calibri"/>
              </w:rPr>
            </w:pPr>
            <w:r w:rsidRPr="00731814">
              <w:rPr>
                <w:rFonts w:cs="Calibri"/>
              </w:rPr>
              <w:t>0.715</w:t>
            </w:r>
          </w:p>
        </w:tc>
        <w:tc>
          <w:tcPr>
            <w:tcW w:w="1980" w:type="dxa"/>
            <w:shd w:val="clear" w:color="auto" w:fill="auto"/>
          </w:tcPr>
          <w:p w14:paraId="3A4F151D" w14:textId="77777777" w:rsidR="00322294" w:rsidRPr="00731814" w:rsidRDefault="00322294" w:rsidP="00B97EED">
            <w:pPr>
              <w:jc w:val="center"/>
              <w:rPr>
                <w:rFonts w:cs="Calibri"/>
              </w:rPr>
            </w:pPr>
            <w:r w:rsidRPr="00731814">
              <w:rPr>
                <w:rFonts w:cs="Calibri"/>
              </w:rPr>
              <w:t>1</w:t>
            </w:r>
          </w:p>
        </w:tc>
        <w:tc>
          <w:tcPr>
            <w:tcW w:w="900" w:type="dxa"/>
            <w:shd w:val="clear" w:color="auto" w:fill="auto"/>
          </w:tcPr>
          <w:p w14:paraId="06E9CC1C" w14:textId="77777777" w:rsidR="00322294" w:rsidRPr="00731814" w:rsidRDefault="00322294" w:rsidP="00B97EED">
            <w:pPr>
              <w:jc w:val="center"/>
              <w:rPr>
                <w:rFonts w:cs="Calibri"/>
              </w:rPr>
            </w:pPr>
            <w:r w:rsidRPr="00731814">
              <w:rPr>
                <w:rFonts w:cs="Calibri"/>
              </w:rPr>
              <w:t>0.813</w:t>
            </w:r>
          </w:p>
        </w:tc>
      </w:tr>
      <w:tr w:rsidR="00322294" w:rsidRPr="00731814" w14:paraId="4DEF77A4" w14:textId="77777777" w:rsidTr="00B97EED">
        <w:tc>
          <w:tcPr>
            <w:tcW w:w="3472" w:type="dxa"/>
            <w:shd w:val="clear" w:color="auto" w:fill="auto"/>
          </w:tcPr>
          <w:p w14:paraId="306B43DB" w14:textId="77777777" w:rsidR="00322294" w:rsidRPr="00731814" w:rsidRDefault="00322294" w:rsidP="00B97EED">
            <w:pPr>
              <w:rPr>
                <w:rFonts w:cs="Calibri"/>
              </w:rPr>
            </w:pPr>
            <w:r w:rsidRPr="00731814">
              <w:rPr>
                <w:rFonts w:cs="Calibri"/>
              </w:rPr>
              <w:t xml:space="preserve">   Low to moderate </w:t>
            </w:r>
          </w:p>
        </w:tc>
        <w:tc>
          <w:tcPr>
            <w:tcW w:w="776" w:type="dxa"/>
            <w:shd w:val="clear" w:color="auto" w:fill="auto"/>
          </w:tcPr>
          <w:p w14:paraId="1E16F8CF" w14:textId="77777777" w:rsidR="00322294" w:rsidRPr="00731814" w:rsidRDefault="00322294" w:rsidP="00B97EED">
            <w:pPr>
              <w:jc w:val="center"/>
              <w:rPr>
                <w:rFonts w:cs="Calibri"/>
              </w:rPr>
            </w:pPr>
            <w:r w:rsidRPr="00731814">
              <w:rPr>
                <w:rFonts w:cs="Calibri"/>
              </w:rPr>
              <w:t>246</w:t>
            </w:r>
          </w:p>
        </w:tc>
        <w:tc>
          <w:tcPr>
            <w:tcW w:w="972" w:type="dxa"/>
            <w:shd w:val="clear" w:color="auto" w:fill="auto"/>
          </w:tcPr>
          <w:p w14:paraId="7253E547" w14:textId="77777777" w:rsidR="00322294" w:rsidRPr="00731814" w:rsidRDefault="00322294" w:rsidP="00B97EED">
            <w:pPr>
              <w:jc w:val="center"/>
              <w:rPr>
                <w:rFonts w:cs="Calibri"/>
              </w:rPr>
            </w:pPr>
            <w:r w:rsidRPr="00731814">
              <w:rPr>
                <w:rFonts w:cs="Calibri"/>
              </w:rPr>
              <w:t>52 (21)</w:t>
            </w:r>
          </w:p>
        </w:tc>
        <w:tc>
          <w:tcPr>
            <w:tcW w:w="1980" w:type="dxa"/>
            <w:shd w:val="clear" w:color="auto" w:fill="auto"/>
          </w:tcPr>
          <w:p w14:paraId="178FCAF5" w14:textId="77777777" w:rsidR="00322294" w:rsidRPr="00731814" w:rsidRDefault="00322294" w:rsidP="00B97EED">
            <w:pPr>
              <w:jc w:val="center"/>
              <w:rPr>
                <w:rFonts w:cs="Calibri"/>
              </w:rPr>
            </w:pPr>
            <w:r w:rsidRPr="00731814">
              <w:rPr>
                <w:rFonts w:cs="Calibri"/>
              </w:rPr>
              <w:t>1.13 (0.63 to 2.00)</w:t>
            </w:r>
          </w:p>
        </w:tc>
        <w:tc>
          <w:tcPr>
            <w:tcW w:w="900" w:type="dxa"/>
            <w:shd w:val="clear" w:color="auto" w:fill="auto"/>
          </w:tcPr>
          <w:p w14:paraId="0269DDB8" w14:textId="77777777" w:rsidR="00322294" w:rsidRPr="00731814" w:rsidRDefault="00322294" w:rsidP="00B97EED">
            <w:pPr>
              <w:jc w:val="center"/>
              <w:rPr>
                <w:rFonts w:cs="Calibri"/>
              </w:rPr>
            </w:pPr>
          </w:p>
        </w:tc>
        <w:tc>
          <w:tcPr>
            <w:tcW w:w="1980" w:type="dxa"/>
            <w:shd w:val="clear" w:color="auto" w:fill="auto"/>
          </w:tcPr>
          <w:p w14:paraId="326B7E9D" w14:textId="77777777" w:rsidR="00322294" w:rsidRPr="00731814" w:rsidRDefault="00322294" w:rsidP="00B97EED">
            <w:pPr>
              <w:jc w:val="center"/>
              <w:rPr>
                <w:rFonts w:cs="Calibri"/>
              </w:rPr>
            </w:pPr>
            <w:r w:rsidRPr="00731814">
              <w:rPr>
                <w:rFonts w:cs="Calibri"/>
              </w:rPr>
              <w:t>0.98 (0.42 to 2.31)</w:t>
            </w:r>
          </w:p>
        </w:tc>
        <w:tc>
          <w:tcPr>
            <w:tcW w:w="900" w:type="dxa"/>
            <w:shd w:val="clear" w:color="auto" w:fill="auto"/>
          </w:tcPr>
          <w:p w14:paraId="60E50B4D" w14:textId="77777777" w:rsidR="00322294" w:rsidRPr="00731814" w:rsidRDefault="00322294" w:rsidP="00B97EED">
            <w:pPr>
              <w:jc w:val="center"/>
              <w:rPr>
                <w:rFonts w:cs="Calibri"/>
              </w:rPr>
            </w:pPr>
          </w:p>
        </w:tc>
      </w:tr>
      <w:tr w:rsidR="00322294" w:rsidRPr="00731814" w14:paraId="348F37F1" w14:textId="77777777" w:rsidTr="00B97EED">
        <w:tc>
          <w:tcPr>
            <w:tcW w:w="3472" w:type="dxa"/>
            <w:shd w:val="clear" w:color="auto" w:fill="auto"/>
          </w:tcPr>
          <w:p w14:paraId="76CDB347" w14:textId="77777777" w:rsidR="00322294" w:rsidRPr="00731814" w:rsidRDefault="00322294" w:rsidP="00B97EED">
            <w:pPr>
              <w:rPr>
                <w:rFonts w:cs="Calibri"/>
              </w:rPr>
            </w:pPr>
            <w:r w:rsidRPr="00731814">
              <w:rPr>
                <w:rFonts w:cs="Calibri"/>
              </w:rPr>
              <w:t xml:space="preserve">   Highly positive</w:t>
            </w:r>
          </w:p>
        </w:tc>
        <w:tc>
          <w:tcPr>
            <w:tcW w:w="776" w:type="dxa"/>
            <w:shd w:val="clear" w:color="auto" w:fill="auto"/>
          </w:tcPr>
          <w:p w14:paraId="4C63AFCA" w14:textId="77777777" w:rsidR="00322294" w:rsidRPr="00731814" w:rsidRDefault="00322294" w:rsidP="00B97EED">
            <w:pPr>
              <w:jc w:val="center"/>
              <w:rPr>
                <w:rFonts w:cs="Calibri"/>
              </w:rPr>
            </w:pPr>
            <w:r w:rsidRPr="00731814">
              <w:rPr>
                <w:rFonts w:cs="Calibri"/>
              </w:rPr>
              <w:t>176</w:t>
            </w:r>
          </w:p>
        </w:tc>
        <w:tc>
          <w:tcPr>
            <w:tcW w:w="972" w:type="dxa"/>
            <w:shd w:val="clear" w:color="auto" w:fill="auto"/>
          </w:tcPr>
          <w:p w14:paraId="275BC21C" w14:textId="77777777" w:rsidR="00322294" w:rsidRPr="00731814" w:rsidRDefault="00322294" w:rsidP="00B97EED">
            <w:pPr>
              <w:jc w:val="center"/>
              <w:rPr>
                <w:rFonts w:cs="Calibri"/>
              </w:rPr>
            </w:pPr>
            <w:r w:rsidRPr="00731814">
              <w:rPr>
                <w:rFonts w:cs="Calibri"/>
              </w:rPr>
              <w:t>41 (23)</w:t>
            </w:r>
          </w:p>
        </w:tc>
        <w:tc>
          <w:tcPr>
            <w:tcW w:w="1980" w:type="dxa"/>
            <w:shd w:val="clear" w:color="auto" w:fill="auto"/>
          </w:tcPr>
          <w:p w14:paraId="06326AF7" w14:textId="77777777" w:rsidR="00322294" w:rsidRPr="00731814" w:rsidRDefault="00322294" w:rsidP="00B97EED">
            <w:pPr>
              <w:jc w:val="center"/>
              <w:rPr>
                <w:rFonts w:cs="Calibri"/>
              </w:rPr>
            </w:pPr>
            <w:r w:rsidRPr="00731814">
              <w:rPr>
                <w:rFonts w:cs="Calibri"/>
              </w:rPr>
              <w:t>1.28 (0.70 to 2.32)</w:t>
            </w:r>
          </w:p>
        </w:tc>
        <w:tc>
          <w:tcPr>
            <w:tcW w:w="900" w:type="dxa"/>
            <w:shd w:val="clear" w:color="auto" w:fill="auto"/>
          </w:tcPr>
          <w:p w14:paraId="573E4172" w14:textId="77777777" w:rsidR="00322294" w:rsidRPr="00731814" w:rsidRDefault="00322294" w:rsidP="00B97EED">
            <w:pPr>
              <w:jc w:val="center"/>
              <w:rPr>
                <w:rFonts w:cs="Calibri"/>
              </w:rPr>
            </w:pPr>
          </w:p>
        </w:tc>
        <w:tc>
          <w:tcPr>
            <w:tcW w:w="1980" w:type="dxa"/>
            <w:shd w:val="clear" w:color="auto" w:fill="auto"/>
          </w:tcPr>
          <w:p w14:paraId="0A61A9B4" w14:textId="77777777" w:rsidR="00322294" w:rsidRPr="00731814" w:rsidRDefault="00322294" w:rsidP="00B97EED">
            <w:pPr>
              <w:jc w:val="center"/>
              <w:rPr>
                <w:rFonts w:cs="Calibri"/>
              </w:rPr>
            </w:pPr>
            <w:r w:rsidRPr="00731814">
              <w:rPr>
                <w:rFonts w:cs="Calibri"/>
              </w:rPr>
              <w:t>1.24 (0.50 to 3.08)</w:t>
            </w:r>
          </w:p>
        </w:tc>
        <w:tc>
          <w:tcPr>
            <w:tcW w:w="900" w:type="dxa"/>
            <w:shd w:val="clear" w:color="auto" w:fill="auto"/>
          </w:tcPr>
          <w:p w14:paraId="5FB81875" w14:textId="77777777" w:rsidR="00322294" w:rsidRPr="00731814" w:rsidRDefault="00322294" w:rsidP="00B97EED">
            <w:pPr>
              <w:jc w:val="center"/>
              <w:rPr>
                <w:rFonts w:cs="Calibri"/>
              </w:rPr>
            </w:pPr>
          </w:p>
        </w:tc>
      </w:tr>
      <w:tr w:rsidR="00322294" w:rsidRPr="006331DF" w14:paraId="223327EA" w14:textId="77777777" w:rsidTr="00B97EED">
        <w:tc>
          <w:tcPr>
            <w:tcW w:w="3472" w:type="dxa"/>
            <w:tcBorders>
              <w:bottom w:val="single" w:sz="4" w:space="0" w:color="auto"/>
            </w:tcBorders>
            <w:shd w:val="clear" w:color="auto" w:fill="auto"/>
          </w:tcPr>
          <w:p w14:paraId="7561E08E" w14:textId="77777777" w:rsidR="00322294" w:rsidRPr="006331DF" w:rsidRDefault="00322294" w:rsidP="00B97EED"/>
        </w:tc>
        <w:tc>
          <w:tcPr>
            <w:tcW w:w="776" w:type="dxa"/>
            <w:tcBorders>
              <w:bottom w:val="single" w:sz="4" w:space="0" w:color="auto"/>
            </w:tcBorders>
            <w:shd w:val="clear" w:color="auto" w:fill="auto"/>
          </w:tcPr>
          <w:p w14:paraId="46F096C8" w14:textId="77777777" w:rsidR="00322294" w:rsidRPr="006331DF" w:rsidRDefault="00322294" w:rsidP="00B97EED">
            <w:pPr>
              <w:jc w:val="center"/>
            </w:pPr>
          </w:p>
        </w:tc>
        <w:tc>
          <w:tcPr>
            <w:tcW w:w="972" w:type="dxa"/>
            <w:tcBorders>
              <w:bottom w:val="single" w:sz="4" w:space="0" w:color="auto"/>
            </w:tcBorders>
            <w:shd w:val="clear" w:color="auto" w:fill="auto"/>
          </w:tcPr>
          <w:p w14:paraId="16D53F6A" w14:textId="77777777" w:rsidR="00322294" w:rsidRPr="006331DF" w:rsidRDefault="00322294" w:rsidP="00B97EED">
            <w:pPr>
              <w:jc w:val="center"/>
            </w:pPr>
          </w:p>
        </w:tc>
        <w:tc>
          <w:tcPr>
            <w:tcW w:w="1980" w:type="dxa"/>
            <w:tcBorders>
              <w:bottom w:val="single" w:sz="4" w:space="0" w:color="auto"/>
            </w:tcBorders>
            <w:shd w:val="clear" w:color="auto" w:fill="auto"/>
          </w:tcPr>
          <w:p w14:paraId="0DEE874C" w14:textId="77777777" w:rsidR="00322294" w:rsidRPr="006331DF" w:rsidRDefault="00322294" w:rsidP="00B97EED">
            <w:pPr>
              <w:jc w:val="center"/>
              <w:rPr>
                <w:color w:val="000000"/>
              </w:rPr>
            </w:pPr>
          </w:p>
        </w:tc>
        <w:tc>
          <w:tcPr>
            <w:tcW w:w="900" w:type="dxa"/>
            <w:tcBorders>
              <w:bottom w:val="single" w:sz="4" w:space="0" w:color="auto"/>
            </w:tcBorders>
            <w:shd w:val="clear" w:color="auto" w:fill="auto"/>
            <w:vAlign w:val="bottom"/>
          </w:tcPr>
          <w:p w14:paraId="12C93485" w14:textId="77777777" w:rsidR="00322294" w:rsidRPr="006331DF" w:rsidRDefault="00322294" w:rsidP="00B97EED">
            <w:pPr>
              <w:jc w:val="right"/>
              <w:rPr>
                <w:color w:val="000000"/>
              </w:rPr>
            </w:pPr>
          </w:p>
        </w:tc>
        <w:tc>
          <w:tcPr>
            <w:tcW w:w="1980" w:type="dxa"/>
            <w:tcBorders>
              <w:bottom w:val="single" w:sz="4" w:space="0" w:color="auto"/>
            </w:tcBorders>
            <w:shd w:val="clear" w:color="auto" w:fill="auto"/>
          </w:tcPr>
          <w:p w14:paraId="4BF097D9" w14:textId="77777777" w:rsidR="00322294" w:rsidDel="00543A71" w:rsidRDefault="00322294" w:rsidP="00B97EED">
            <w:pPr>
              <w:jc w:val="center"/>
            </w:pPr>
          </w:p>
        </w:tc>
        <w:tc>
          <w:tcPr>
            <w:tcW w:w="900" w:type="dxa"/>
            <w:tcBorders>
              <w:bottom w:val="single" w:sz="4" w:space="0" w:color="auto"/>
            </w:tcBorders>
            <w:shd w:val="clear" w:color="auto" w:fill="auto"/>
          </w:tcPr>
          <w:p w14:paraId="67FE4F40" w14:textId="77777777" w:rsidR="00322294" w:rsidRPr="006331DF" w:rsidRDefault="00322294" w:rsidP="00B97EED">
            <w:pPr>
              <w:jc w:val="center"/>
            </w:pPr>
          </w:p>
        </w:tc>
      </w:tr>
    </w:tbl>
    <w:p w14:paraId="1F8EF16F" w14:textId="77777777" w:rsidR="00322294" w:rsidRDefault="00322294" w:rsidP="00322294">
      <w:pPr>
        <w:ind w:left="-709"/>
        <w:rPr>
          <w:sz w:val="20"/>
          <w:szCs w:val="20"/>
        </w:rPr>
      </w:pPr>
    </w:p>
    <w:p w14:paraId="49D0F65B" w14:textId="77777777" w:rsidR="00322294" w:rsidRPr="000A205C" w:rsidRDefault="00322294" w:rsidP="00322294">
      <w:pPr>
        <w:ind w:left="-709"/>
        <w:rPr>
          <w:sz w:val="20"/>
          <w:szCs w:val="20"/>
        </w:rPr>
      </w:pPr>
      <w:r w:rsidRPr="00317982">
        <w:rPr>
          <w:sz w:val="20"/>
          <w:szCs w:val="20"/>
        </w:rPr>
        <w:t xml:space="preserve">Variables with missing data were: </w:t>
      </w:r>
      <w:r w:rsidRPr="00317982">
        <w:rPr>
          <w:i/>
          <w:sz w:val="20"/>
          <w:szCs w:val="20"/>
        </w:rPr>
        <w:t>age</w:t>
      </w:r>
      <w:r w:rsidRPr="00317982">
        <w:rPr>
          <w:sz w:val="20"/>
          <w:szCs w:val="20"/>
        </w:rPr>
        <w:t xml:space="preserve"> (15 participants), </w:t>
      </w:r>
      <w:r w:rsidRPr="00317982">
        <w:rPr>
          <w:i/>
          <w:sz w:val="20"/>
          <w:szCs w:val="20"/>
        </w:rPr>
        <w:t>age at first sex</w:t>
      </w:r>
      <w:r w:rsidRPr="00317982">
        <w:rPr>
          <w:sz w:val="20"/>
          <w:szCs w:val="20"/>
        </w:rPr>
        <w:t xml:space="preserve"> (39), </w:t>
      </w:r>
      <w:r w:rsidRPr="00317982">
        <w:rPr>
          <w:i/>
          <w:sz w:val="20"/>
          <w:szCs w:val="20"/>
        </w:rPr>
        <w:t>number of sexual partners in the past year</w:t>
      </w:r>
      <w:r w:rsidRPr="00317982">
        <w:rPr>
          <w:sz w:val="20"/>
          <w:szCs w:val="20"/>
        </w:rPr>
        <w:t xml:space="preserve"> (200), </w:t>
      </w:r>
      <w:r w:rsidRPr="00317982">
        <w:rPr>
          <w:i/>
          <w:sz w:val="20"/>
          <w:szCs w:val="20"/>
        </w:rPr>
        <w:t>sex while drunk</w:t>
      </w:r>
      <w:r w:rsidRPr="00317982">
        <w:rPr>
          <w:sz w:val="20"/>
          <w:szCs w:val="20"/>
        </w:rPr>
        <w:t xml:space="preserve"> (161), </w:t>
      </w:r>
      <w:r w:rsidRPr="00317982">
        <w:rPr>
          <w:i/>
          <w:sz w:val="20"/>
          <w:szCs w:val="20"/>
        </w:rPr>
        <w:t>gifts</w:t>
      </w:r>
      <w:r w:rsidRPr="00317982">
        <w:rPr>
          <w:sz w:val="20"/>
          <w:szCs w:val="20"/>
        </w:rPr>
        <w:t xml:space="preserve"> (4), </w:t>
      </w:r>
      <w:r w:rsidRPr="00317982">
        <w:rPr>
          <w:i/>
          <w:sz w:val="20"/>
          <w:szCs w:val="20"/>
        </w:rPr>
        <w:t>condom use</w:t>
      </w:r>
      <w:r w:rsidRPr="00317982">
        <w:rPr>
          <w:sz w:val="20"/>
          <w:szCs w:val="20"/>
        </w:rPr>
        <w:t xml:space="preserve"> (4), </w:t>
      </w:r>
      <w:r w:rsidRPr="00317982">
        <w:rPr>
          <w:i/>
          <w:sz w:val="20"/>
          <w:szCs w:val="20"/>
        </w:rPr>
        <w:t>genital itching</w:t>
      </w:r>
      <w:r w:rsidRPr="00317982">
        <w:rPr>
          <w:sz w:val="20"/>
          <w:szCs w:val="20"/>
        </w:rPr>
        <w:t xml:space="preserve"> (3), </w:t>
      </w:r>
      <w:r w:rsidRPr="00317982">
        <w:rPr>
          <w:i/>
          <w:sz w:val="20"/>
          <w:szCs w:val="20"/>
        </w:rPr>
        <w:t>STI diagnosis</w:t>
      </w:r>
      <w:r w:rsidRPr="00317982">
        <w:rPr>
          <w:sz w:val="20"/>
          <w:szCs w:val="20"/>
        </w:rPr>
        <w:t xml:space="preserve"> (2) and </w:t>
      </w:r>
      <w:r w:rsidRPr="00317982">
        <w:rPr>
          <w:i/>
          <w:sz w:val="20"/>
          <w:szCs w:val="20"/>
        </w:rPr>
        <w:t>syphilis</w:t>
      </w:r>
      <w:r w:rsidRPr="00317982">
        <w:rPr>
          <w:sz w:val="20"/>
          <w:szCs w:val="20"/>
        </w:rPr>
        <w:t xml:space="preserve"> (2). </w:t>
      </w:r>
      <w:r>
        <w:rPr>
          <w:sz w:val="20"/>
          <w:szCs w:val="20"/>
        </w:rPr>
        <w:t xml:space="preserve">CI = Confidence Interval. </w:t>
      </w:r>
      <w:r w:rsidRPr="00317982">
        <w:rPr>
          <w:sz w:val="20"/>
          <w:szCs w:val="20"/>
        </w:rPr>
        <w:t xml:space="preserve">§All associations were adjusted for </w:t>
      </w:r>
      <w:r w:rsidRPr="00317982">
        <w:rPr>
          <w:i/>
          <w:sz w:val="20"/>
          <w:szCs w:val="20"/>
        </w:rPr>
        <w:t>sex</w:t>
      </w:r>
      <w:r>
        <w:rPr>
          <w:i/>
          <w:sz w:val="20"/>
          <w:szCs w:val="20"/>
        </w:rPr>
        <w:t xml:space="preserve"> (pooled analysis for males and females),</w:t>
      </w:r>
      <w:r w:rsidRPr="00317982">
        <w:rPr>
          <w:sz w:val="20"/>
          <w:szCs w:val="20"/>
        </w:rPr>
        <w:t xml:space="preserve"> </w:t>
      </w:r>
      <w:r w:rsidRPr="00317982">
        <w:rPr>
          <w:i/>
          <w:sz w:val="20"/>
          <w:szCs w:val="20"/>
        </w:rPr>
        <w:t>population group</w:t>
      </w:r>
      <w:r>
        <w:rPr>
          <w:sz w:val="20"/>
          <w:szCs w:val="20"/>
        </w:rPr>
        <w:t xml:space="preserve"> and</w:t>
      </w:r>
      <w:r w:rsidRPr="00317982">
        <w:rPr>
          <w:sz w:val="20"/>
          <w:szCs w:val="20"/>
        </w:rPr>
        <w:t xml:space="preserve"> </w:t>
      </w:r>
      <w:r w:rsidRPr="00317982">
        <w:rPr>
          <w:i/>
          <w:sz w:val="20"/>
          <w:szCs w:val="20"/>
        </w:rPr>
        <w:t>age</w:t>
      </w:r>
      <w:r w:rsidRPr="00317982">
        <w:rPr>
          <w:sz w:val="20"/>
          <w:szCs w:val="20"/>
        </w:rPr>
        <w:t xml:space="preserve">. In addition, associations with </w:t>
      </w:r>
      <w:r>
        <w:rPr>
          <w:sz w:val="20"/>
          <w:szCs w:val="20"/>
        </w:rPr>
        <w:t xml:space="preserve">clinical </w:t>
      </w:r>
      <w:r w:rsidRPr="00317982">
        <w:rPr>
          <w:sz w:val="20"/>
          <w:szCs w:val="20"/>
        </w:rPr>
        <w:t xml:space="preserve">factors were adjusted for </w:t>
      </w:r>
      <w:proofErr w:type="spellStart"/>
      <w:r w:rsidRPr="00317982">
        <w:rPr>
          <w:sz w:val="20"/>
          <w:szCs w:val="20"/>
        </w:rPr>
        <w:t>behavioural</w:t>
      </w:r>
      <w:proofErr w:type="spellEnd"/>
      <w:r w:rsidRPr="00317982">
        <w:rPr>
          <w:sz w:val="20"/>
          <w:szCs w:val="20"/>
        </w:rPr>
        <w:t xml:space="preserve"> factors.</w:t>
      </w:r>
      <w:r>
        <w:rPr>
          <w:sz w:val="20"/>
          <w:szCs w:val="20"/>
        </w:rPr>
        <w:t xml:space="preserve"> *</w:t>
      </w:r>
      <w:r w:rsidRPr="00826B6D">
        <w:rPr>
          <w:sz w:val="20"/>
          <w:szCs w:val="20"/>
        </w:rPr>
        <w:t xml:space="preserve">Schistosomiasis infection intensity evaluated using CAA (Circulating Anodic Antigen) concentration (Negative: 0 – 29.99 </w:t>
      </w:r>
      <w:proofErr w:type="spellStart"/>
      <w:r w:rsidRPr="00826B6D">
        <w:rPr>
          <w:sz w:val="20"/>
          <w:szCs w:val="20"/>
        </w:rPr>
        <w:t>pg</w:t>
      </w:r>
      <w:proofErr w:type="spellEnd"/>
      <w:r w:rsidRPr="00826B6D">
        <w:rPr>
          <w:sz w:val="20"/>
          <w:szCs w:val="20"/>
        </w:rPr>
        <w:t xml:space="preserve">/mL; Low to moderate: 30 – 2999.99 </w:t>
      </w:r>
      <w:proofErr w:type="spellStart"/>
      <w:r w:rsidRPr="00826B6D">
        <w:rPr>
          <w:sz w:val="20"/>
          <w:szCs w:val="20"/>
        </w:rPr>
        <w:t>pg</w:t>
      </w:r>
      <w:proofErr w:type="spellEnd"/>
      <w:r w:rsidRPr="00826B6D">
        <w:rPr>
          <w:sz w:val="20"/>
          <w:szCs w:val="20"/>
        </w:rPr>
        <w:t xml:space="preserve">/mL; Highly positive: ≥ 3000 </w:t>
      </w:r>
      <w:proofErr w:type="spellStart"/>
      <w:r w:rsidRPr="00826B6D">
        <w:rPr>
          <w:sz w:val="20"/>
          <w:szCs w:val="20"/>
        </w:rPr>
        <w:t>pg</w:t>
      </w:r>
      <w:proofErr w:type="spellEnd"/>
      <w:r w:rsidRPr="00826B6D">
        <w:rPr>
          <w:sz w:val="20"/>
          <w:szCs w:val="20"/>
        </w:rPr>
        <w:t xml:space="preserve">/mL). </w:t>
      </w:r>
      <w:r>
        <w:rPr>
          <w:sz w:val="20"/>
          <w:szCs w:val="20"/>
        </w:rPr>
        <w:t xml:space="preserve"> </w:t>
      </w:r>
    </w:p>
    <w:p w14:paraId="61DD14A0" w14:textId="77777777" w:rsidR="00322294" w:rsidRDefault="00322294" w:rsidP="00322294">
      <w:bookmarkStart w:id="1" w:name="_GoBack"/>
      <w:bookmarkEnd w:id="1"/>
    </w:p>
    <w:p w14:paraId="407EA147" w14:textId="77777777" w:rsidR="00322294" w:rsidRPr="00322294" w:rsidRDefault="00322294" w:rsidP="005929D7">
      <w:pPr>
        <w:spacing w:after="0" w:line="240" w:lineRule="auto"/>
        <w:rPr>
          <w:rFonts w:cs="Arial"/>
          <w:b/>
          <w:bCs/>
        </w:rPr>
      </w:pPr>
    </w:p>
    <w:sectPr w:rsidR="00322294" w:rsidRPr="00322294" w:rsidSect="003222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1F27" w14:textId="77777777" w:rsidR="00BC46D0" w:rsidRDefault="00BC46D0" w:rsidP="007F4603">
      <w:pPr>
        <w:spacing w:after="0" w:line="240" w:lineRule="auto"/>
      </w:pPr>
      <w:r>
        <w:separator/>
      </w:r>
    </w:p>
  </w:endnote>
  <w:endnote w:type="continuationSeparator" w:id="0">
    <w:p w14:paraId="766E2686" w14:textId="77777777" w:rsidR="00BC46D0" w:rsidRDefault="00BC46D0" w:rsidP="007F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31547"/>
      <w:docPartObj>
        <w:docPartGallery w:val="Page Numbers (Bottom of Page)"/>
        <w:docPartUnique/>
      </w:docPartObj>
    </w:sdtPr>
    <w:sdtEndPr>
      <w:rPr>
        <w:noProof/>
      </w:rPr>
    </w:sdtEndPr>
    <w:sdtContent>
      <w:p w14:paraId="53BB4118" w14:textId="6DD2E258" w:rsidR="0089787D" w:rsidRDefault="0089787D">
        <w:pPr>
          <w:pStyle w:val="Footer"/>
          <w:jc w:val="right"/>
        </w:pPr>
        <w:r>
          <w:fldChar w:fldCharType="begin"/>
        </w:r>
        <w:r>
          <w:instrText xml:space="preserve"> PAGE   \* MERGEFORMAT </w:instrText>
        </w:r>
        <w:r>
          <w:fldChar w:fldCharType="separate"/>
        </w:r>
        <w:r w:rsidR="00B70291">
          <w:rPr>
            <w:noProof/>
          </w:rPr>
          <w:t>15</w:t>
        </w:r>
        <w:r>
          <w:rPr>
            <w:noProof/>
          </w:rPr>
          <w:fldChar w:fldCharType="end"/>
        </w:r>
      </w:p>
    </w:sdtContent>
  </w:sdt>
  <w:p w14:paraId="73C6CE5F" w14:textId="1599DBFB" w:rsidR="0089787D" w:rsidRDefault="00897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6BCD2" w14:textId="77777777" w:rsidR="00BC46D0" w:rsidRDefault="00BC46D0" w:rsidP="007F4603">
      <w:pPr>
        <w:spacing w:after="0" w:line="240" w:lineRule="auto"/>
      </w:pPr>
      <w:r>
        <w:separator/>
      </w:r>
    </w:p>
  </w:footnote>
  <w:footnote w:type="continuationSeparator" w:id="0">
    <w:p w14:paraId="2EA85220" w14:textId="77777777" w:rsidR="00BC46D0" w:rsidRDefault="00BC46D0" w:rsidP="007F4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A1EB6"/>
    <w:multiLevelType w:val="hybridMultilevel"/>
    <w:tmpl w:val="F190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264F6"/>
    <w:multiLevelType w:val="hybridMultilevel"/>
    <w:tmpl w:val="CC0430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3B94901"/>
    <w:multiLevelType w:val="hybridMultilevel"/>
    <w:tmpl w:val="651C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723F6"/>
    <w:multiLevelType w:val="multilevel"/>
    <w:tmpl w:val="AFD4D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D5"/>
    <w:rsid w:val="0000213E"/>
    <w:rsid w:val="00006535"/>
    <w:rsid w:val="00011234"/>
    <w:rsid w:val="000132B8"/>
    <w:rsid w:val="0002169F"/>
    <w:rsid w:val="00033EE5"/>
    <w:rsid w:val="00034414"/>
    <w:rsid w:val="000461E9"/>
    <w:rsid w:val="000504D1"/>
    <w:rsid w:val="00053BD1"/>
    <w:rsid w:val="00060440"/>
    <w:rsid w:val="0006108B"/>
    <w:rsid w:val="00063F7B"/>
    <w:rsid w:val="00072310"/>
    <w:rsid w:val="00077A21"/>
    <w:rsid w:val="00081707"/>
    <w:rsid w:val="0008422A"/>
    <w:rsid w:val="000872D5"/>
    <w:rsid w:val="00093D94"/>
    <w:rsid w:val="000A1439"/>
    <w:rsid w:val="000A3D80"/>
    <w:rsid w:val="000A4942"/>
    <w:rsid w:val="000A5863"/>
    <w:rsid w:val="000A6A2A"/>
    <w:rsid w:val="000A7205"/>
    <w:rsid w:val="000B07B0"/>
    <w:rsid w:val="000B086F"/>
    <w:rsid w:val="000B2CDA"/>
    <w:rsid w:val="000B59AB"/>
    <w:rsid w:val="000C3066"/>
    <w:rsid w:val="000D0AF0"/>
    <w:rsid w:val="000F38B3"/>
    <w:rsid w:val="001054FB"/>
    <w:rsid w:val="001173D2"/>
    <w:rsid w:val="001201D5"/>
    <w:rsid w:val="00121943"/>
    <w:rsid w:val="00123748"/>
    <w:rsid w:val="00132332"/>
    <w:rsid w:val="00135977"/>
    <w:rsid w:val="00137E31"/>
    <w:rsid w:val="001402C2"/>
    <w:rsid w:val="00144DB2"/>
    <w:rsid w:val="00147FEC"/>
    <w:rsid w:val="00153693"/>
    <w:rsid w:val="00155426"/>
    <w:rsid w:val="00163758"/>
    <w:rsid w:val="001656E1"/>
    <w:rsid w:val="001733E0"/>
    <w:rsid w:val="0017730C"/>
    <w:rsid w:val="001814E2"/>
    <w:rsid w:val="0018210C"/>
    <w:rsid w:val="00186A04"/>
    <w:rsid w:val="00196A67"/>
    <w:rsid w:val="001A0D69"/>
    <w:rsid w:val="001B674A"/>
    <w:rsid w:val="001D34F2"/>
    <w:rsid w:val="001D4782"/>
    <w:rsid w:val="001D4EEF"/>
    <w:rsid w:val="001D69A5"/>
    <w:rsid w:val="001E6D17"/>
    <w:rsid w:val="001F08E7"/>
    <w:rsid w:val="001F10FF"/>
    <w:rsid w:val="001F5DCC"/>
    <w:rsid w:val="00206163"/>
    <w:rsid w:val="002156A5"/>
    <w:rsid w:val="00220A11"/>
    <w:rsid w:val="00220D76"/>
    <w:rsid w:val="00225B25"/>
    <w:rsid w:val="002310AD"/>
    <w:rsid w:val="00242E80"/>
    <w:rsid w:val="00245715"/>
    <w:rsid w:val="002520E8"/>
    <w:rsid w:val="00255870"/>
    <w:rsid w:val="00271EFD"/>
    <w:rsid w:val="00273D56"/>
    <w:rsid w:val="0027649D"/>
    <w:rsid w:val="00280015"/>
    <w:rsid w:val="002804E0"/>
    <w:rsid w:val="002829FC"/>
    <w:rsid w:val="00284978"/>
    <w:rsid w:val="002922DC"/>
    <w:rsid w:val="00293A09"/>
    <w:rsid w:val="00294F36"/>
    <w:rsid w:val="002B4775"/>
    <w:rsid w:val="002B4F78"/>
    <w:rsid w:val="002C4380"/>
    <w:rsid w:val="002D09DE"/>
    <w:rsid w:val="002D1200"/>
    <w:rsid w:val="002D1349"/>
    <w:rsid w:val="002D2826"/>
    <w:rsid w:val="002D48C2"/>
    <w:rsid w:val="002E1A62"/>
    <w:rsid w:val="002E515A"/>
    <w:rsid w:val="002E705F"/>
    <w:rsid w:val="002F1606"/>
    <w:rsid w:val="002F537D"/>
    <w:rsid w:val="002F65BE"/>
    <w:rsid w:val="00305153"/>
    <w:rsid w:val="00315AFC"/>
    <w:rsid w:val="00321A65"/>
    <w:rsid w:val="00322294"/>
    <w:rsid w:val="00334507"/>
    <w:rsid w:val="00335873"/>
    <w:rsid w:val="003418FC"/>
    <w:rsid w:val="003423F5"/>
    <w:rsid w:val="00346063"/>
    <w:rsid w:val="00352D31"/>
    <w:rsid w:val="0035307D"/>
    <w:rsid w:val="00354F80"/>
    <w:rsid w:val="00355844"/>
    <w:rsid w:val="00356993"/>
    <w:rsid w:val="00362553"/>
    <w:rsid w:val="00387D4B"/>
    <w:rsid w:val="00390BEC"/>
    <w:rsid w:val="003934F3"/>
    <w:rsid w:val="0039496F"/>
    <w:rsid w:val="0039599C"/>
    <w:rsid w:val="00397F19"/>
    <w:rsid w:val="003A481E"/>
    <w:rsid w:val="003C09E7"/>
    <w:rsid w:val="003C1D80"/>
    <w:rsid w:val="003C245A"/>
    <w:rsid w:val="003C4454"/>
    <w:rsid w:val="003C49D1"/>
    <w:rsid w:val="003C57E8"/>
    <w:rsid w:val="003C5C99"/>
    <w:rsid w:val="003C763D"/>
    <w:rsid w:val="003D11F9"/>
    <w:rsid w:val="003D1354"/>
    <w:rsid w:val="003D490F"/>
    <w:rsid w:val="003D6301"/>
    <w:rsid w:val="003E0451"/>
    <w:rsid w:val="003E7983"/>
    <w:rsid w:val="003E7C10"/>
    <w:rsid w:val="003E7F5D"/>
    <w:rsid w:val="003F5D5C"/>
    <w:rsid w:val="003F773B"/>
    <w:rsid w:val="00405B73"/>
    <w:rsid w:val="00414567"/>
    <w:rsid w:val="00422FD9"/>
    <w:rsid w:val="004269FB"/>
    <w:rsid w:val="00426FAA"/>
    <w:rsid w:val="004327C9"/>
    <w:rsid w:val="00442356"/>
    <w:rsid w:val="00450ABF"/>
    <w:rsid w:val="00457557"/>
    <w:rsid w:val="0046019D"/>
    <w:rsid w:val="00461CBF"/>
    <w:rsid w:val="00465FDC"/>
    <w:rsid w:val="00476DE6"/>
    <w:rsid w:val="00483172"/>
    <w:rsid w:val="00494191"/>
    <w:rsid w:val="004941D1"/>
    <w:rsid w:val="00495E92"/>
    <w:rsid w:val="004A2305"/>
    <w:rsid w:val="004A30C3"/>
    <w:rsid w:val="004A687A"/>
    <w:rsid w:val="004A6DB8"/>
    <w:rsid w:val="004A6DEE"/>
    <w:rsid w:val="004C45E6"/>
    <w:rsid w:val="004D0557"/>
    <w:rsid w:val="004D0A20"/>
    <w:rsid w:val="004E0FAB"/>
    <w:rsid w:val="004E62E1"/>
    <w:rsid w:val="004E73B6"/>
    <w:rsid w:val="004E7BA2"/>
    <w:rsid w:val="004F2A12"/>
    <w:rsid w:val="004F450C"/>
    <w:rsid w:val="0050546E"/>
    <w:rsid w:val="0050663E"/>
    <w:rsid w:val="0052431D"/>
    <w:rsid w:val="005246D2"/>
    <w:rsid w:val="00533A21"/>
    <w:rsid w:val="00534157"/>
    <w:rsid w:val="005550B4"/>
    <w:rsid w:val="00576D47"/>
    <w:rsid w:val="00590DF3"/>
    <w:rsid w:val="005929D7"/>
    <w:rsid w:val="00594870"/>
    <w:rsid w:val="005A01D3"/>
    <w:rsid w:val="005B0CFE"/>
    <w:rsid w:val="005B391C"/>
    <w:rsid w:val="005C32A8"/>
    <w:rsid w:val="005D056E"/>
    <w:rsid w:val="005D1225"/>
    <w:rsid w:val="005E4B11"/>
    <w:rsid w:val="005E7088"/>
    <w:rsid w:val="006066B1"/>
    <w:rsid w:val="00606DF4"/>
    <w:rsid w:val="00615EA3"/>
    <w:rsid w:val="00623877"/>
    <w:rsid w:val="00631A44"/>
    <w:rsid w:val="00634050"/>
    <w:rsid w:val="00647A8C"/>
    <w:rsid w:val="006517F3"/>
    <w:rsid w:val="00653677"/>
    <w:rsid w:val="00653B81"/>
    <w:rsid w:val="006540D4"/>
    <w:rsid w:val="00663FEA"/>
    <w:rsid w:val="00667FEC"/>
    <w:rsid w:val="006700CC"/>
    <w:rsid w:val="00674D89"/>
    <w:rsid w:val="006910DC"/>
    <w:rsid w:val="00693682"/>
    <w:rsid w:val="00695283"/>
    <w:rsid w:val="00696F55"/>
    <w:rsid w:val="00697D18"/>
    <w:rsid w:val="006A109D"/>
    <w:rsid w:val="006A4075"/>
    <w:rsid w:val="006B025F"/>
    <w:rsid w:val="006B1558"/>
    <w:rsid w:val="006B1A3F"/>
    <w:rsid w:val="006C3631"/>
    <w:rsid w:val="006D16A0"/>
    <w:rsid w:val="006D4E50"/>
    <w:rsid w:val="006D5EA6"/>
    <w:rsid w:val="006D6C7B"/>
    <w:rsid w:val="006E6846"/>
    <w:rsid w:val="006F2E69"/>
    <w:rsid w:val="006F3DE4"/>
    <w:rsid w:val="006F7E73"/>
    <w:rsid w:val="00700EED"/>
    <w:rsid w:val="007011C4"/>
    <w:rsid w:val="00704AB8"/>
    <w:rsid w:val="00715CA4"/>
    <w:rsid w:val="0072512A"/>
    <w:rsid w:val="007265D9"/>
    <w:rsid w:val="00730D51"/>
    <w:rsid w:val="0073264F"/>
    <w:rsid w:val="007340FF"/>
    <w:rsid w:val="007405D2"/>
    <w:rsid w:val="00750C1D"/>
    <w:rsid w:val="00760622"/>
    <w:rsid w:val="00762AA0"/>
    <w:rsid w:val="007633A1"/>
    <w:rsid w:val="0076434B"/>
    <w:rsid w:val="00764F91"/>
    <w:rsid w:val="007736EC"/>
    <w:rsid w:val="00773F98"/>
    <w:rsid w:val="00781D4C"/>
    <w:rsid w:val="007830A9"/>
    <w:rsid w:val="0078327B"/>
    <w:rsid w:val="007859A6"/>
    <w:rsid w:val="007A22FA"/>
    <w:rsid w:val="007A368A"/>
    <w:rsid w:val="007B34D6"/>
    <w:rsid w:val="007B6755"/>
    <w:rsid w:val="007C05DA"/>
    <w:rsid w:val="007D2547"/>
    <w:rsid w:val="007D79C2"/>
    <w:rsid w:val="007E3EEF"/>
    <w:rsid w:val="007E65EE"/>
    <w:rsid w:val="007F337F"/>
    <w:rsid w:val="007F4603"/>
    <w:rsid w:val="00804368"/>
    <w:rsid w:val="00804966"/>
    <w:rsid w:val="00816ECF"/>
    <w:rsid w:val="00817B55"/>
    <w:rsid w:val="00821E39"/>
    <w:rsid w:val="00841B16"/>
    <w:rsid w:val="00851259"/>
    <w:rsid w:val="008554E8"/>
    <w:rsid w:val="0085635F"/>
    <w:rsid w:val="00860187"/>
    <w:rsid w:val="00870E8C"/>
    <w:rsid w:val="008845C6"/>
    <w:rsid w:val="00887CE1"/>
    <w:rsid w:val="00887D2B"/>
    <w:rsid w:val="0089787D"/>
    <w:rsid w:val="008A20D9"/>
    <w:rsid w:val="008A2549"/>
    <w:rsid w:val="008A2ACD"/>
    <w:rsid w:val="008A59CE"/>
    <w:rsid w:val="008C2861"/>
    <w:rsid w:val="008D14D0"/>
    <w:rsid w:val="008D2B4A"/>
    <w:rsid w:val="008E0288"/>
    <w:rsid w:val="008E2289"/>
    <w:rsid w:val="008E3CDF"/>
    <w:rsid w:val="008E45CD"/>
    <w:rsid w:val="008F6A35"/>
    <w:rsid w:val="00911ABB"/>
    <w:rsid w:val="00914D22"/>
    <w:rsid w:val="00916141"/>
    <w:rsid w:val="00931B00"/>
    <w:rsid w:val="00932C25"/>
    <w:rsid w:val="00935FEB"/>
    <w:rsid w:val="00940DF6"/>
    <w:rsid w:val="00953AB2"/>
    <w:rsid w:val="0097333F"/>
    <w:rsid w:val="009763FF"/>
    <w:rsid w:val="00984A57"/>
    <w:rsid w:val="0098798B"/>
    <w:rsid w:val="0099764B"/>
    <w:rsid w:val="009A242F"/>
    <w:rsid w:val="009A3288"/>
    <w:rsid w:val="009A44A7"/>
    <w:rsid w:val="009A46E5"/>
    <w:rsid w:val="009A4C1A"/>
    <w:rsid w:val="009B0867"/>
    <w:rsid w:val="009B1AB2"/>
    <w:rsid w:val="009B2767"/>
    <w:rsid w:val="009B6ECE"/>
    <w:rsid w:val="009C3AD4"/>
    <w:rsid w:val="009C57C7"/>
    <w:rsid w:val="009D46C6"/>
    <w:rsid w:val="009D4AFC"/>
    <w:rsid w:val="009E3014"/>
    <w:rsid w:val="009E7569"/>
    <w:rsid w:val="009F25E5"/>
    <w:rsid w:val="009F4821"/>
    <w:rsid w:val="009F5E29"/>
    <w:rsid w:val="00A0277B"/>
    <w:rsid w:val="00A10280"/>
    <w:rsid w:val="00A10AD2"/>
    <w:rsid w:val="00A14136"/>
    <w:rsid w:val="00A14E38"/>
    <w:rsid w:val="00A21C26"/>
    <w:rsid w:val="00A226AF"/>
    <w:rsid w:val="00A246F2"/>
    <w:rsid w:val="00A247CB"/>
    <w:rsid w:val="00A3181B"/>
    <w:rsid w:val="00A33D85"/>
    <w:rsid w:val="00A42576"/>
    <w:rsid w:val="00A51BFA"/>
    <w:rsid w:val="00A63995"/>
    <w:rsid w:val="00A644C4"/>
    <w:rsid w:val="00A6523B"/>
    <w:rsid w:val="00A662E5"/>
    <w:rsid w:val="00A81257"/>
    <w:rsid w:val="00A86FAA"/>
    <w:rsid w:val="00A90671"/>
    <w:rsid w:val="00A959DD"/>
    <w:rsid w:val="00A97651"/>
    <w:rsid w:val="00AA0E29"/>
    <w:rsid w:val="00AA47B1"/>
    <w:rsid w:val="00AA530F"/>
    <w:rsid w:val="00AA6516"/>
    <w:rsid w:val="00AA71F7"/>
    <w:rsid w:val="00AB1D3B"/>
    <w:rsid w:val="00AC1350"/>
    <w:rsid w:val="00AC3B54"/>
    <w:rsid w:val="00AC4142"/>
    <w:rsid w:val="00AD0114"/>
    <w:rsid w:val="00AE15DA"/>
    <w:rsid w:val="00AE3B32"/>
    <w:rsid w:val="00AE6C13"/>
    <w:rsid w:val="00AF0CBA"/>
    <w:rsid w:val="00AF5330"/>
    <w:rsid w:val="00AF648E"/>
    <w:rsid w:val="00B13987"/>
    <w:rsid w:val="00B153E7"/>
    <w:rsid w:val="00B15852"/>
    <w:rsid w:val="00B20B03"/>
    <w:rsid w:val="00B24621"/>
    <w:rsid w:val="00B312C1"/>
    <w:rsid w:val="00B37EAE"/>
    <w:rsid w:val="00B46DD0"/>
    <w:rsid w:val="00B511ED"/>
    <w:rsid w:val="00B5225F"/>
    <w:rsid w:val="00B558F8"/>
    <w:rsid w:val="00B5650C"/>
    <w:rsid w:val="00B60D84"/>
    <w:rsid w:val="00B6261B"/>
    <w:rsid w:val="00B62631"/>
    <w:rsid w:val="00B70291"/>
    <w:rsid w:val="00B7053E"/>
    <w:rsid w:val="00B7085B"/>
    <w:rsid w:val="00B72C88"/>
    <w:rsid w:val="00B72FB5"/>
    <w:rsid w:val="00B749A3"/>
    <w:rsid w:val="00B74D46"/>
    <w:rsid w:val="00B848D8"/>
    <w:rsid w:val="00B94AB9"/>
    <w:rsid w:val="00BC10A6"/>
    <w:rsid w:val="00BC1F64"/>
    <w:rsid w:val="00BC36E0"/>
    <w:rsid w:val="00BC3D2D"/>
    <w:rsid w:val="00BC46D0"/>
    <w:rsid w:val="00BD49C2"/>
    <w:rsid w:val="00BE7447"/>
    <w:rsid w:val="00BF4A58"/>
    <w:rsid w:val="00C11913"/>
    <w:rsid w:val="00C22F56"/>
    <w:rsid w:val="00C25E87"/>
    <w:rsid w:val="00C27B87"/>
    <w:rsid w:val="00C348A9"/>
    <w:rsid w:val="00C350EA"/>
    <w:rsid w:val="00C42E06"/>
    <w:rsid w:val="00C45490"/>
    <w:rsid w:val="00C45522"/>
    <w:rsid w:val="00C45C3F"/>
    <w:rsid w:val="00C4676B"/>
    <w:rsid w:val="00C46D21"/>
    <w:rsid w:val="00C47553"/>
    <w:rsid w:val="00C47DE9"/>
    <w:rsid w:val="00C50E60"/>
    <w:rsid w:val="00C5141D"/>
    <w:rsid w:val="00C5572F"/>
    <w:rsid w:val="00C579DB"/>
    <w:rsid w:val="00C57BD0"/>
    <w:rsid w:val="00C64B88"/>
    <w:rsid w:val="00C733A2"/>
    <w:rsid w:val="00C73C39"/>
    <w:rsid w:val="00C74418"/>
    <w:rsid w:val="00C7484A"/>
    <w:rsid w:val="00C87A78"/>
    <w:rsid w:val="00C9241C"/>
    <w:rsid w:val="00C92B28"/>
    <w:rsid w:val="00C92E3B"/>
    <w:rsid w:val="00CA09AD"/>
    <w:rsid w:val="00CA1F1F"/>
    <w:rsid w:val="00CA635C"/>
    <w:rsid w:val="00CD1CBD"/>
    <w:rsid w:val="00CF2446"/>
    <w:rsid w:val="00CF3B28"/>
    <w:rsid w:val="00CF4038"/>
    <w:rsid w:val="00CF5684"/>
    <w:rsid w:val="00D02148"/>
    <w:rsid w:val="00D03CE9"/>
    <w:rsid w:val="00D0405E"/>
    <w:rsid w:val="00D105CF"/>
    <w:rsid w:val="00D1261F"/>
    <w:rsid w:val="00D13596"/>
    <w:rsid w:val="00D2379E"/>
    <w:rsid w:val="00D256CC"/>
    <w:rsid w:val="00D274DD"/>
    <w:rsid w:val="00D70267"/>
    <w:rsid w:val="00D75B51"/>
    <w:rsid w:val="00D80DDB"/>
    <w:rsid w:val="00D81E15"/>
    <w:rsid w:val="00D85B4B"/>
    <w:rsid w:val="00D949E1"/>
    <w:rsid w:val="00DB35CC"/>
    <w:rsid w:val="00DB3AFD"/>
    <w:rsid w:val="00DC4BBB"/>
    <w:rsid w:val="00DD7428"/>
    <w:rsid w:val="00DE2141"/>
    <w:rsid w:val="00DF0344"/>
    <w:rsid w:val="00DF189B"/>
    <w:rsid w:val="00DF28C8"/>
    <w:rsid w:val="00DF435A"/>
    <w:rsid w:val="00DF6A5B"/>
    <w:rsid w:val="00DF7758"/>
    <w:rsid w:val="00E073B1"/>
    <w:rsid w:val="00E077D9"/>
    <w:rsid w:val="00E162F1"/>
    <w:rsid w:val="00E20EAB"/>
    <w:rsid w:val="00E26CF1"/>
    <w:rsid w:val="00E30186"/>
    <w:rsid w:val="00E318B2"/>
    <w:rsid w:val="00E339FD"/>
    <w:rsid w:val="00E36BD8"/>
    <w:rsid w:val="00E46225"/>
    <w:rsid w:val="00E46520"/>
    <w:rsid w:val="00E51EF3"/>
    <w:rsid w:val="00E563C8"/>
    <w:rsid w:val="00E57B61"/>
    <w:rsid w:val="00E612FE"/>
    <w:rsid w:val="00E7627B"/>
    <w:rsid w:val="00E91DA4"/>
    <w:rsid w:val="00EA36C0"/>
    <w:rsid w:val="00EA3A12"/>
    <w:rsid w:val="00EA44B2"/>
    <w:rsid w:val="00EB172C"/>
    <w:rsid w:val="00EB2AF3"/>
    <w:rsid w:val="00EB6B61"/>
    <w:rsid w:val="00EC1445"/>
    <w:rsid w:val="00ED113B"/>
    <w:rsid w:val="00ED578E"/>
    <w:rsid w:val="00ED7596"/>
    <w:rsid w:val="00EE0694"/>
    <w:rsid w:val="00EE5138"/>
    <w:rsid w:val="00EE6817"/>
    <w:rsid w:val="00EF00F9"/>
    <w:rsid w:val="00EF0CA4"/>
    <w:rsid w:val="00EF6AFA"/>
    <w:rsid w:val="00F001BC"/>
    <w:rsid w:val="00F10377"/>
    <w:rsid w:val="00F221D8"/>
    <w:rsid w:val="00F265A9"/>
    <w:rsid w:val="00F315CA"/>
    <w:rsid w:val="00F354A6"/>
    <w:rsid w:val="00F36ED0"/>
    <w:rsid w:val="00F41836"/>
    <w:rsid w:val="00F4694C"/>
    <w:rsid w:val="00F50EFC"/>
    <w:rsid w:val="00F56833"/>
    <w:rsid w:val="00F57EB4"/>
    <w:rsid w:val="00F673ED"/>
    <w:rsid w:val="00F7010A"/>
    <w:rsid w:val="00F75811"/>
    <w:rsid w:val="00F75EFA"/>
    <w:rsid w:val="00F83881"/>
    <w:rsid w:val="00F84A07"/>
    <w:rsid w:val="00F86725"/>
    <w:rsid w:val="00F87183"/>
    <w:rsid w:val="00F90708"/>
    <w:rsid w:val="00F92C1F"/>
    <w:rsid w:val="00FA3F81"/>
    <w:rsid w:val="00FA6F59"/>
    <w:rsid w:val="00FA79CD"/>
    <w:rsid w:val="00FB3F9C"/>
    <w:rsid w:val="00FB67BE"/>
    <w:rsid w:val="00FB7FC2"/>
    <w:rsid w:val="00FC5D8D"/>
    <w:rsid w:val="00FC61FE"/>
    <w:rsid w:val="00FD0289"/>
    <w:rsid w:val="00FD1BC4"/>
    <w:rsid w:val="00FE27BC"/>
    <w:rsid w:val="00FF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A46C"/>
  <w15:chartTrackingRefBased/>
  <w15:docId w15:val="{D723FCB6-9BF3-498A-9097-CEF51EE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2D5"/>
    <w:pPr>
      <w:spacing w:after="200" w:line="276" w:lineRule="auto"/>
    </w:pPr>
    <w:rPr>
      <w:rFonts w:ascii="Calibri" w:eastAsia="Calibri" w:hAnsi="Calibri" w:cs="Times New Roman"/>
      <w:lang w:val="en-US"/>
    </w:rPr>
  </w:style>
  <w:style w:type="paragraph" w:styleId="Heading1">
    <w:name w:val="heading 1"/>
    <w:basedOn w:val="Normal"/>
    <w:link w:val="Heading1Char"/>
    <w:uiPriority w:val="9"/>
    <w:qFormat/>
    <w:rsid w:val="00BC3D2D"/>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72D5"/>
    <w:pPr>
      <w:ind w:left="720"/>
      <w:contextualSpacing/>
    </w:pPr>
  </w:style>
  <w:style w:type="paragraph" w:styleId="NormalWeb">
    <w:name w:val="Normal (Web)"/>
    <w:basedOn w:val="Normal"/>
    <w:rsid w:val="000872D5"/>
    <w:pPr>
      <w:spacing w:after="225" w:line="240" w:lineRule="auto"/>
    </w:pPr>
    <w:rPr>
      <w:rFonts w:ascii="Times New Roman" w:eastAsia="Times New Roman" w:hAnsi="Times New Roman"/>
      <w:sz w:val="24"/>
      <w:szCs w:val="24"/>
    </w:rPr>
  </w:style>
  <w:style w:type="character" w:styleId="Strong">
    <w:name w:val="Strong"/>
    <w:basedOn w:val="DefaultParagraphFont"/>
    <w:uiPriority w:val="22"/>
    <w:qFormat/>
    <w:rsid w:val="000872D5"/>
    <w:rPr>
      <w:b/>
      <w:bCs/>
    </w:rPr>
  </w:style>
  <w:style w:type="character" w:customStyle="1" w:styleId="ListParagraphChar">
    <w:name w:val="List Paragraph Char"/>
    <w:link w:val="ListParagraph"/>
    <w:uiPriority w:val="34"/>
    <w:locked/>
    <w:rsid w:val="000872D5"/>
    <w:rPr>
      <w:rFonts w:ascii="Calibri" w:eastAsia="Calibri" w:hAnsi="Calibri" w:cs="Times New Roman"/>
      <w:lang w:val="en-US"/>
    </w:rPr>
  </w:style>
  <w:style w:type="paragraph" w:styleId="BalloonText">
    <w:name w:val="Balloon Text"/>
    <w:basedOn w:val="Normal"/>
    <w:link w:val="BalloonTextChar"/>
    <w:uiPriority w:val="99"/>
    <w:semiHidden/>
    <w:unhideWhenUsed/>
    <w:rsid w:val="001F1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0FF"/>
    <w:rPr>
      <w:rFonts w:ascii="Segoe UI" w:eastAsia="Calibri" w:hAnsi="Segoe UI" w:cs="Segoe UI"/>
      <w:sz w:val="18"/>
      <w:szCs w:val="18"/>
      <w:lang w:val="en-US"/>
    </w:rPr>
  </w:style>
  <w:style w:type="character" w:styleId="CommentReference">
    <w:name w:val="annotation reference"/>
    <w:basedOn w:val="DefaultParagraphFont"/>
    <w:unhideWhenUsed/>
    <w:rsid w:val="007B34D6"/>
    <w:rPr>
      <w:sz w:val="16"/>
      <w:szCs w:val="16"/>
    </w:rPr>
  </w:style>
  <w:style w:type="paragraph" w:styleId="CommentText">
    <w:name w:val="annotation text"/>
    <w:basedOn w:val="Normal"/>
    <w:link w:val="CommentTextChar"/>
    <w:uiPriority w:val="99"/>
    <w:unhideWhenUsed/>
    <w:rsid w:val="007B34D6"/>
    <w:pPr>
      <w:spacing w:line="240" w:lineRule="auto"/>
    </w:pPr>
    <w:rPr>
      <w:sz w:val="20"/>
      <w:szCs w:val="20"/>
    </w:rPr>
  </w:style>
  <w:style w:type="character" w:customStyle="1" w:styleId="CommentTextChar">
    <w:name w:val="Comment Text Char"/>
    <w:basedOn w:val="DefaultParagraphFont"/>
    <w:link w:val="CommentText"/>
    <w:uiPriority w:val="99"/>
    <w:rsid w:val="007B34D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34D6"/>
    <w:rPr>
      <w:b/>
      <w:bCs/>
    </w:rPr>
  </w:style>
  <w:style w:type="character" w:customStyle="1" w:styleId="CommentSubjectChar">
    <w:name w:val="Comment Subject Char"/>
    <w:basedOn w:val="CommentTextChar"/>
    <w:link w:val="CommentSubject"/>
    <w:uiPriority w:val="99"/>
    <w:semiHidden/>
    <w:rsid w:val="007B34D6"/>
    <w:rPr>
      <w:rFonts w:ascii="Calibri" w:eastAsia="Calibri" w:hAnsi="Calibri" w:cs="Times New Roman"/>
      <w:b/>
      <w:bCs/>
      <w:sz w:val="20"/>
      <w:szCs w:val="20"/>
      <w:lang w:val="en-US"/>
    </w:rPr>
  </w:style>
  <w:style w:type="character" w:styleId="Hyperlink">
    <w:name w:val="Hyperlink"/>
    <w:basedOn w:val="DefaultParagraphFont"/>
    <w:uiPriority w:val="99"/>
    <w:unhideWhenUsed/>
    <w:rsid w:val="00931B00"/>
    <w:rPr>
      <w:color w:val="0000FF"/>
      <w:u w:val="single"/>
    </w:rPr>
  </w:style>
  <w:style w:type="paragraph" w:styleId="Header">
    <w:name w:val="header"/>
    <w:basedOn w:val="Normal"/>
    <w:link w:val="HeaderChar"/>
    <w:uiPriority w:val="99"/>
    <w:unhideWhenUsed/>
    <w:rsid w:val="007F4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03"/>
    <w:rPr>
      <w:rFonts w:ascii="Calibri" w:eastAsia="Calibri" w:hAnsi="Calibri" w:cs="Times New Roman"/>
      <w:lang w:val="en-US"/>
    </w:rPr>
  </w:style>
  <w:style w:type="paragraph" w:styleId="Footer">
    <w:name w:val="footer"/>
    <w:basedOn w:val="Normal"/>
    <w:link w:val="FooterChar"/>
    <w:uiPriority w:val="99"/>
    <w:unhideWhenUsed/>
    <w:rsid w:val="007F4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603"/>
    <w:rPr>
      <w:rFonts w:ascii="Calibri" w:eastAsia="Calibri" w:hAnsi="Calibri" w:cs="Times New Roman"/>
      <w:lang w:val="en-US"/>
    </w:rPr>
  </w:style>
  <w:style w:type="character" w:customStyle="1" w:styleId="Heading1Char">
    <w:name w:val="Heading 1 Char"/>
    <w:basedOn w:val="DefaultParagraphFont"/>
    <w:link w:val="Heading1"/>
    <w:uiPriority w:val="9"/>
    <w:rsid w:val="00BC3D2D"/>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BC3D2D"/>
  </w:style>
  <w:style w:type="character" w:customStyle="1" w:styleId="UnresolvedMention1">
    <w:name w:val="Unresolved Mention1"/>
    <w:basedOn w:val="DefaultParagraphFont"/>
    <w:uiPriority w:val="99"/>
    <w:semiHidden/>
    <w:unhideWhenUsed/>
    <w:rsid w:val="00E46520"/>
    <w:rPr>
      <w:color w:val="605E5C"/>
      <w:shd w:val="clear" w:color="auto" w:fill="E1DFDD"/>
    </w:rPr>
  </w:style>
  <w:style w:type="numbering" w:customStyle="1" w:styleId="NoList1">
    <w:name w:val="No List1"/>
    <w:next w:val="NoList"/>
    <w:uiPriority w:val="99"/>
    <w:semiHidden/>
    <w:unhideWhenUsed/>
    <w:rsid w:val="00442356"/>
  </w:style>
  <w:style w:type="character" w:styleId="LineNumber">
    <w:name w:val="line number"/>
    <w:basedOn w:val="DefaultParagraphFont"/>
    <w:uiPriority w:val="99"/>
    <w:semiHidden/>
    <w:unhideWhenUsed/>
    <w:rsid w:val="0018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33053">
      <w:bodyDiv w:val="1"/>
      <w:marLeft w:val="0"/>
      <w:marRight w:val="0"/>
      <w:marTop w:val="0"/>
      <w:marBottom w:val="0"/>
      <w:divBdr>
        <w:top w:val="none" w:sz="0" w:space="0" w:color="auto"/>
        <w:left w:val="none" w:sz="0" w:space="0" w:color="auto"/>
        <w:bottom w:val="none" w:sz="0" w:space="0" w:color="auto"/>
        <w:right w:val="none" w:sz="0" w:space="0" w:color="auto"/>
      </w:divBdr>
      <w:divsChild>
        <w:div w:id="1116021807">
          <w:marLeft w:val="0"/>
          <w:marRight w:val="0"/>
          <w:marTop w:val="0"/>
          <w:marBottom w:val="0"/>
          <w:divBdr>
            <w:top w:val="none" w:sz="0" w:space="0" w:color="auto"/>
            <w:left w:val="none" w:sz="0" w:space="0" w:color="auto"/>
            <w:bottom w:val="none" w:sz="0" w:space="0" w:color="auto"/>
            <w:right w:val="none" w:sz="0" w:space="0" w:color="auto"/>
          </w:divBdr>
          <w:divsChild>
            <w:div w:id="1378236271">
              <w:marLeft w:val="0"/>
              <w:marRight w:val="0"/>
              <w:marTop w:val="0"/>
              <w:marBottom w:val="0"/>
              <w:divBdr>
                <w:top w:val="none" w:sz="0" w:space="0" w:color="auto"/>
                <w:left w:val="none" w:sz="0" w:space="0" w:color="auto"/>
                <w:bottom w:val="none" w:sz="0" w:space="0" w:color="auto"/>
                <w:right w:val="none" w:sz="0" w:space="0" w:color="auto"/>
              </w:divBdr>
              <w:divsChild>
                <w:div w:id="645627565">
                  <w:marLeft w:val="0"/>
                  <w:marRight w:val="0"/>
                  <w:marTop w:val="0"/>
                  <w:marBottom w:val="0"/>
                  <w:divBdr>
                    <w:top w:val="none" w:sz="0" w:space="0" w:color="auto"/>
                    <w:left w:val="none" w:sz="0" w:space="0" w:color="auto"/>
                    <w:bottom w:val="none" w:sz="0" w:space="0" w:color="auto"/>
                    <w:right w:val="none" w:sz="0" w:space="0" w:color="auto"/>
                  </w:divBdr>
                  <w:divsChild>
                    <w:div w:id="1028526796">
                      <w:marLeft w:val="0"/>
                      <w:marRight w:val="0"/>
                      <w:marTop w:val="0"/>
                      <w:marBottom w:val="0"/>
                      <w:divBdr>
                        <w:top w:val="none" w:sz="0" w:space="0" w:color="auto"/>
                        <w:left w:val="none" w:sz="0" w:space="0" w:color="auto"/>
                        <w:bottom w:val="none" w:sz="0" w:space="0" w:color="auto"/>
                        <w:right w:val="none" w:sz="0" w:space="0" w:color="auto"/>
                      </w:divBdr>
                      <w:divsChild>
                        <w:div w:id="36897003">
                          <w:marLeft w:val="0"/>
                          <w:marRight w:val="0"/>
                          <w:marTop w:val="0"/>
                          <w:marBottom w:val="0"/>
                          <w:divBdr>
                            <w:top w:val="none" w:sz="0" w:space="0" w:color="auto"/>
                            <w:left w:val="none" w:sz="0" w:space="0" w:color="auto"/>
                            <w:bottom w:val="none" w:sz="0" w:space="0" w:color="auto"/>
                            <w:right w:val="none" w:sz="0" w:space="0" w:color="auto"/>
                          </w:divBdr>
                          <w:divsChild>
                            <w:div w:id="51274412">
                              <w:marLeft w:val="-225"/>
                              <w:marRight w:val="-225"/>
                              <w:marTop w:val="0"/>
                              <w:marBottom w:val="0"/>
                              <w:divBdr>
                                <w:top w:val="none" w:sz="0" w:space="0" w:color="auto"/>
                                <w:left w:val="none" w:sz="0" w:space="0" w:color="auto"/>
                                <w:bottom w:val="none" w:sz="0" w:space="0" w:color="auto"/>
                                <w:right w:val="none" w:sz="0" w:space="0" w:color="auto"/>
                              </w:divBdr>
                              <w:divsChild>
                                <w:div w:id="1313632914">
                                  <w:marLeft w:val="0"/>
                                  <w:marRight w:val="0"/>
                                  <w:marTop w:val="0"/>
                                  <w:marBottom w:val="0"/>
                                  <w:divBdr>
                                    <w:top w:val="none" w:sz="0" w:space="0" w:color="auto"/>
                                    <w:left w:val="none" w:sz="0" w:space="0" w:color="auto"/>
                                    <w:bottom w:val="none" w:sz="0" w:space="0" w:color="auto"/>
                                    <w:right w:val="none" w:sz="0" w:space="0" w:color="auto"/>
                                  </w:divBdr>
                                  <w:divsChild>
                                    <w:div w:id="749349679">
                                      <w:marLeft w:val="0"/>
                                      <w:marRight w:val="0"/>
                                      <w:marTop w:val="0"/>
                                      <w:marBottom w:val="0"/>
                                      <w:divBdr>
                                        <w:top w:val="none" w:sz="0" w:space="0" w:color="auto"/>
                                        <w:left w:val="none" w:sz="0" w:space="0" w:color="auto"/>
                                        <w:bottom w:val="none" w:sz="0" w:space="0" w:color="auto"/>
                                        <w:right w:val="none" w:sz="0" w:space="0" w:color="auto"/>
                                      </w:divBdr>
                                      <w:divsChild>
                                        <w:div w:id="1610359842">
                                          <w:marLeft w:val="0"/>
                                          <w:marRight w:val="0"/>
                                          <w:marTop w:val="0"/>
                                          <w:marBottom w:val="0"/>
                                          <w:divBdr>
                                            <w:top w:val="none" w:sz="0" w:space="0" w:color="auto"/>
                                            <w:left w:val="none" w:sz="0" w:space="0" w:color="auto"/>
                                            <w:bottom w:val="none" w:sz="0" w:space="0" w:color="auto"/>
                                            <w:right w:val="none" w:sz="0" w:space="0" w:color="auto"/>
                                          </w:divBdr>
                                          <w:divsChild>
                                            <w:div w:id="1075973337">
                                              <w:marLeft w:val="0"/>
                                              <w:marRight w:val="0"/>
                                              <w:marTop w:val="0"/>
                                              <w:marBottom w:val="0"/>
                                              <w:divBdr>
                                                <w:top w:val="none" w:sz="0" w:space="0" w:color="auto"/>
                                                <w:left w:val="none" w:sz="0" w:space="0" w:color="auto"/>
                                                <w:bottom w:val="none" w:sz="0" w:space="0" w:color="auto"/>
                                                <w:right w:val="none" w:sz="0" w:space="0" w:color="auto"/>
                                              </w:divBdr>
                                              <w:divsChild>
                                                <w:div w:id="403837061">
                                                  <w:marLeft w:val="0"/>
                                                  <w:marRight w:val="0"/>
                                                  <w:marTop w:val="0"/>
                                                  <w:marBottom w:val="0"/>
                                                  <w:divBdr>
                                                    <w:top w:val="none" w:sz="0" w:space="0" w:color="auto"/>
                                                    <w:left w:val="none" w:sz="0" w:space="0" w:color="auto"/>
                                                    <w:bottom w:val="none" w:sz="0" w:space="0" w:color="auto"/>
                                                    <w:right w:val="none" w:sz="0" w:space="0" w:color="auto"/>
                                                  </w:divBdr>
                                                  <w:divsChild>
                                                    <w:div w:id="1355690251">
                                                      <w:marLeft w:val="0"/>
                                                      <w:marRight w:val="0"/>
                                                      <w:marTop w:val="0"/>
                                                      <w:marBottom w:val="0"/>
                                                      <w:divBdr>
                                                        <w:top w:val="none" w:sz="0" w:space="0" w:color="auto"/>
                                                        <w:left w:val="none" w:sz="0" w:space="0" w:color="auto"/>
                                                        <w:bottom w:val="none" w:sz="0" w:space="0" w:color="auto"/>
                                                        <w:right w:val="none" w:sz="0" w:space="0" w:color="auto"/>
                                                      </w:divBdr>
                                                      <w:divsChild>
                                                        <w:div w:id="7190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6548141">
      <w:bodyDiv w:val="1"/>
      <w:marLeft w:val="0"/>
      <w:marRight w:val="0"/>
      <w:marTop w:val="0"/>
      <w:marBottom w:val="0"/>
      <w:divBdr>
        <w:top w:val="none" w:sz="0" w:space="0" w:color="auto"/>
        <w:left w:val="none" w:sz="0" w:space="0" w:color="auto"/>
        <w:bottom w:val="none" w:sz="0" w:space="0" w:color="auto"/>
        <w:right w:val="none" w:sz="0" w:space="0" w:color="auto"/>
      </w:divBdr>
    </w:div>
    <w:div w:id="2061245359">
      <w:bodyDiv w:val="1"/>
      <w:marLeft w:val="0"/>
      <w:marRight w:val="0"/>
      <w:marTop w:val="0"/>
      <w:marBottom w:val="0"/>
      <w:divBdr>
        <w:top w:val="none" w:sz="0" w:space="0" w:color="auto"/>
        <w:left w:val="none" w:sz="0" w:space="0" w:color="auto"/>
        <w:bottom w:val="none" w:sz="0" w:space="0" w:color="auto"/>
        <w:right w:val="none" w:sz="0" w:space="0" w:color="auto"/>
      </w:divBdr>
    </w:div>
    <w:div w:id="21226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E588-A92D-4BEE-86CA-0BFF9FF0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26710</Words>
  <Characters>152251</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Saidi Kapiga</dc:creator>
  <cp:keywords/>
  <dc:description/>
  <cp:lastModifiedBy>Heiner Grosskurth</cp:lastModifiedBy>
  <cp:revision>3</cp:revision>
  <cp:lastPrinted>2020-03-31T15:09:00Z</cp:lastPrinted>
  <dcterms:created xsi:type="dcterms:W3CDTF">2020-12-01T17:46:00Z</dcterms:created>
  <dcterms:modified xsi:type="dcterms:W3CDTF">2020-12-01T17:47:00Z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http://www.zotero.org/styles/national-library-of-medicine-grant-proposals</vt:lpwstr>
  </property>
  <property fmtid="{D5CDD505-2E9C-101B-9397-08002B2CF9AE}" pid="13" name="Mendeley Recent Style Name 5_1">
    <vt:lpwstr>National Library of Medicine (grant proposals with PMCID/PMID)</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http://www.zotero.org/styles/plos-neglected-tropical-diseases</vt:lpwstr>
  </property>
  <property fmtid="{D5CDD505-2E9C-101B-9397-08002B2CF9AE}" pid="17" name="Mendeley Recent Style Name 7_1">
    <vt:lpwstr>PLOS Neglected Tropical Diseases</vt:lpwstr>
  </property>
  <property fmtid="{D5CDD505-2E9C-101B-9397-08002B2CF9AE}" pid="18" name="Mendeley Recent Style Id 8_1">
    <vt:lpwstr>http://www.zotero.org/styles/the-isme-journal</vt:lpwstr>
  </property>
  <property fmtid="{D5CDD505-2E9C-101B-9397-08002B2CF9AE}" pid="19" name="Mendeley Recent Style Name 8_1">
    <vt:lpwstr>The ISME Journal</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3fd89f40-17b8-342a-ab03-cd5b6a1628bb</vt:lpwstr>
  </property>
  <property fmtid="{D5CDD505-2E9C-101B-9397-08002B2CF9AE}" pid="24" name="Mendeley Citation Style_1">
    <vt:lpwstr>http://www.zotero.org/styles/journal-of-the-international-aids-society</vt:lpwstr>
  </property>
</Properties>
</file>