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7DA92" w14:textId="7A3387C5" w:rsidR="00573084" w:rsidRPr="003422F8" w:rsidRDefault="00CB6D45" w:rsidP="00412D99">
      <w:pPr>
        <w:pStyle w:val="Body"/>
        <w:jc w:val="both"/>
        <w:rPr>
          <w:rFonts w:ascii="Calibri" w:eastAsia="Calibri" w:hAnsi="Calibri" w:cs="Calibri"/>
          <w:b/>
        </w:rPr>
      </w:pPr>
      <w:bookmarkStart w:id="0" w:name="_ENREF_1"/>
      <w:r>
        <w:rPr>
          <w:rFonts w:ascii="Calibri" w:eastAsia="Calibri" w:hAnsi="Calibri" w:cs="Calibri"/>
          <w:b/>
          <w:lang w:val="en-US"/>
        </w:rPr>
        <w:t xml:space="preserve">Phenytoin for </w:t>
      </w:r>
      <w:proofErr w:type="spellStart"/>
      <w:r w:rsidR="00124E8F">
        <w:rPr>
          <w:rFonts w:ascii="Calibri" w:eastAsia="Calibri" w:hAnsi="Calibri" w:cs="Calibri"/>
          <w:b/>
          <w:lang w:val="en-US"/>
        </w:rPr>
        <w:t>n</w:t>
      </w:r>
      <w:r>
        <w:rPr>
          <w:rFonts w:ascii="Calibri" w:eastAsia="Calibri" w:hAnsi="Calibri" w:cs="Calibri"/>
          <w:b/>
          <w:lang w:val="en-US"/>
        </w:rPr>
        <w:t>europrotection</w:t>
      </w:r>
      <w:proofErr w:type="spellEnd"/>
      <w:r>
        <w:rPr>
          <w:rFonts w:ascii="Calibri" w:eastAsia="Calibri" w:hAnsi="Calibri" w:cs="Calibri"/>
          <w:b/>
          <w:lang w:val="en-US"/>
        </w:rPr>
        <w:t xml:space="preserve"> in </w:t>
      </w:r>
      <w:r w:rsidR="00124E8F">
        <w:rPr>
          <w:rFonts w:ascii="Calibri" w:eastAsia="Calibri" w:hAnsi="Calibri" w:cs="Calibri"/>
          <w:b/>
          <w:lang w:val="en-US"/>
        </w:rPr>
        <w:t>a</w:t>
      </w:r>
      <w:r>
        <w:rPr>
          <w:rFonts w:ascii="Calibri" w:eastAsia="Calibri" w:hAnsi="Calibri" w:cs="Calibri"/>
          <w:b/>
          <w:lang w:val="en-US"/>
        </w:rPr>
        <w:t xml:space="preserve">cute </w:t>
      </w:r>
      <w:r w:rsidR="00124E8F">
        <w:rPr>
          <w:rFonts w:ascii="Calibri" w:eastAsia="Calibri" w:hAnsi="Calibri" w:cs="Calibri"/>
          <w:b/>
          <w:lang w:val="en-US"/>
        </w:rPr>
        <w:t>o</w:t>
      </w:r>
      <w:r>
        <w:rPr>
          <w:rFonts w:ascii="Calibri" w:eastAsia="Calibri" w:hAnsi="Calibri" w:cs="Calibri"/>
          <w:b/>
          <w:lang w:val="en-US"/>
        </w:rPr>
        <w:t xml:space="preserve">ptic </w:t>
      </w:r>
      <w:r w:rsidR="00124E8F">
        <w:rPr>
          <w:rFonts w:ascii="Calibri" w:eastAsia="Calibri" w:hAnsi="Calibri" w:cs="Calibri"/>
          <w:b/>
          <w:lang w:val="en-US"/>
        </w:rPr>
        <w:t>n</w:t>
      </w:r>
      <w:r w:rsidR="00573084" w:rsidRPr="003422F8">
        <w:rPr>
          <w:rFonts w:ascii="Calibri" w:eastAsia="Calibri" w:hAnsi="Calibri" w:cs="Calibri"/>
          <w:b/>
          <w:lang w:val="en-US"/>
        </w:rPr>
        <w:t>euritis</w:t>
      </w:r>
      <w:r w:rsidR="00276BA2">
        <w:rPr>
          <w:rFonts w:ascii="Calibri" w:eastAsia="Calibri" w:hAnsi="Calibri" w:cs="Calibri"/>
          <w:b/>
          <w:lang w:val="en-US"/>
        </w:rPr>
        <w:t>:</w:t>
      </w:r>
      <w:r w:rsidR="007C1BD2">
        <w:rPr>
          <w:rFonts w:ascii="Calibri" w:eastAsia="Calibri" w:hAnsi="Calibri" w:cs="Calibri"/>
          <w:b/>
          <w:lang w:val="en-US"/>
        </w:rPr>
        <w:t xml:space="preserve"> a </w:t>
      </w:r>
      <w:proofErr w:type="spellStart"/>
      <w:r w:rsidR="007C1BD2">
        <w:rPr>
          <w:rFonts w:ascii="Calibri" w:eastAsia="Calibri" w:hAnsi="Calibri" w:cs="Calibri"/>
          <w:b/>
          <w:lang w:val="en-US"/>
        </w:rPr>
        <w:t>randomi</w:t>
      </w:r>
      <w:r w:rsidR="00744344">
        <w:rPr>
          <w:rFonts w:ascii="Calibri" w:eastAsia="Calibri" w:hAnsi="Calibri" w:cs="Calibri"/>
          <w:b/>
          <w:lang w:val="en-US"/>
        </w:rPr>
        <w:t>s</w:t>
      </w:r>
      <w:r w:rsidR="007C1BD2">
        <w:rPr>
          <w:rFonts w:ascii="Calibri" w:eastAsia="Calibri" w:hAnsi="Calibri" w:cs="Calibri"/>
          <w:b/>
          <w:lang w:val="en-US"/>
        </w:rPr>
        <w:t>ed</w:t>
      </w:r>
      <w:proofErr w:type="spellEnd"/>
      <w:r w:rsidR="007C1BD2">
        <w:rPr>
          <w:rFonts w:ascii="Calibri" w:eastAsia="Calibri" w:hAnsi="Calibri" w:cs="Calibri"/>
          <w:b/>
          <w:lang w:val="en-US"/>
        </w:rPr>
        <w:t>, placebo-controlled</w:t>
      </w:r>
      <w:r w:rsidR="002F038C">
        <w:rPr>
          <w:rFonts w:ascii="Calibri" w:eastAsia="Calibri" w:hAnsi="Calibri" w:cs="Calibri"/>
          <w:b/>
          <w:lang w:val="en-US"/>
        </w:rPr>
        <w:t>,</w:t>
      </w:r>
      <w:r w:rsidR="007C1BD2">
        <w:rPr>
          <w:rFonts w:ascii="Calibri" w:eastAsia="Calibri" w:hAnsi="Calibri" w:cs="Calibri"/>
          <w:b/>
          <w:lang w:val="en-US"/>
        </w:rPr>
        <w:t xml:space="preserve"> phase 2 trial</w:t>
      </w:r>
    </w:p>
    <w:p w14:paraId="3D48D50D" w14:textId="77777777" w:rsidR="00573084" w:rsidRPr="003422F8" w:rsidRDefault="00573084" w:rsidP="00412D99">
      <w:pPr>
        <w:pStyle w:val="Body"/>
        <w:rPr>
          <w:rFonts w:ascii="Calibri" w:eastAsia="Calibri" w:hAnsi="Calibri" w:cs="Calibri"/>
          <w:b/>
          <w:bCs/>
        </w:rPr>
      </w:pPr>
    </w:p>
    <w:p w14:paraId="2E222E8A" w14:textId="77777777" w:rsidR="00573084" w:rsidRPr="00E6001E" w:rsidRDefault="00573084" w:rsidP="00412D99">
      <w:pPr>
        <w:pStyle w:val="Body"/>
        <w:rPr>
          <w:rFonts w:ascii="Calibri" w:eastAsia="Calibri" w:hAnsi="Calibri" w:cs="Calibri"/>
          <w:b/>
          <w:bCs/>
        </w:rPr>
      </w:pPr>
    </w:p>
    <w:p w14:paraId="70601D4D" w14:textId="6ACDD849" w:rsidR="00573084" w:rsidRPr="0050008E" w:rsidRDefault="00573084" w:rsidP="00412D99">
      <w:pPr>
        <w:rPr>
          <w:rFonts w:ascii="Calibri" w:hAnsi="Calibri" w:cs="Arial"/>
          <w:color w:val="000000" w:themeColor="text1"/>
        </w:rPr>
      </w:pPr>
      <w:bookmarkStart w:id="1" w:name="_ENREF_3"/>
      <w:bookmarkEnd w:id="0"/>
      <w:r w:rsidRPr="00022CC3">
        <w:rPr>
          <w:rFonts w:ascii="Calibri" w:hAnsi="Calibri" w:cs="Arial"/>
          <w:color w:val="000000" w:themeColor="text1"/>
        </w:rPr>
        <w:t>R</w:t>
      </w:r>
      <w:r w:rsidR="000A0C8E" w:rsidRPr="00022CC3">
        <w:rPr>
          <w:rFonts w:ascii="Calibri" w:hAnsi="Calibri" w:cs="Arial"/>
          <w:color w:val="000000" w:themeColor="text1"/>
        </w:rPr>
        <w:t>hian</w:t>
      </w:r>
      <w:r w:rsidRPr="00022CC3">
        <w:rPr>
          <w:rFonts w:ascii="Calibri" w:hAnsi="Calibri" w:cs="Arial"/>
          <w:color w:val="000000" w:themeColor="text1"/>
        </w:rPr>
        <w:t xml:space="preserve"> Raftopoulos</w:t>
      </w:r>
      <w:r w:rsidR="000A0C8E" w:rsidRPr="00022CC3">
        <w:rPr>
          <w:rFonts w:ascii="Calibri" w:hAnsi="Calibri" w:cs="Arial"/>
          <w:color w:val="000000" w:themeColor="text1"/>
        </w:rPr>
        <w:t xml:space="preserve"> M</w:t>
      </w:r>
      <w:r w:rsidR="007C1BD2">
        <w:rPr>
          <w:rFonts w:ascii="Calibri" w:hAnsi="Calibri" w:cs="Arial"/>
          <w:color w:val="000000" w:themeColor="text1"/>
        </w:rPr>
        <w:t>RCP</w:t>
      </w:r>
      <w:r w:rsidRPr="00022CC3">
        <w:rPr>
          <w:rFonts w:ascii="Calibri" w:hAnsi="Calibri" w:cs="Arial"/>
          <w:color w:val="000000" w:themeColor="text1"/>
          <w:vertAlign w:val="superscript"/>
        </w:rPr>
        <w:t>1,2</w:t>
      </w:r>
      <w:r w:rsidR="00970D99" w:rsidRPr="00022CC3">
        <w:rPr>
          <w:rFonts w:ascii="Calibri" w:hAnsi="Calibri" w:cs="Arial"/>
          <w:color w:val="000000" w:themeColor="text1"/>
          <w:vertAlign w:val="superscript"/>
        </w:rPr>
        <w:t>,3</w:t>
      </w:r>
      <w:r w:rsidRPr="00022CC3">
        <w:rPr>
          <w:rFonts w:ascii="Calibri" w:hAnsi="Calibri" w:cs="Arial"/>
          <w:color w:val="000000" w:themeColor="text1"/>
        </w:rPr>
        <w:t>, S</w:t>
      </w:r>
      <w:r w:rsidR="000A0C8E" w:rsidRPr="00022CC3">
        <w:rPr>
          <w:rFonts w:ascii="Calibri" w:hAnsi="Calibri" w:cs="Arial"/>
          <w:color w:val="000000" w:themeColor="text1"/>
        </w:rPr>
        <w:t xml:space="preserve">imon </w:t>
      </w:r>
      <w:r w:rsidR="00571929">
        <w:rPr>
          <w:rFonts w:ascii="Calibri" w:hAnsi="Calibri" w:cs="Arial"/>
          <w:color w:val="000000" w:themeColor="text1"/>
        </w:rPr>
        <w:t>J</w:t>
      </w:r>
      <w:r w:rsidRPr="00022CC3">
        <w:rPr>
          <w:rFonts w:ascii="Calibri" w:hAnsi="Calibri" w:cs="Arial"/>
          <w:color w:val="000000" w:themeColor="text1"/>
        </w:rPr>
        <w:t xml:space="preserve"> Hickman</w:t>
      </w:r>
      <w:r w:rsidR="007C1BD2">
        <w:rPr>
          <w:rFonts w:ascii="Calibri" w:hAnsi="Calibri" w:cs="Arial"/>
          <w:color w:val="000000" w:themeColor="text1"/>
        </w:rPr>
        <w:t xml:space="preserve"> FRCP</w:t>
      </w:r>
      <w:r w:rsidR="00970D99" w:rsidRPr="00022CC3">
        <w:rPr>
          <w:rFonts w:ascii="Calibri" w:hAnsi="Calibri" w:cs="Arial"/>
          <w:color w:val="000000" w:themeColor="text1"/>
          <w:vertAlign w:val="superscript"/>
        </w:rPr>
        <w:t>4</w:t>
      </w:r>
      <w:r w:rsidR="000A0C8E" w:rsidRPr="00022CC3">
        <w:rPr>
          <w:rFonts w:ascii="Calibri" w:hAnsi="Calibri" w:cs="Arial"/>
          <w:color w:val="000000" w:themeColor="text1"/>
        </w:rPr>
        <w:t>,</w:t>
      </w:r>
      <w:r w:rsidRPr="00022CC3">
        <w:rPr>
          <w:rFonts w:ascii="Calibri" w:hAnsi="Calibri" w:cs="Arial"/>
          <w:color w:val="000000" w:themeColor="text1"/>
        </w:rPr>
        <w:t xml:space="preserve"> A</w:t>
      </w:r>
      <w:r w:rsidR="000A0C8E" w:rsidRPr="00022CC3">
        <w:rPr>
          <w:rFonts w:ascii="Calibri" w:hAnsi="Calibri" w:cs="Arial"/>
          <w:color w:val="000000" w:themeColor="text1"/>
        </w:rPr>
        <w:t>hmed</w:t>
      </w:r>
      <w:r w:rsidRPr="00022CC3">
        <w:rPr>
          <w:rFonts w:ascii="Calibri" w:hAnsi="Calibri" w:cs="Arial"/>
          <w:color w:val="000000" w:themeColor="text1"/>
        </w:rPr>
        <w:t xml:space="preserve"> Toosy</w:t>
      </w:r>
      <w:r w:rsidR="007C1BD2">
        <w:rPr>
          <w:rFonts w:ascii="Calibri" w:hAnsi="Calibri" w:cs="Arial"/>
          <w:color w:val="000000" w:themeColor="text1"/>
        </w:rPr>
        <w:t xml:space="preserve"> </w:t>
      </w:r>
      <w:r w:rsidR="00CE77D2">
        <w:rPr>
          <w:rFonts w:ascii="Calibri" w:hAnsi="Calibri" w:cs="Arial"/>
          <w:color w:val="000000" w:themeColor="text1"/>
        </w:rPr>
        <w:t>M</w:t>
      </w:r>
      <w:r w:rsidR="007C1BD2">
        <w:rPr>
          <w:rFonts w:ascii="Calibri" w:hAnsi="Calibri" w:cs="Arial"/>
          <w:color w:val="000000" w:themeColor="text1"/>
        </w:rPr>
        <w:t>RCP</w:t>
      </w:r>
      <w:r w:rsidRPr="00022CC3">
        <w:rPr>
          <w:rFonts w:ascii="Calibri" w:hAnsi="Calibri" w:cs="Arial"/>
          <w:color w:val="000000" w:themeColor="text1"/>
          <w:vertAlign w:val="superscript"/>
        </w:rPr>
        <w:t>1,2</w:t>
      </w:r>
      <w:r w:rsidR="00970D99" w:rsidRPr="00022CC3">
        <w:rPr>
          <w:rFonts w:ascii="Calibri" w:hAnsi="Calibri" w:cs="Arial"/>
          <w:color w:val="000000" w:themeColor="text1"/>
          <w:vertAlign w:val="superscript"/>
        </w:rPr>
        <w:t>,3</w:t>
      </w:r>
      <w:r w:rsidR="000A0C8E" w:rsidRPr="00022CC3">
        <w:rPr>
          <w:rFonts w:ascii="Calibri" w:hAnsi="Calibri" w:cs="Arial"/>
          <w:color w:val="000000" w:themeColor="text1"/>
        </w:rPr>
        <w:t xml:space="preserve">, </w:t>
      </w:r>
      <w:r w:rsidRPr="00022CC3">
        <w:rPr>
          <w:rFonts w:ascii="Calibri" w:hAnsi="Calibri" w:cs="Arial"/>
          <w:color w:val="000000" w:themeColor="text1"/>
        </w:rPr>
        <w:t>B</w:t>
      </w:r>
      <w:r w:rsidR="000A0C8E" w:rsidRPr="00022CC3">
        <w:rPr>
          <w:rFonts w:ascii="Calibri" w:hAnsi="Calibri" w:cs="Arial"/>
          <w:color w:val="000000" w:themeColor="text1"/>
        </w:rPr>
        <w:t>asil</w:t>
      </w:r>
      <w:r w:rsidRPr="00022CC3">
        <w:rPr>
          <w:rFonts w:ascii="Calibri" w:hAnsi="Calibri" w:cs="Arial"/>
          <w:color w:val="000000" w:themeColor="text1"/>
        </w:rPr>
        <w:t xml:space="preserve"> </w:t>
      </w:r>
      <w:proofErr w:type="spellStart"/>
      <w:r w:rsidRPr="00022CC3">
        <w:rPr>
          <w:rFonts w:ascii="Calibri" w:hAnsi="Calibri" w:cs="Arial"/>
          <w:color w:val="000000" w:themeColor="text1"/>
        </w:rPr>
        <w:t>Sharrack</w:t>
      </w:r>
      <w:proofErr w:type="spellEnd"/>
      <w:r w:rsidR="007C1BD2">
        <w:rPr>
          <w:rFonts w:ascii="Calibri" w:hAnsi="Calibri" w:cs="Arial"/>
          <w:color w:val="000000" w:themeColor="text1"/>
        </w:rPr>
        <w:t xml:space="preserve"> FRCP</w:t>
      </w:r>
      <w:r w:rsidR="00970D99" w:rsidRPr="00022CC3">
        <w:rPr>
          <w:rFonts w:ascii="Calibri" w:hAnsi="Calibri" w:cs="Arial"/>
          <w:color w:val="000000" w:themeColor="text1"/>
          <w:vertAlign w:val="superscript"/>
        </w:rPr>
        <w:t>4</w:t>
      </w:r>
      <w:r w:rsidRPr="00022CC3">
        <w:rPr>
          <w:rFonts w:ascii="Calibri" w:hAnsi="Calibri" w:cs="Arial"/>
          <w:color w:val="000000" w:themeColor="text1"/>
        </w:rPr>
        <w:t>, S</w:t>
      </w:r>
      <w:r w:rsidR="007C1BD2">
        <w:rPr>
          <w:rFonts w:ascii="Calibri" w:hAnsi="Calibri" w:cs="Arial"/>
          <w:color w:val="000000" w:themeColor="text1"/>
        </w:rPr>
        <w:t>hahrukh</w:t>
      </w:r>
      <w:r w:rsidRPr="00022CC3">
        <w:rPr>
          <w:rFonts w:ascii="Calibri" w:hAnsi="Calibri" w:cs="Arial"/>
          <w:color w:val="000000" w:themeColor="text1"/>
        </w:rPr>
        <w:t xml:space="preserve"> Mallik</w:t>
      </w:r>
      <w:r w:rsidR="007C1BD2">
        <w:rPr>
          <w:rFonts w:ascii="Calibri" w:hAnsi="Calibri" w:cs="Arial"/>
          <w:color w:val="000000" w:themeColor="text1"/>
        </w:rPr>
        <w:t xml:space="preserve"> MRCP</w:t>
      </w:r>
      <w:r w:rsidRPr="00022CC3">
        <w:rPr>
          <w:rFonts w:ascii="Calibri" w:hAnsi="Calibri" w:cs="Arial"/>
          <w:color w:val="000000" w:themeColor="text1"/>
          <w:vertAlign w:val="superscript"/>
        </w:rPr>
        <w:t>1,2</w:t>
      </w:r>
      <w:r w:rsidR="00970D99" w:rsidRPr="00022CC3">
        <w:rPr>
          <w:rFonts w:ascii="Calibri" w:hAnsi="Calibri" w:cs="Arial"/>
          <w:color w:val="000000" w:themeColor="text1"/>
          <w:vertAlign w:val="superscript"/>
        </w:rPr>
        <w:t>,3</w:t>
      </w:r>
      <w:r w:rsidR="005F2C6F" w:rsidRPr="00022CC3">
        <w:rPr>
          <w:rFonts w:ascii="Calibri" w:hAnsi="Calibri" w:cs="Arial"/>
          <w:color w:val="000000" w:themeColor="text1"/>
        </w:rPr>
        <w:t>,</w:t>
      </w:r>
      <w:r w:rsidRPr="00022CC3">
        <w:rPr>
          <w:rFonts w:ascii="Calibri" w:hAnsi="Calibri" w:cs="Arial"/>
          <w:color w:val="000000" w:themeColor="text1"/>
        </w:rPr>
        <w:t xml:space="preserve"> D</w:t>
      </w:r>
      <w:r w:rsidR="000A0C8E" w:rsidRPr="00022CC3">
        <w:rPr>
          <w:rFonts w:ascii="Calibri" w:hAnsi="Calibri" w:cs="Arial"/>
          <w:color w:val="000000" w:themeColor="text1"/>
        </w:rPr>
        <w:t>avid</w:t>
      </w:r>
      <w:r w:rsidRPr="00022CC3">
        <w:rPr>
          <w:rFonts w:ascii="Calibri" w:hAnsi="Calibri" w:cs="Arial"/>
          <w:color w:val="000000" w:themeColor="text1"/>
        </w:rPr>
        <w:t xml:space="preserve"> Paling</w:t>
      </w:r>
      <w:r w:rsidR="007C1BD2">
        <w:rPr>
          <w:rFonts w:ascii="Calibri" w:hAnsi="Calibri" w:cs="Arial"/>
          <w:color w:val="000000" w:themeColor="text1"/>
        </w:rPr>
        <w:t xml:space="preserve"> MRCP</w:t>
      </w:r>
      <w:r w:rsidR="00970D99" w:rsidRPr="00022CC3">
        <w:rPr>
          <w:rFonts w:ascii="Calibri" w:hAnsi="Calibri" w:cs="Arial"/>
          <w:color w:val="000000" w:themeColor="text1"/>
          <w:vertAlign w:val="superscript"/>
        </w:rPr>
        <w:t>1,2,4</w:t>
      </w:r>
      <w:r w:rsidR="000A0C8E" w:rsidRPr="00022CC3">
        <w:rPr>
          <w:rFonts w:ascii="Calibri" w:hAnsi="Calibri" w:cs="Arial"/>
          <w:color w:val="000000" w:themeColor="text1"/>
        </w:rPr>
        <w:t>,</w:t>
      </w:r>
      <w:r w:rsidRPr="00022CC3">
        <w:rPr>
          <w:rFonts w:ascii="Calibri" w:hAnsi="Calibri" w:cs="Arial"/>
          <w:color w:val="000000" w:themeColor="text1"/>
        </w:rPr>
        <w:t xml:space="preserve"> D</w:t>
      </w:r>
      <w:r w:rsidR="000A0C8E" w:rsidRPr="00022CC3">
        <w:rPr>
          <w:rFonts w:ascii="Calibri" w:hAnsi="Calibri" w:cs="Arial"/>
          <w:color w:val="000000" w:themeColor="text1"/>
        </w:rPr>
        <w:t>aniel</w:t>
      </w:r>
      <w:r w:rsidR="005F2C6F" w:rsidRPr="00022CC3">
        <w:rPr>
          <w:rFonts w:ascii="Calibri" w:hAnsi="Calibri" w:cs="Arial"/>
          <w:color w:val="000000" w:themeColor="text1"/>
        </w:rPr>
        <w:t xml:space="preserve"> </w:t>
      </w:r>
      <w:r w:rsidRPr="00022CC3">
        <w:rPr>
          <w:rFonts w:ascii="Calibri" w:hAnsi="Calibri" w:cs="Arial"/>
          <w:color w:val="000000" w:themeColor="text1"/>
        </w:rPr>
        <w:t>R Altmann</w:t>
      </w:r>
      <w:r w:rsidR="007C1BD2">
        <w:rPr>
          <w:rFonts w:ascii="Calibri" w:hAnsi="Calibri" w:cs="Arial"/>
          <w:color w:val="000000" w:themeColor="text1"/>
        </w:rPr>
        <w:t xml:space="preserve"> PhD</w:t>
      </w:r>
      <w:r w:rsidR="00571929">
        <w:rPr>
          <w:rFonts w:ascii="Calibri" w:hAnsi="Calibri" w:cs="Arial"/>
          <w:color w:val="000000" w:themeColor="text1"/>
          <w:vertAlign w:val="superscript"/>
        </w:rPr>
        <w:t>3</w:t>
      </w:r>
      <w:r w:rsidR="00970D99" w:rsidRPr="00022CC3">
        <w:rPr>
          <w:rFonts w:ascii="Calibri" w:hAnsi="Calibri" w:cs="Arial"/>
          <w:color w:val="000000" w:themeColor="text1"/>
          <w:vertAlign w:val="superscript"/>
        </w:rPr>
        <w:t>,5</w:t>
      </w:r>
      <w:r w:rsidRPr="00022CC3">
        <w:rPr>
          <w:rFonts w:ascii="Calibri" w:hAnsi="Calibri" w:cs="Arial"/>
          <w:color w:val="000000" w:themeColor="text1"/>
        </w:rPr>
        <w:t>, M</w:t>
      </w:r>
      <w:r w:rsidR="000A0C8E" w:rsidRPr="00022CC3">
        <w:rPr>
          <w:rFonts w:ascii="Calibri" w:hAnsi="Calibri" w:cs="Arial"/>
          <w:color w:val="000000" w:themeColor="text1"/>
        </w:rPr>
        <w:t>arios</w:t>
      </w:r>
      <w:r w:rsidRPr="00022CC3">
        <w:rPr>
          <w:rFonts w:ascii="Calibri" w:hAnsi="Calibri" w:cs="Arial"/>
          <w:color w:val="000000" w:themeColor="text1"/>
        </w:rPr>
        <w:t xml:space="preserve"> </w:t>
      </w:r>
      <w:r w:rsidR="00001243">
        <w:rPr>
          <w:rFonts w:ascii="Calibri" w:hAnsi="Calibri" w:cs="Arial"/>
          <w:color w:val="000000" w:themeColor="text1"/>
        </w:rPr>
        <w:t xml:space="preserve">C </w:t>
      </w:r>
      <w:r w:rsidRPr="00022CC3">
        <w:rPr>
          <w:rFonts w:ascii="Calibri" w:hAnsi="Calibri" w:cs="Arial"/>
          <w:color w:val="000000" w:themeColor="text1"/>
        </w:rPr>
        <w:t>Yiannakas</w:t>
      </w:r>
      <w:r w:rsidR="007C1BD2">
        <w:rPr>
          <w:rFonts w:ascii="Calibri" w:hAnsi="Calibri" w:cs="Arial"/>
          <w:color w:val="000000" w:themeColor="text1"/>
        </w:rPr>
        <w:t xml:space="preserve"> PhD</w:t>
      </w:r>
      <w:r w:rsidRPr="00022CC3">
        <w:rPr>
          <w:rFonts w:ascii="Calibri" w:hAnsi="Calibri" w:cs="Arial"/>
          <w:color w:val="000000" w:themeColor="text1"/>
          <w:vertAlign w:val="superscript"/>
        </w:rPr>
        <w:t>2</w:t>
      </w:r>
      <w:r w:rsidR="00001243">
        <w:rPr>
          <w:rFonts w:ascii="Calibri" w:hAnsi="Calibri" w:cs="Arial"/>
          <w:color w:val="000000" w:themeColor="text1"/>
          <w:vertAlign w:val="superscript"/>
        </w:rPr>
        <w:t>,3</w:t>
      </w:r>
      <w:r w:rsidRPr="00022CC3">
        <w:rPr>
          <w:rFonts w:ascii="Calibri" w:hAnsi="Calibri" w:cs="Arial"/>
          <w:color w:val="000000" w:themeColor="text1"/>
        </w:rPr>
        <w:t>, P</w:t>
      </w:r>
      <w:r w:rsidR="000A0C8E" w:rsidRPr="00022CC3">
        <w:rPr>
          <w:rFonts w:ascii="Calibri" w:hAnsi="Calibri" w:cs="Arial"/>
          <w:color w:val="000000" w:themeColor="text1"/>
        </w:rPr>
        <w:t>rasad</w:t>
      </w:r>
      <w:r w:rsidRPr="00022CC3">
        <w:rPr>
          <w:rFonts w:ascii="Calibri" w:hAnsi="Calibri" w:cs="Arial"/>
          <w:color w:val="000000" w:themeColor="text1"/>
        </w:rPr>
        <w:t xml:space="preserve"> Malladi</w:t>
      </w:r>
      <w:r w:rsidR="009961BA">
        <w:rPr>
          <w:rFonts w:ascii="Calibri" w:hAnsi="Calibri" w:cs="Arial"/>
          <w:color w:val="000000" w:themeColor="text1"/>
        </w:rPr>
        <w:t xml:space="preserve"> MSc</w:t>
      </w:r>
      <w:r w:rsidRPr="00022CC3">
        <w:rPr>
          <w:rFonts w:ascii="Calibri" w:hAnsi="Calibri" w:cs="Arial"/>
          <w:color w:val="000000" w:themeColor="text1"/>
          <w:vertAlign w:val="superscript"/>
        </w:rPr>
        <w:t>1</w:t>
      </w:r>
      <w:r w:rsidRPr="00022CC3">
        <w:rPr>
          <w:rFonts w:ascii="Calibri" w:hAnsi="Calibri" w:cs="Arial"/>
          <w:color w:val="000000" w:themeColor="text1"/>
        </w:rPr>
        <w:t>, R</w:t>
      </w:r>
      <w:r w:rsidR="000A0C8E" w:rsidRPr="00022CC3">
        <w:rPr>
          <w:rFonts w:ascii="Calibri" w:hAnsi="Calibri" w:cs="Arial"/>
          <w:color w:val="000000" w:themeColor="text1"/>
        </w:rPr>
        <w:t>ose</w:t>
      </w:r>
      <w:r w:rsidRPr="00022CC3">
        <w:rPr>
          <w:rFonts w:ascii="Calibri" w:hAnsi="Calibri" w:cs="Arial"/>
          <w:color w:val="000000" w:themeColor="text1"/>
        </w:rPr>
        <w:t xml:space="preserve"> Sheridan</w:t>
      </w:r>
      <w:r w:rsidR="007C1BD2">
        <w:rPr>
          <w:rFonts w:ascii="Calibri" w:hAnsi="Calibri" w:cs="Arial"/>
          <w:color w:val="000000" w:themeColor="text1"/>
        </w:rPr>
        <w:t xml:space="preserve"> PhD</w:t>
      </w:r>
      <w:r w:rsidRPr="00022CC3">
        <w:rPr>
          <w:rFonts w:ascii="Calibri" w:hAnsi="Calibri" w:cs="Arial"/>
          <w:color w:val="000000" w:themeColor="text1"/>
          <w:vertAlign w:val="superscript"/>
        </w:rPr>
        <w:t>2</w:t>
      </w:r>
      <w:r w:rsidR="000A0C8E" w:rsidRPr="00022CC3">
        <w:rPr>
          <w:rFonts w:ascii="Calibri" w:hAnsi="Calibri" w:cs="Arial"/>
          <w:color w:val="000000" w:themeColor="text1"/>
          <w:vertAlign w:val="superscript"/>
        </w:rPr>
        <w:t xml:space="preserve"> </w:t>
      </w:r>
      <w:r w:rsidR="000A0C8E" w:rsidRPr="00022CC3">
        <w:rPr>
          <w:rFonts w:ascii="Calibri" w:hAnsi="Calibri" w:cs="Arial"/>
          <w:color w:val="000000" w:themeColor="text1"/>
        </w:rPr>
        <w:t>,</w:t>
      </w:r>
      <w:r w:rsidRPr="00022CC3">
        <w:rPr>
          <w:rFonts w:ascii="Calibri" w:hAnsi="Calibri" w:cs="Arial"/>
          <w:color w:val="000000" w:themeColor="text1"/>
        </w:rPr>
        <w:t xml:space="preserve">  </w:t>
      </w:r>
      <w:proofErr w:type="spellStart"/>
      <w:r w:rsidRPr="00022CC3">
        <w:rPr>
          <w:rFonts w:ascii="Calibri" w:hAnsi="Calibri" w:cs="Arial"/>
          <w:color w:val="000000" w:themeColor="text1"/>
        </w:rPr>
        <w:t>P</w:t>
      </w:r>
      <w:r w:rsidR="0028315B">
        <w:rPr>
          <w:rFonts w:ascii="Calibri" w:hAnsi="Calibri" w:cs="Arial"/>
          <w:color w:val="000000" w:themeColor="text1"/>
        </w:rPr>
        <w:t>tolema</w:t>
      </w:r>
      <w:r w:rsidR="00BE13E9">
        <w:rPr>
          <w:rFonts w:ascii="Calibri" w:hAnsi="Calibri" w:cs="Arial"/>
          <w:color w:val="000000" w:themeColor="text1"/>
        </w:rPr>
        <w:t>i</w:t>
      </w:r>
      <w:r w:rsidR="0028315B">
        <w:rPr>
          <w:rFonts w:ascii="Calibri" w:hAnsi="Calibri" w:cs="Arial"/>
          <w:color w:val="000000" w:themeColor="text1"/>
        </w:rPr>
        <w:t>os</w:t>
      </w:r>
      <w:proofErr w:type="spellEnd"/>
      <w:r w:rsidRPr="00022CC3">
        <w:rPr>
          <w:rFonts w:ascii="Calibri" w:hAnsi="Calibri" w:cs="Arial"/>
          <w:color w:val="000000" w:themeColor="text1"/>
        </w:rPr>
        <w:t xml:space="preserve"> </w:t>
      </w:r>
      <w:r w:rsidR="00BE13E9">
        <w:rPr>
          <w:rFonts w:ascii="Calibri" w:hAnsi="Calibri" w:cs="Arial"/>
          <w:color w:val="000000" w:themeColor="text1"/>
        </w:rPr>
        <w:t xml:space="preserve">G </w:t>
      </w:r>
      <w:proofErr w:type="spellStart"/>
      <w:r w:rsidRPr="00022CC3">
        <w:rPr>
          <w:rFonts w:ascii="Calibri" w:hAnsi="Calibri" w:cs="Tahoma"/>
          <w:lang w:eastAsia="en-GB"/>
        </w:rPr>
        <w:t>Sarrigiannis</w:t>
      </w:r>
      <w:proofErr w:type="spellEnd"/>
      <w:r w:rsidR="002F2CD2">
        <w:rPr>
          <w:rFonts w:ascii="Calibri" w:hAnsi="Calibri" w:cs="Tahoma"/>
          <w:lang w:eastAsia="en-GB"/>
        </w:rPr>
        <w:t xml:space="preserve"> FRCP</w:t>
      </w:r>
      <w:r w:rsidR="00970D99" w:rsidRPr="00022CC3">
        <w:rPr>
          <w:rFonts w:ascii="Calibri" w:hAnsi="Calibri" w:cs="Tahoma"/>
          <w:vertAlign w:val="superscript"/>
          <w:lang w:eastAsia="en-GB"/>
        </w:rPr>
        <w:t>4</w:t>
      </w:r>
      <w:r w:rsidRPr="00022CC3">
        <w:rPr>
          <w:rFonts w:ascii="Calibri" w:hAnsi="Calibri" w:cs="Tahoma"/>
          <w:lang w:eastAsia="en-GB"/>
        </w:rPr>
        <w:t>, N</w:t>
      </w:r>
      <w:r w:rsidR="000A0C8E" w:rsidRPr="00022CC3">
        <w:rPr>
          <w:rFonts w:ascii="Calibri" w:hAnsi="Calibri" w:cs="Tahoma"/>
          <w:lang w:eastAsia="en-GB"/>
        </w:rPr>
        <w:t>igel</w:t>
      </w:r>
      <w:r w:rsidRPr="00022CC3">
        <w:rPr>
          <w:rFonts w:ascii="Calibri" w:hAnsi="Calibri" w:cs="Tahoma"/>
          <w:lang w:eastAsia="en-GB"/>
        </w:rPr>
        <w:t xml:space="preserve"> </w:t>
      </w:r>
      <w:proofErr w:type="spellStart"/>
      <w:r w:rsidRPr="00022CC3">
        <w:rPr>
          <w:rFonts w:ascii="Calibri" w:hAnsi="Calibri" w:cs="Tahoma"/>
          <w:lang w:eastAsia="en-GB"/>
        </w:rPr>
        <w:t>Hoggard</w:t>
      </w:r>
      <w:proofErr w:type="spellEnd"/>
      <w:r w:rsidR="002F2CD2">
        <w:rPr>
          <w:rFonts w:ascii="Calibri" w:hAnsi="Calibri" w:cs="Tahoma"/>
          <w:lang w:eastAsia="en-GB"/>
        </w:rPr>
        <w:t xml:space="preserve"> FRCR</w:t>
      </w:r>
      <w:r w:rsidR="00970D99" w:rsidRPr="00022CC3">
        <w:rPr>
          <w:rFonts w:ascii="Calibri" w:hAnsi="Calibri" w:cs="Tahoma"/>
          <w:vertAlign w:val="superscript"/>
          <w:lang w:eastAsia="en-GB"/>
        </w:rPr>
        <w:t>4</w:t>
      </w:r>
      <w:r w:rsidRPr="00022CC3">
        <w:rPr>
          <w:rFonts w:ascii="Calibri" w:hAnsi="Calibri" w:cs="Tahoma"/>
          <w:lang w:eastAsia="en-GB"/>
        </w:rPr>
        <w:t xml:space="preserve">, </w:t>
      </w:r>
      <w:r w:rsidRPr="00022CC3">
        <w:rPr>
          <w:rFonts w:ascii="Calibri" w:hAnsi="Calibri" w:cs="Arial"/>
          <w:color w:val="000000" w:themeColor="text1"/>
        </w:rPr>
        <w:t>M</w:t>
      </w:r>
      <w:r w:rsidR="000A0C8E" w:rsidRPr="00022CC3">
        <w:rPr>
          <w:rFonts w:ascii="Calibri" w:hAnsi="Calibri" w:cs="Arial"/>
          <w:color w:val="000000" w:themeColor="text1"/>
        </w:rPr>
        <w:t>artin</w:t>
      </w:r>
      <w:r w:rsidRPr="00022CC3">
        <w:rPr>
          <w:rFonts w:ascii="Calibri" w:hAnsi="Calibri" w:cs="Arial"/>
          <w:color w:val="000000" w:themeColor="text1"/>
        </w:rPr>
        <w:t xml:space="preserve"> Koltzenburg</w:t>
      </w:r>
      <w:r w:rsidR="0028315B">
        <w:rPr>
          <w:rFonts w:ascii="Calibri" w:hAnsi="Calibri" w:cs="Arial"/>
          <w:color w:val="000000" w:themeColor="text1"/>
        </w:rPr>
        <w:t xml:space="preserve"> </w:t>
      </w:r>
      <w:r w:rsidR="00CA0A54">
        <w:rPr>
          <w:rFonts w:ascii="Calibri" w:hAnsi="Calibri" w:cs="Arial"/>
          <w:color w:val="000000" w:themeColor="text1"/>
        </w:rPr>
        <w:t>FRCP</w:t>
      </w:r>
      <w:r w:rsidRPr="00022CC3">
        <w:rPr>
          <w:rFonts w:ascii="Calibri" w:hAnsi="Calibri" w:cs="Arial"/>
          <w:color w:val="000000" w:themeColor="text1"/>
          <w:vertAlign w:val="superscript"/>
        </w:rPr>
        <w:t>1,2</w:t>
      </w:r>
      <w:r w:rsidRPr="00022CC3">
        <w:rPr>
          <w:rFonts w:ascii="Calibri" w:hAnsi="Calibri" w:cs="Arial"/>
          <w:color w:val="000000" w:themeColor="text1"/>
        </w:rPr>
        <w:t>, C</w:t>
      </w:r>
      <w:r w:rsidR="000A0C8E" w:rsidRPr="00022CC3">
        <w:rPr>
          <w:rFonts w:ascii="Calibri" w:hAnsi="Calibri" w:cs="Arial"/>
          <w:color w:val="000000" w:themeColor="text1"/>
        </w:rPr>
        <w:t>laudia</w:t>
      </w:r>
      <w:r w:rsidRPr="00022CC3">
        <w:rPr>
          <w:rFonts w:ascii="Calibri" w:hAnsi="Calibri" w:cs="Arial"/>
          <w:color w:val="000000" w:themeColor="text1"/>
        </w:rPr>
        <w:t xml:space="preserve"> </w:t>
      </w:r>
      <w:r w:rsidR="00BD7930">
        <w:rPr>
          <w:rFonts w:ascii="Calibri" w:hAnsi="Calibri" w:cs="Arial"/>
          <w:color w:val="000000" w:themeColor="text1"/>
        </w:rPr>
        <w:t xml:space="preserve">AM </w:t>
      </w:r>
      <w:proofErr w:type="spellStart"/>
      <w:r w:rsidR="00BD7930">
        <w:rPr>
          <w:rFonts w:ascii="Calibri" w:hAnsi="Calibri" w:cs="Arial"/>
          <w:color w:val="000000" w:themeColor="text1"/>
        </w:rPr>
        <w:t>Gandini</w:t>
      </w:r>
      <w:proofErr w:type="spellEnd"/>
      <w:r w:rsidR="00BD7930">
        <w:rPr>
          <w:rFonts w:ascii="Calibri" w:hAnsi="Calibri" w:cs="Arial"/>
          <w:color w:val="000000" w:themeColor="text1"/>
        </w:rPr>
        <w:t xml:space="preserve"> </w:t>
      </w:r>
      <w:r w:rsidRPr="00022CC3">
        <w:rPr>
          <w:rFonts w:ascii="Calibri" w:hAnsi="Calibri" w:cs="Arial"/>
          <w:color w:val="000000" w:themeColor="text1"/>
        </w:rPr>
        <w:t>Wheeler-Kingshott</w:t>
      </w:r>
      <w:r w:rsidR="0028315B">
        <w:rPr>
          <w:rFonts w:ascii="Calibri" w:hAnsi="Calibri" w:cs="Arial"/>
          <w:color w:val="000000" w:themeColor="text1"/>
        </w:rPr>
        <w:t xml:space="preserve"> PhD</w:t>
      </w:r>
      <w:r w:rsidRPr="00022CC3">
        <w:rPr>
          <w:rFonts w:ascii="Calibri" w:hAnsi="Calibri" w:cs="Arial"/>
          <w:color w:val="000000" w:themeColor="text1"/>
          <w:vertAlign w:val="superscript"/>
        </w:rPr>
        <w:t>2</w:t>
      </w:r>
      <w:r w:rsidR="004E02BC" w:rsidRPr="00022CC3">
        <w:rPr>
          <w:rFonts w:ascii="Calibri" w:hAnsi="Calibri" w:cs="Arial"/>
          <w:color w:val="000000" w:themeColor="text1"/>
          <w:vertAlign w:val="superscript"/>
        </w:rPr>
        <w:t>,3</w:t>
      </w:r>
      <w:r w:rsidRPr="00022CC3">
        <w:rPr>
          <w:rFonts w:ascii="Calibri" w:hAnsi="Calibri" w:cs="Arial"/>
          <w:color w:val="000000" w:themeColor="text1"/>
        </w:rPr>
        <w:t>, K</w:t>
      </w:r>
      <w:r w:rsidR="000A0C8E" w:rsidRPr="00022CC3">
        <w:rPr>
          <w:rFonts w:ascii="Calibri" w:hAnsi="Calibri" w:cs="Arial"/>
          <w:color w:val="000000" w:themeColor="text1"/>
        </w:rPr>
        <w:t>laus</w:t>
      </w:r>
      <w:r w:rsidRPr="00022CC3">
        <w:rPr>
          <w:rFonts w:ascii="Calibri" w:hAnsi="Calibri" w:cs="Arial"/>
          <w:color w:val="000000" w:themeColor="text1"/>
        </w:rPr>
        <w:t xml:space="preserve"> Schmierer</w:t>
      </w:r>
      <w:r w:rsidR="0028315B">
        <w:rPr>
          <w:rFonts w:ascii="Calibri" w:hAnsi="Calibri" w:cs="Arial"/>
          <w:color w:val="000000" w:themeColor="text1"/>
        </w:rPr>
        <w:t xml:space="preserve"> FRCP</w:t>
      </w:r>
      <w:r w:rsidR="00970D99" w:rsidRPr="00022CC3">
        <w:rPr>
          <w:rFonts w:ascii="Calibri" w:hAnsi="Calibri" w:cs="Arial"/>
          <w:color w:val="000000" w:themeColor="text1"/>
          <w:vertAlign w:val="superscript"/>
        </w:rPr>
        <w:t>6,7</w:t>
      </w:r>
      <w:r w:rsidRPr="00022CC3">
        <w:rPr>
          <w:rFonts w:ascii="Calibri" w:hAnsi="Calibri" w:cs="Arial"/>
          <w:color w:val="000000" w:themeColor="text1"/>
        </w:rPr>
        <w:t>, G</w:t>
      </w:r>
      <w:r w:rsidR="000A0C8E" w:rsidRPr="00022CC3">
        <w:rPr>
          <w:rFonts w:ascii="Calibri" w:hAnsi="Calibri" w:cs="Arial"/>
          <w:color w:val="000000" w:themeColor="text1"/>
        </w:rPr>
        <w:t>avin</w:t>
      </w:r>
      <w:r w:rsidRPr="00022CC3">
        <w:rPr>
          <w:rFonts w:ascii="Calibri" w:hAnsi="Calibri" w:cs="Arial"/>
          <w:color w:val="000000" w:themeColor="text1"/>
        </w:rPr>
        <w:t xml:space="preserve"> Giovannoni</w:t>
      </w:r>
      <w:r w:rsidR="0028315B">
        <w:rPr>
          <w:rFonts w:ascii="Calibri" w:hAnsi="Calibri" w:cs="Arial"/>
          <w:color w:val="000000" w:themeColor="text1"/>
        </w:rPr>
        <w:t xml:space="preserve"> FRCP</w:t>
      </w:r>
      <w:r w:rsidR="00970D99" w:rsidRPr="00022CC3">
        <w:rPr>
          <w:rFonts w:ascii="Calibri" w:hAnsi="Calibri" w:cs="Arial"/>
          <w:color w:val="000000" w:themeColor="text1"/>
          <w:vertAlign w:val="superscript"/>
        </w:rPr>
        <w:t>6,7</w:t>
      </w:r>
      <w:r w:rsidRPr="00022CC3">
        <w:rPr>
          <w:rFonts w:ascii="Calibri" w:hAnsi="Calibri" w:cs="Arial"/>
          <w:color w:val="000000" w:themeColor="text1"/>
        </w:rPr>
        <w:t>, D</w:t>
      </w:r>
      <w:r w:rsidR="000A0C8E" w:rsidRPr="00022CC3">
        <w:rPr>
          <w:rFonts w:ascii="Calibri" w:hAnsi="Calibri" w:cs="Arial"/>
          <w:color w:val="000000" w:themeColor="text1"/>
        </w:rPr>
        <w:t xml:space="preserve">avid </w:t>
      </w:r>
      <w:r w:rsidRPr="00022CC3">
        <w:rPr>
          <w:rFonts w:ascii="Calibri" w:hAnsi="Calibri" w:cs="Arial"/>
          <w:color w:val="000000" w:themeColor="text1"/>
        </w:rPr>
        <w:t>H Miller</w:t>
      </w:r>
      <w:r w:rsidR="0028315B">
        <w:rPr>
          <w:rFonts w:ascii="Calibri" w:hAnsi="Calibri" w:cs="Arial"/>
          <w:color w:val="000000" w:themeColor="text1"/>
        </w:rPr>
        <w:t xml:space="preserve"> F</w:t>
      </w:r>
      <w:r w:rsidR="001F6A45">
        <w:rPr>
          <w:rFonts w:ascii="Calibri" w:hAnsi="Calibri" w:cs="Arial"/>
          <w:color w:val="000000" w:themeColor="text1"/>
        </w:rPr>
        <w:t>MedSci</w:t>
      </w:r>
      <w:r w:rsidR="00970D99" w:rsidRPr="00022CC3">
        <w:rPr>
          <w:rFonts w:ascii="Calibri" w:hAnsi="Calibri" w:cs="Arial"/>
          <w:color w:val="000000" w:themeColor="text1"/>
          <w:vertAlign w:val="superscript"/>
        </w:rPr>
        <w:t>1,2,3</w:t>
      </w:r>
      <w:r w:rsidRPr="00022CC3">
        <w:rPr>
          <w:rFonts w:ascii="Calibri" w:hAnsi="Calibri" w:cs="Arial"/>
          <w:color w:val="000000" w:themeColor="text1"/>
          <w:vertAlign w:val="superscript"/>
        </w:rPr>
        <w:t xml:space="preserve"> </w:t>
      </w:r>
      <w:r w:rsidRPr="00022CC3">
        <w:rPr>
          <w:rFonts w:ascii="Calibri" w:hAnsi="Calibri" w:cs="Arial"/>
          <w:color w:val="000000" w:themeColor="text1"/>
        </w:rPr>
        <w:t>and R</w:t>
      </w:r>
      <w:r w:rsidR="0028315B">
        <w:rPr>
          <w:rFonts w:ascii="Calibri" w:hAnsi="Calibri" w:cs="Arial"/>
          <w:color w:val="000000" w:themeColor="text1"/>
        </w:rPr>
        <w:t>aju</w:t>
      </w:r>
      <w:r w:rsidRPr="00022CC3">
        <w:rPr>
          <w:rFonts w:ascii="Calibri" w:hAnsi="Calibri" w:cs="Arial"/>
          <w:color w:val="000000" w:themeColor="text1"/>
        </w:rPr>
        <w:t xml:space="preserve"> Kapoor</w:t>
      </w:r>
      <w:r w:rsidR="0028315B">
        <w:rPr>
          <w:rFonts w:ascii="Calibri" w:hAnsi="Calibri" w:cs="Arial"/>
          <w:color w:val="000000" w:themeColor="text1"/>
        </w:rPr>
        <w:t xml:space="preserve"> FRCP</w:t>
      </w:r>
      <w:r w:rsidRPr="00022CC3">
        <w:rPr>
          <w:rFonts w:ascii="Calibri" w:hAnsi="Calibri" w:cs="Arial"/>
          <w:color w:val="000000" w:themeColor="text1"/>
          <w:vertAlign w:val="superscript"/>
        </w:rPr>
        <w:t>1,2</w:t>
      </w:r>
      <w:r w:rsidR="0028315B" w:rsidRPr="0028315B">
        <w:rPr>
          <w:rFonts w:ascii="Calibri" w:hAnsi="Calibri" w:cs="Arial"/>
          <w:color w:val="000000" w:themeColor="text1"/>
          <w:vertAlign w:val="superscript"/>
        </w:rPr>
        <w:t>,3</w:t>
      </w:r>
    </w:p>
    <w:p w14:paraId="32510384" w14:textId="77777777" w:rsidR="00573084" w:rsidRPr="00E6001E" w:rsidRDefault="00573084" w:rsidP="00412D99">
      <w:pPr>
        <w:rPr>
          <w:rFonts w:ascii="Calibri" w:hAnsi="Calibri" w:cs="Arial"/>
          <w:color w:val="000000" w:themeColor="text1"/>
        </w:rPr>
      </w:pPr>
    </w:p>
    <w:p w14:paraId="02568B06" w14:textId="516607D7" w:rsidR="00CA6E4B" w:rsidRDefault="00573084" w:rsidP="00412D99">
      <w:pPr>
        <w:rPr>
          <w:rFonts w:ascii="Calibri" w:hAnsi="Calibri" w:cs="Arial"/>
          <w:color w:val="000000" w:themeColor="text1"/>
        </w:rPr>
      </w:pPr>
      <w:r w:rsidRPr="00E6001E">
        <w:rPr>
          <w:rFonts w:ascii="Calibri" w:hAnsi="Calibri" w:cs="Arial"/>
          <w:color w:val="000000" w:themeColor="text1"/>
        </w:rPr>
        <w:t xml:space="preserve">National Hospital for Neurology and Neurosurgery, </w:t>
      </w:r>
      <w:r w:rsidR="007E195E">
        <w:rPr>
          <w:rFonts w:ascii="Calibri" w:hAnsi="Calibri" w:cs="Arial"/>
          <w:color w:val="000000" w:themeColor="text1"/>
        </w:rPr>
        <w:t xml:space="preserve">Queen Square, London WC1N 3BG, </w:t>
      </w:r>
      <w:r w:rsidRPr="00E6001E">
        <w:rPr>
          <w:rFonts w:ascii="Calibri" w:hAnsi="Calibri" w:cs="Arial"/>
          <w:color w:val="000000" w:themeColor="text1"/>
        </w:rPr>
        <w:t>UK</w:t>
      </w:r>
      <w:r w:rsidRPr="00E6001E">
        <w:rPr>
          <w:rFonts w:ascii="Calibri" w:hAnsi="Calibri" w:cs="Arial"/>
          <w:color w:val="000000" w:themeColor="text1"/>
          <w:vertAlign w:val="superscript"/>
        </w:rPr>
        <w:t>1</w:t>
      </w:r>
    </w:p>
    <w:p w14:paraId="317D1A5B" w14:textId="7B420879" w:rsidR="00CA6E4B" w:rsidRDefault="00970D99" w:rsidP="00412D99">
      <w:pPr>
        <w:rPr>
          <w:rFonts w:ascii="Calibri" w:hAnsi="Calibri" w:cs="Arial"/>
          <w:color w:val="000000" w:themeColor="text1"/>
        </w:rPr>
      </w:pPr>
      <w:r>
        <w:rPr>
          <w:rFonts w:ascii="Calibri" w:hAnsi="Calibri" w:cs="Arial"/>
          <w:color w:val="000000" w:themeColor="text1"/>
        </w:rPr>
        <w:t>University College</w:t>
      </w:r>
      <w:r w:rsidR="00573084" w:rsidRPr="00E6001E">
        <w:rPr>
          <w:rFonts w:ascii="Calibri" w:hAnsi="Calibri" w:cs="Arial"/>
          <w:color w:val="000000" w:themeColor="text1"/>
        </w:rPr>
        <w:t xml:space="preserve"> London</w:t>
      </w:r>
      <w:r w:rsidR="00062823">
        <w:rPr>
          <w:rFonts w:ascii="Calibri" w:hAnsi="Calibri" w:cs="Arial"/>
          <w:color w:val="000000" w:themeColor="text1"/>
        </w:rPr>
        <w:t xml:space="preserve"> Institute of Neurology, Queen Square, </w:t>
      </w:r>
      <w:r w:rsidR="00062823" w:rsidRPr="00E6001E">
        <w:rPr>
          <w:rFonts w:ascii="Calibri" w:hAnsi="Calibri" w:cs="Arial"/>
          <w:color w:val="000000" w:themeColor="text1"/>
        </w:rPr>
        <w:t>London</w:t>
      </w:r>
      <w:r w:rsidR="00062823">
        <w:rPr>
          <w:rFonts w:ascii="Calibri" w:hAnsi="Calibri" w:cs="Arial"/>
          <w:color w:val="000000" w:themeColor="text1"/>
        </w:rPr>
        <w:t xml:space="preserve"> WC1N 3BG,</w:t>
      </w:r>
      <w:r w:rsidR="00573084" w:rsidRPr="00E6001E">
        <w:rPr>
          <w:rFonts w:ascii="Calibri" w:hAnsi="Calibri" w:cs="Arial"/>
          <w:color w:val="000000" w:themeColor="text1"/>
        </w:rPr>
        <w:t xml:space="preserve"> UK</w:t>
      </w:r>
      <w:r w:rsidR="00573084" w:rsidRPr="00E6001E">
        <w:rPr>
          <w:rFonts w:ascii="Calibri" w:hAnsi="Calibri" w:cs="Arial"/>
          <w:color w:val="000000" w:themeColor="text1"/>
          <w:vertAlign w:val="superscript"/>
        </w:rPr>
        <w:t>2</w:t>
      </w:r>
    </w:p>
    <w:p w14:paraId="7C09E89C" w14:textId="5247B6B8" w:rsidR="00CA6E4B" w:rsidRDefault="00970D99" w:rsidP="00412D99">
      <w:pPr>
        <w:rPr>
          <w:rFonts w:ascii="Calibri" w:hAnsi="Calibri" w:cs="Arial"/>
          <w:color w:val="000000" w:themeColor="text1"/>
        </w:rPr>
      </w:pPr>
      <w:r>
        <w:rPr>
          <w:rFonts w:ascii="Calibri" w:hAnsi="Calibri" w:cs="Arial"/>
          <w:color w:val="000000" w:themeColor="text1"/>
        </w:rPr>
        <w:t xml:space="preserve">Queen Square Multiple Sclerosis Centre, </w:t>
      </w:r>
      <w:r w:rsidR="00062823">
        <w:rPr>
          <w:rFonts w:ascii="Calibri" w:hAnsi="Calibri" w:cs="Arial"/>
          <w:color w:val="000000" w:themeColor="text1"/>
        </w:rPr>
        <w:t xml:space="preserve">Queen Square, </w:t>
      </w:r>
      <w:r w:rsidR="00062823" w:rsidRPr="00E6001E">
        <w:rPr>
          <w:rFonts w:ascii="Calibri" w:hAnsi="Calibri" w:cs="Arial"/>
          <w:color w:val="000000" w:themeColor="text1"/>
        </w:rPr>
        <w:t>London</w:t>
      </w:r>
      <w:r w:rsidR="00062823">
        <w:rPr>
          <w:rFonts w:ascii="Calibri" w:hAnsi="Calibri" w:cs="Arial"/>
          <w:color w:val="000000" w:themeColor="text1"/>
        </w:rPr>
        <w:t xml:space="preserve"> WC1N 3BG,</w:t>
      </w:r>
      <w:r w:rsidR="00062823" w:rsidRPr="00E6001E">
        <w:rPr>
          <w:rFonts w:ascii="Calibri" w:hAnsi="Calibri" w:cs="Arial"/>
          <w:color w:val="000000" w:themeColor="text1"/>
        </w:rPr>
        <w:t xml:space="preserve"> </w:t>
      </w:r>
      <w:r>
        <w:rPr>
          <w:rFonts w:ascii="Calibri" w:hAnsi="Calibri" w:cs="Arial"/>
          <w:color w:val="000000" w:themeColor="text1"/>
        </w:rPr>
        <w:t>UK</w:t>
      </w:r>
      <w:r w:rsidRPr="00E6001E">
        <w:rPr>
          <w:rFonts w:ascii="Calibri" w:hAnsi="Calibri" w:cs="Arial"/>
          <w:color w:val="000000" w:themeColor="text1"/>
          <w:vertAlign w:val="superscript"/>
        </w:rPr>
        <w:t>3</w:t>
      </w:r>
    </w:p>
    <w:p w14:paraId="2439951A" w14:textId="227194AE" w:rsidR="007E195E" w:rsidRDefault="00573084" w:rsidP="00412D99">
      <w:pPr>
        <w:rPr>
          <w:rFonts w:ascii="Calibri" w:hAnsi="Calibri" w:cs="Arial"/>
          <w:color w:val="000000" w:themeColor="text1"/>
        </w:rPr>
      </w:pPr>
      <w:r w:rsidRPr="00E6001E">
        <w:rPr>
          <w:rFonts w:ascii="Calibri" w:hAnsi="Calibri" w:cs="Arial"/>
          <w:color w:val="000000" w:themeColor="text1"/>
        </w:rPr>
        <w:t xml:space="preserve">Royal </w:t>
      </w:r>
      <w:proofErr w:type="spellStart"/>
      <w:r w:rsidRPr="00E6001E">
        <w:rPr>
          <w:rFonts w:ascii="Calibri" w:hAnsi="Calibri" w:cs="Arial"/>
          <w:color w:val="000000" w:themeColor="text1"/>
        </w:rPr>
        <w:t>Hallamshire</w:t>
      </w:r>
      <w:proofErr w:type="spellEnd"/>
      <w:r w:rsidRPr="00E6001E">
        <w:rPr>
          <w:rFonts w:ascii="Calibri" w:hAnsi="Calibri" w:cs="Arial"/>
          <w:color w:val="000000" w:themeColor="text1"/>
        </w:rPr>
        <w:t xml:space="preserve"> Hospital, </w:t>
      </w:r>
      <w:proofErr w:type="spellStart"/>
      <w:r w:rsidR="00892A9A">
        <w:rPr>
          <w:rFonts w:ascii="Calibri" w:hAnsi="Calibri" w:cs="Arial"/>
          <w:color w:val="000000" w:themeColor="text1"/>
        </w:rPr>
        <w:t>Glossop</w:t>
      </w:r>
      <w:proofErr w:type="spellEnd"/>
      <w:r w:rsidR="00892A9A">
        <w:rPr>
          <w:rFonts w:ascii="Calibri" w:hAnsi="Calibri" w:cs="Arial"/>
          <w:color w:val="000000" w:themeColor="text1"/>
        </w:rPr>
        <w:t xml:space="preserve"> Road, </w:t>
      </w:r>
      <w:r w:rsidRPr="00E6001E">
        <w:rPr>
          <w:rFonts w:ascii="Calibri" w:hAnsi="Calibri" w:cs="Arial"/>
          <w:color w:val="000000" w:themeColor="text1"/>
        </w:rPr>
        <w:t xml:space="preserve">Sheffield </w:t>
      </w:r>
      <w:r w:rsidR="00892A9A">
        <w:rPr>
          <w:rFonts w:ascii="Calibri" w:hAnsi="Calibri" w:cs="Arial"/>
          <w:color w:val="000000" w:themeColor="text1"/>
        </w:rPr>
        <w:t xml:space="preserve">S10 2JF, </w:t>
      </w:r>
      <w:r w:rsidRPr="00E6001E">
        <w:rPr>
          <w:rFonts w:ascii="Calibri" w:hAnsi="Calibri" w:cs="Arial"/>
          <w:color w:val="000000" w:themeColor="text1"/>
        </w:rPr>
        <w:t>UK</w:t>
      </w:r>
      <w:r w:rsidR="00970D99">
        <w:rPr>
          <w:rFonts w:ascii="Calibri" w:hAnsi="Calibri" w:cs="Arial"/>
          <w:color w:val="000000" w:themeColor="text1"/>
          <w:vertAlign w:val="superscript"/>
        </w:rPr>
        <w:t>4</w:t>
      </w:r>
    </w:p>
    <w:p w14:paraId="76A6C60C" w14:textId="07156FC1" w:rsidR="00401ED5" w:rsidRDefault="00573084" w:rsidP="00412D99">
      <w:pPr>
        <w:rPr>
          <w:rFonts w:ascii="Calibri" w:hAnsi="Calibri"/>
          <w:lang w:val="en-GB"/>
        </w:rPr>
      </w:pPr>
      <w:r w:rsidRPr="00E6001E">
        <w:rPr>
          <w:rFonts w:ascii="Calibri" w:hAnsi="Calibri"/>
          <w:lang w:val="en-GB"/>
        </w:rPr>
        <w:t xml:space="preserve">Medical Statistics Department London School of Hygiene </w:t>
      </w:r>
      <w:r w:rsidR="00AF1351">
        <w:rPr>
          <w:rFonts w:ascii="Calibri" w:hAnsi="Calibri"/>
          <w:lang w:val="en-GB"/>
        </w:rPr>
        <w:t>and</w:t>
      </w:r>
      <w:r w:rsidRPr="00E6001E">
        <w:rPr>
          <w:rFonts w:ascii="Calibri" w:hAnsi="Calibri"/>
          <w:lang w:val="en-GB"/>
        </w:rPr>
        <w:t xml:space="preserve"> Tropical Medicine, </w:t>
      </w:r>
      <w:r w:rsidR="002F038C">
        <w:rPr>
          <w:rFonts w:ascii="Calibri" w:hAnsi="Calibri"/>
          <w:lang w:val="en-GB"/>
        </w:rPr>
        <w:t xml:space="preserve">Keppel Street, </w:t>
      </w:r>
      <w:r w:rsidRPr="00E6001E">
        <w:rPr>
          <w:rFonts w:ascii="Calibri" w:hAnsi="Calibri"/>
          <w:lang w:val="en-GB"/>
        </w:rPr>
        <w:t xml:space="preserve">London </w:t>
      </w:r>
      <w:r w:rsidR="002F038C">
        <w:rPr>
          <w:rFonts w:ascii="Calibri" w:hAnsi="Calibri"/>
          <w:lang w:val="en-GB"/>
        </w:rPr>
        <w:t xml:space="preserve">WC1E 7HT, </w:t>
      </w:r>
      <w:r w:rsidRPr="00E6001E">
        <w:rPr>
          <w:rFonts w:ascii="Calibri" w:hAnsi="Calibri"/>
          <w:lang w:val="en-GB"/>
        </w:rPr>
        <w:t>UK</w:t>
      </w:r>
      <w:r w:rsidR="00970D99">
        <w:rPr>
          <w:rFonts w:ascii="Calibri" w:hAnsi="Calibri"/>
          <w:vertAlign w:val="superscript"/>
          <w:lang w:val="en-GB"/>
        </w:rPr>
        <w:t>5</w:t>
      </w:r>
    </w:p>
    <w:p w14:paraId="23C4C541" w14:textId="6D89AEDB" w:rsidR="00401ED5" w:rsidRDefault="00573084" w:rsidP="00412D99">
      <w:pPr>
        <w:rPr>
          <w:rFonts w:ascii="Calibri" w:hAnsi="Calibri" w:cs="Arial"/>
          <w:color w:val="000000" w:themeColor="text1"/>
        </w:rPr>
      </w:pPr>
      <w:proofErr w:type="spellStart"/>
      <w:r w:rsidRPr="00E6001E">
        <w:rPr>
          <w:rFonts w:ascii="Calibri" w:hAnsi="Calibri" w:cs="Arial"/>
          <w:color w:val="000000" w:themeColor="text1"/>
        </w:rPr>
        <w:t>Blizard</w:t>
      </w:r>
      <w:proofErr w:type="spellEnd"/>
      <w:r w:rsidRPr="00E6001E">
        <w:rPr>
          <w:rFonts w:ascii="Calibri" w:hAnsi="Calibri" w:cs="Arial"/>
          <w:color w:val="000000" w:themeColor="text1"/>
        </w:rPr>
        <w:t xml:space="preserve"> Institute (Neuroscience)</w:t>
      </w:r>
      <w:r w:rsidR="00124E8F">
        <w:rPr>
          <w:rFonts w:ascii="Calibri" w:hAnsi="Calibri" w:cs="Arial"/>
          <w:color w:val="000000" w:themeColor="text1"/>
        </w:rPr>
        <w:t>,</w:t>
      </w:r>
      <w:r w:rsidRPr="00E6001E">
        <w:rPr>
          <w:rFonts w:ascii="Calibri" w:hAnsi="Calibri" w:cs="Arial"/>
          <w:color w:val="000000" w:themeColor="text1"/>
        </w:rPr>
        <w:t xml:space="preserve"> Queen Mary University of London</w:t>
      </w:r>
      <w:r w:rsidR="002F038C">
        <w:rPr>
          <w:rFonts w:ascii="Calibri" w:hAnsi="Calibri" w:cs="Arial"/>
          <w:color w:val="000000" w:themeColor="text1"/>
        </w:rPr>
        <w:t>. 4 Newark Street, London E1 2AT, UK</w:t>
      </w:r>
      <w:r w:rsidR="00970D99">
        <w:rPr>
          <w:rFonts w:ascii="Calibri" w:hAnsi="Calibri" w:cs="Arial"/>
          <w:color w:val="000000" w:themeColor="text1"/>
          <w:vertAlign w:val="superscript"/>
        </w:rPr>
        <w:t>6</w:t>
      </w:r>
    </w:p>
    <w:p w14:paraId="6900B232" w14:textId="331491F6" w:rsidR="00573084" w:rsidRDefault="00573084" w:rsidP="00412D99">
      <w:pPr>
        <w:rPr>
          <w:rFonts w:ascii="Calibri" w:hAnsi="Calibri" w:cs="Arial"/>
          <w:color w:val="000000" w:themeColor="text1"/>
          <w:vertAlign w:val="superscript"/>
        </w:rPr>
      </w:pPr>
      <w:proofErr w:type="spellStart"/>
      <w:r w:rsidRPr="00E6001E">
        <w:rPr>
          <w:rFonts w:ascii="Calibri" w:hAnsi="Calibri" w:cs="Arial"/>
          <w:color w:val="000000" w:themeColor="text1"/>
        </w:rPr>
        <w:t>Barts</w:t>
      </w:r>
      <w:proofErr w:type="spellEnd"/>
      <w:r w:rsidRPr="00E6001E">
        <w:rPr>
          <w:rFonts w:ascii="Calibri" w:hAnsi="Calibri" w:cs="Arial"/>
          <w:color w:val="000000" w:themeColor="text1"/>
        </w:rPr>
        <w:t xml:space="preserve"> Health NHS Trust, </w:t>
      </w:r>
      <w:r w:rsidR="002F038C">
        <w:rPr>
          <w:rFonts w:ascii="Calibri" w:hAnsi="Calibri" w:cs="Arial"/>
          <w:color w:val="000000" w:themeColor="text1"/>
        </w:rPr>
        <w:t xml:space="preserve">80 Newark Street, </w:t>
      </w:r>
      <w:r w:rsidRPr="00E6001E">
        <w:rPr>
          <w:rFonts w:ascii="Calibri" w:hAnsi="Calibri" w:cs="Arial"/>
          <w:color w:val="000000" w:themeColor="text1"/>
        </w:rPr>
        <w:t xml:space="preserve">London </w:t>
      </w:r>
      <w:r w:rsidR="002F038C">
        <w:rPr>
          <w:rFonts w:ascii="Calibri" w:hAnsi="Calibri" w:cs="Arial"/>
          <w:color w:val="000000" w:themeColor="text1"/>
        </w:rPr>
        <w:t xml:space="preserve">E1 2ES, </w:t>
      </w:r>
      <w:r w:rsidRPr="00E6001E">
        <w:rPr>
          <w:rFonts w:ascii="Calibri" w:hAnsi="Calibri" w:cs="Arial"/>
          <w:color w:val="000000" w:themeColor="text1"/>
        </w:rPr>
        <w:t>UK</w:t>
      </w:r>
      <w:r w:rsidR="00970D99">
        <w:rPr>
          <w:rFonts w:ascii="Calibri" w:hAnsi="Calibri" w:cs="Arial"/>
          <w:color w:val="000000" w:themeColor="text1"/>
          <w:vertAlign w:val="superscript"/>
        </w:rPr>
        <w:t>7</w:t>
      </w:r>
    </w:p>
    <w:p w14:paraId="5AC120CC" w14:textId="77777777" w:rsidR="00CB6D45" w:rsidRDefault="00CB6D45" w:rsidP="00412D99">
      <w:pPr>
        <w:rPr>
          <w:rFonts w:ascii="Calibri" w:hAnsi="Calibri" w:cs="Arial"/>
          <w:color w:val="000000" w:themeColor="text1"/>
          <w:vertAlign w:val="superscript"/>
        </w:rPr>
      </w:pPr>
    </w:p>
    <w:p w14:paraId="3E141CE2" w14:textId="45FBF242" w:rsidR="00CB6D45" w:rsidRDefault="00CB6D45" w:rsidP="00412D99">
      <w:pPr>
        <w:rPr>
          <w:rFonts w:ascii="Calibri" w:hAnsi="Calibri" w:cs="Arial"/>
          <w:color w:val="000000" w:themeColor="text1"/>
        </w:rPr>
      </w:pPr>
      <w:r>
        <w:rPr>
          <w:rFonts w:ascii="Calibri" w:hAnsi="Calibri" w:cs="Arial"/>
          <w:color w:val="000000" w:themeColor="text1"/>
        </w:rPr>
        <w:t xml:space="preserve">Corresponding author: Dr </w:t>
      </w:r>
      <w:r w:rsidRPr="00E6001E">
        <w:rPr>
          <w:rFonts w:ascii="Calibri" w:hAnsi="Calibri" w:cs="Arial"/>
          <w:color w:val="000000" w:themeColor="text1"/>
        </w:rPr>
        <w:t>R</w:t>
      </w:r>
      <w:r w:rsidR="00124E8F">
        <w:rPr>
          <w:rFonts w:ascii="Calibri" w:hAnsi="Calibri" w:cs="Arial"/>
          <w:color w:val="000000" w:themeColor="text1"/>
        </w:rPr>
        <w:t>aju</w:t>
      </w:r>
      <w:r w:rsidRPr="00E6001E">
        <w:rPr>
          <w:rFonts w:ascii="Calibri" w:hAnsi="Calibri" w:cs="Arial"/>
          <w:color w:val="000000" w:themeColor="text1"/>
        </w:rPr>
        <w:t xml:space="preserve"> Kapoor</w:t>
      </w:r>
    </w:p>
    <w:p w14:paraId="24A4DDB9" w14:textId="77777777" w:rsidR="00CB6D45" w:rsidRDefault="00CB6D45" w:rsidP="00412D99">
      <w:pPr>
        <w:rPr>
          <w:rFonts w:ascii="Calibri" w:hAnsi="Calibri" w:cs="Arial"/>
          <w:color w:val="000000" w:themeColor="text1"/>
        </w:rPr>
      </w:pP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t xml:space="preserve">  National Hospital for Neurology and Neurosurgery, Queen </w:t>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t xml:space="preserve">  Square, London WC1N 3BG, UK</w:t>
      </w:r>
    </w:p>
    <w:p w14:paraId="63DAD0F4" w14:textId="77777777" w:rsidR="00CB6D45" w:rsidRDefault="00CB6D45" w:rsidP="00412D99">
      <w:pPr>
        <w:rPr>
          <w:rFonts w:ascii="Calibri" w:hAnsi="Calibri" w:cs="Arial"/>
          <w:color w:val="000000" w:themeColor="text1"/>
        </w:rPr>
      </w:pP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t xml:space="preserve">  Email: </w:t>
      </w:r>
      <w:hyperlink r:id="rId9" w:history="1">
        <w:r w:rsidRPr="00F3514F">
          <w:rPr>
            <w:rStyle w:val="Hyperlink"/>
            <w:rFonts w:ascii="Calibri" w:hAnsi="Calibri" w:cs="Arial"/>
          </w:rPr>
          <w:t>r.kapoor@nhs.net</w:t>
        </w:r>
      </w:hyperlink>
    </w:p>
    <w:p w14:paraId="5C8F1D2C" w14:textId="77777777" w:rsidR="00CB6D45" w:rsidRDefault="00CB6D45" w:rsidP="00412D99">
      <w:pPr>
        <w:rPr>
          <w:rFonts w:ascii="Calibri" w:hAnsi="Calibri" w:cs="Arial"/>
          <w:color w:val="000000" w:themeColor="text1"/>
        </w:rPr>
      </w:pP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t xml:space="preserve">  Phone: +44 203 448 4719</w:t>
      </w:r>
    </w:p>
    <w:p w14:paraId="795EF679" w14:textId="77777777" w:rsidR="00CB6D45" w:rsidRDefault="00CB6D45" w:rsidP="00412D99">
      <w:pPr>
        <w:rPr>
          <w:rFonts w:ascii="Calibri" w:hAnsi="Calibri" w:cs="Arial"/>
          <w:color w:val="000000" w:themeColor="text1"/>
          <w:vertAlign w:val="superscript"/>
        </w:rPr>
      </w:pPr>
    </w:p>
    <w:p w14:paraId="4B2289D3" w14:textId="77777777" w:rsidR="00CB6D45" w:rsidRDefault="00CB6D45" w:rsidP="00412D99">
      <w:pPr>
        <w:rPr>
          <w:rFonts w:ascii="Calibri" w:hAnsi="Calibri" w:cs="Arial"/>
          <w:color w:val="000000" w:themeColor="text1"/>
          <w:vertAlign w:val="superscript"/>
        </w:rPr>
      </w:pPr>
    </w:p>
    <w:p w14:paraId="21BBF5C6" w14:textId="2AE39E21" w:rsidR="00573084" w:rsidRPr="007C0B95" w:rsidRDefault="00CB6D45" w:rsidP="007C0B95">
      <w:pPr>
        <w:rPr>
          <w:rFonts w:asciiTheme="majorHAnsi" w:eastAsia="Calibri" w:hAnsiTheme="majorHAnsi" w:cs="Calibri"/>
          <w:u w:val="single"/>
        </w:rPr>
      </w:pPr>
      <w:r>
        <w:rPr>
          <w:rFonts w:ascii="Calibri" w:hAnsi="Calibri" w:cs="Arial"/>
          <w:color w:val="000000" w:themeColor="text1"/>
          <w:vertAlign w:val="superscript"/>
        </w:rPr>
        <w:t xml:space="preserve">  </w:t>
      </w:r>
      <w:r w:rsidR="00573084" w:rsidRPr="003422F8">
        <w:br w:type="page"/>
      </w:r>
      <w:r w:rsidR="00276BA2" w:rsidRPr="007C0B95">
        <w:rPr>
          <w:rFonts w:asciiTheme="majorHAnsi" w:eastAsia="Calibri" w:hAnsiTheme="majorHAnsi" w:cs="Calibri"/>
          <w:u w:val="single"/>
          <w:lang w:val="de-DE"/>
        </w:rPr>
        <w:lastRenderedPageBreak/>
        <w:t>Summary</w:t>
      </w:r>
    </w:p>
    <w:p w14:paraId="42D06DE5" w14:textId="77777777" w:rsidR="00573084" w:rsidRPr="007C0B95" w:rsidRDefault="00573084" w:rsidP="00412D99">
      <w:pPr>
        <w:pStyle w:val="Body"/>
        <w:jc w:val="both"/>
        <w:rPr>
          <w:rFonts w:asciiTheme="majorHAnsi" w:eastAsia="Calibri" w:hAnsiTheme="majorHAnsi" w:cs="Calibri"/>
          <w:b/>
          <w:bCs/>
          <w:u w:val="single"/>
        </w:rPr>
      </w:pPr>
    </w:p>
    <w:p w14:paraId="2A2713D2" w14:textId="32F8F97C" w:rsidR="0071547C" w:rsidRPr="003422F8" w:rsidRDefault="00573084" w:rsidP="00412D99">
      <w:pPr>
        <w:pStyle w:val="Body"/>
        <w:jc w:val="both"/>
        <w:rPr>
          <w:rFonts w:ascii="Calibri" w:eastAsia="Calibri" w:hAnsi="Calibri" w:cs="Calibri"/>
        </w:rPr>
      </w:pPr>
      <w:r w:rsidRPr="007C0B95">
        <w:rPr>
          <w:rFonts w:asciiTheme="majorHAnsi" w:eastAsia="Calibri" w:hAnsiTheme="majorHAnsi" w:cs="Calibri"/>
          <w:u w:val="single"/>
          <w:lang w:val="en-US"/>
        </w:rPr>
        <w:t>Background</w:t>
      </w:r>
      <w:r w:rsidRPr="007C0B95">
        <w:rPr>
          <w:rFonts w:asciiTheme="majorHAnsi" w:eastAsia="Calibri" w:hAnsiTheme="majorHAnsi" w:cs="Calibri"/>
          <w:lang w:val="en-US"/>
        </w:rPr>
        <w:t>: Acute optic neuritis (AON)</w:t>
      </w:r>
      <w:r w:rsidR="00F974AB" w:rsidRPr="007C0B95">
        <w:rPr>
          <w:rFonts w:asciiTheme="majorHAnsi" w:eastAsia="Calibri" w:hAnsiTheme="majorHAnsi" w:cs="Calibri"/>
          <w:lang w:val="en-US"/>
        </w:rPr>
        <w:t>,</w:t>
      </w:r>
      <w:r w:rsidRPr="007C0B95">
        <w:rPr>
          <w:rFonts w:asciiTheme="majorHAnsi" w:eastAsia="Calibri" w:hAnsiTheme="majorHAnsi" w:cs="Calibri"/>
          <w:lang w:val="en-US"/>
        </w:rPr>
        <w:t xml:space="preserve"> a common feature of multiple sclerosis</w:t>
      </w:r>
      <w:r w:rsidR="00F974AB" w:rsidRPr="007C0B95">
        <w:rPr>
          <w:rFonts w:asciiTheme="majorHAnsi" w:eastAsia="Calibri" w:hAnsiTheme="majorHAnsi" w:cs="Calibri"/>
          <w:lang w:val="en-US"/>
        </w:rPr>
        <w:t>,</w:t>
      </w:r>
      <w:r w:rsidRPr="007C0B95">
        <w:rPr>
          <w:rFonts w:asciiTheme="majorHAnsi" w:eastAsia="Calibri" w:hAnsiTheme="majorHAnsi" w:cs="Calibri"/>
          <w:lang w:val="en-US"/>
        </w:rPr>
        <w:t xml:space="preserve"> c</w:t>
      </w:r>
      <w:bookmarkEnd w:id="1"/>
      <w:r w:rsidRPr="007C0B95">
        <w:rPr>
          <w:rFonts w:asciiTheme="majorHAnsi" w:eastAsia="Calibri" w:hAnsiTheme="majorHAnsi" w:cs="Calibri"/>
        </w:rPr>
        <w:t>a</w:t>
      </w:r>
      <w:bookmarkStart w:id="2" w:name="_ENREF_4"/>
      <w:r w:rsidRPr="007C0B95">
        <w:rPr>
          <w:rFonts w:asciiTheme="majorHAnsi" w:eastAsia="Calibri" w:hAnsiTheme="majorHAnsi" w:cs="Calibri"/>
          <w:lang w:val="en-US"/>
        </w:rPr>
        <w:t xml:space="preserve">n </w:t>
      </w:r>
      <w:r w:rsidR="0045052D" w:rsidRPr="007C0B95">
        <w:rPr>
          <w:rFonts w:asciiTheme="majorHAnsi" w:eastAsia="Calibri" w:hAnsiTheme="majorHAnsi" w:cs="Calibri"/>
          <w:lang w:val="en-US"/>
        </w:rPr>
        <w:t>damage vision</w:t>
      </w:r>
      <w:r w:rsidRPr="007C0B95">
        <w:rPr>
          <w:rFonts w:asciiTheme="majorHAnsi" w:eastAsia="Calibri" w:hAnsiTheme="majorHAnsi" w:cs="Calibri"/>
          <w:lang w:val="en-US"/>
        </w:rPr>
        <w:t xml:space="preserve"> through </w:t>
      </w:r>
      <w:proofErr w:type="spellStart"/>
      <w:r w:rsidRPr="007C0B95">
        <w:rPr>
          <w:rFonts w:asciiTheme="majorHAnsi" w:eastAsia="Calibri" w:hAnsiTheme="majorHAnsi" w:cs="Calibri"/>
          <w:lang w:val="en-US"/>
        </w:rPr>
        <w:t>neurodegeneration</w:t>
      </w:r>
      <w:proofErr w:type="spellEnd"/>
      <w:r w:rsidRPr="007C0B95">
        <w:rPr>
          <w:rFonts w:asciiTheme="majorHAnsi" w:eastAsia="Calibri" w:hAnsiTheme="majorHAnsi" w:cs="Calibri"/>
          <w:lang w:val="en-US"/>
        </w:rPr>
        <w:t xml:space="preserve"> in the retina and optic nerve. Inhibition of voltage-gated sodium channels is</w:t>
      </w:r>
      <w:r w:rsidR="00F27F9A" w:rsidRPr="007C0B95">
        <w:rPr>
          <w:rFonts w:asciiTheme="majorHAnsi" w:eastAsia="Calibri" w:hAnsiTheme="majorHAnsi" w:cs="Calibri"/>
          <w:lang w:val="en-US"/>
        </w:rPr>
        <w:t xml:space="preserve"> </w:t>
      </w:r>
      <w:proofErr w:type="spellStart"/>
      <w:r w:rsidR="00F27F9A" w:rsidRPr="007C0B95">
        <w:rPr>
          <w:rFonts w:asciiTheme="majorHAnsi" w:eastAsia="Calibri" w:hAnsiTheme="majorHAnsi" w:cs="Calibri"/>
          <w:lang w:val="en-US"/>
        </w:rPr>
        <w:t>neuroprotective</w:t>
      </w:r>
      <w:proofErr w:type="spellEnd"/>
      <w:r w:rsidR="00F27F9A" w:rsidRPr="007C0B95">
        <w:rPr>
          <w:rFonts w:asciiTheme="majorHAnsi" w:eastAsia="Calibri" w:hAnsiTheme="majorHAnsi" w:cs="Calibri"/>
          <w:lang w:val="en-US"/>
        </w:rPr>
        <w:t xml:space="preserve"> in preclinical models</w:t>
      </w:r>
      <w:r w:rsidR="0045052D" w:rsidRPr="007C0B95">
        <w:rPr>
          <w:rFonts w:asciiTheme="majorHAnsi" w:eastAsia="Calibri" w:hAnsiTheme="majorHAnsi" w:cs="Calibri"/>
          <w:lang w:val="en-US"/>
        </w:rPr>
        <w:t>. I</w:t>
      </w:r>
      <w:bookmarkStart w:id="3" w:name="_ENREF_5"/>
      <w:bookmarkEnd w:id="2"/>
      <w:r w:rsidRPr="007C0B95">
        <w:rPr>
          <w:rFonts w:asciiTheme="majorHAnsi" w:eastAsia="Calibri" w:hAnsiTheme="majorHAnsi" w:cs="Calibri"/>
          <w:lang w:val="en-US"/>
        </w:rPr>
        <w:t>n this phase 2 trial we assessed</w:t>
      </w:r>
      <w:r w:rsidRPr="003422F8">
        <w:rPr>
          <w:rFonts w:ascii="Calibri" w:eastAsia="Calibri" w:hAnsi="Calibri" w:cs="Calibri"/>
          <w:lang w:val="en-US"/>
        </w:rPr>
        <w:t xml:space="preserve"> whether sodium channel inhibition with phenytoin is also </w:t>
      </w:r>
      <w:proofErr w:type="spellStart"/>
      <w:r w:rsidRPr="003422F8">
        <w:rPr>
          <w:rFonts w:ascii="Calibri" w:eastAsia="Calibri" w:hAnsi="Calibri" w:cs="Calibri"/>
          <w:lang w:val="en-US"/>
        </w:rPr>
        <w:t>neuroprotective</w:t>
      </w:r>
      <w:proofErr w:type="spellEnd"/>
      <w:r w:rsidRPr="003422F8">
        <w:rPr>
          <w:rFonts w:ascii="Calibri" w:eastAsia="Calibri" w:hAnsi="Calibri" w:cs="Calibri"/>
          <w:lang w:val="en-US"/>
        </w:rPr>
        <w:t xml:space="preserve"> </w:t>
      </w:r>
      <w:bookmarkEnd w:id="3"/>
      <w:r w:rsidRPr="003422F8">
        <w:rPr>
          <w:rFonts w:ascii="Calibri" w:eastAsia="Calibri" w:hAnsi="Calibri" w:cs="Calibri"/>
        </w:rPr>
        <w:t>i</w:t>
      </w:r>
      <w:bookmarkStart w:id="4" w:name="_ENREF_6"/>
      <w:r w:rsidRPr="003422F8">
        <w:rPr>
          <w:rFonts w:ascii="Calibri" w:eastAsia="Calibri" w:hAnsi="Calibri" w:cs="Calibri"/>
        </w:rPr>
        <w:t>n AON.</w:t>
      </w:r>
    </w:p>
    <w:p w14:paraId="19CE01FF" w14:textId="4A869296" w:rsidR="00873B88" w:rsidRPr="003422F8" w:rsidRDefault="00276BA2" w:rsidP="00412D99">
      <w:pPr>
        <w:pStyle w:val="Body"/>
        <w:jc w:val="both"/>
        <w:rPr>
          <w:rFonts w:ascii="Calibri" w:eastAsia="Calibri" w:hAnsi="Calibri" w:cs="Calibri"/>
        </w:rPr>
      </w:pPr>
      <w:r>
        <w:rPr>
          <w:rFonts w:ascii="Calibri" w:eastAsia="Calibri" w:hAnsi="Calibri" w:cs="Calibri"/>
          <w:u w:val="single"/>
          <w:lang w:val="en-US"/>
        </w:rPr>
        <w:t>Method</w:t>
      </w:r>
      <w:r w:rsidR="00573084" w:rsidRPr="003422F8">
        <w:rPr>
          <w:rFonts w:ascii="Calibri" w:eastAsia="Calibri" w:hAnsi="Calibri" w:cs="Calibri"/>
          <w:u w:val="single"/>
          <w:lang w:val="en-US"/>
        </w:rPr>
        <w:t>s</w:t>
      </w:r>
      <w:r w:rsidR="00573084" w:rsidRPr="00F23812">
        <w:rPr>
          <w:rFonts w:ascii="Calibri" w:eastAsia="Calibri" w:hAnsi="Calibri" w:cs="Calibri"/>
          <w:lang w:val="en-US"/>
        </w:rPr>
        <w:t>:</w:t>
      </w:r>
      <w:r w:rsidR="00D57A6E" w:rsidRPr="00F23812">
        <w:rPr>
          <w:rFonts w:ascii="Calibri" w:eastAsia="Calibri" w:hAnsi="Calibri" w:cs="Calibri"/>
          <w:lang w:val="en-US"/>
        </w:rPr>
        <w:t xml:space="preserve"> </w:t>
      </w:r>
      <w:r w:rsidR="004C4DA2" w:rsidRPr="00F23812">
        <w:rPr>
          <w:rFonts w:ascii="Calibri" w:eastAsia="Calibri" w:hAnsi="Calibri" w:cs="Calibri"/>
          <w:lang w:val="en-US"/>
        </w:rPr>
        <w:t>We undertook a</w:t>
      </w:r>
      <w:r w:rsidR="00D57A6E" w:rsidRPr="00F23812">
        <w:rPr>
          <w:rFonts w:ascii="Calibri" w:eastAsia="Calibri" w:hAnsi="Calibri" w:cs="Calibri"/>
          <w:lang w:val="en-US"/>
        </w:rPr>
        <w:t xml:space="preserve"> </w:t>
      </w:r>
      <w:proofErr w:type="spellStart"/>
      <w:r w:rsidR="004C4DA2" w:rsidRPr="00F23812">
        <w:rPr>
          <w:rFonts w:ascii="Calibri" w:eastAsia="Calibri" w:hAnsi="Calibri" w:cs="Calibri"/>
          <w:lang w:val="en-US"/>
        </w:rPr>
        <w:t>randomised</w:t>
      </w:r>
      <w:proofErr w:type="spellEnd"/>
      <w:r w:rsidR="004C4DA2" w:rsidRPr="00F23812">
        <w:rPr>
          <w:rFonts w:ascii="Calibri" w:eastAsia="Calibri" w:hAnsi="Calibri" w:cs="Calibri"/>
          <w:lang w:val="en-US"/>
        </w:rPr>
        <w:t xml:space="preserve">, placebo-controlled, </w:t>
      </w:r>
      <w:r w:rsidR="00D57A6E" w:rsidRPr="00F23812">
        <w:rPr>
          <w:rFonts w:ascii="Calibri" w:eastAsia="Calibri" w:hAnsi="Calibri" w:cs="Calibri"/>
          <w:lang w:val="en-US"/>
        </w:rPr>
        <w:t>double</w:t>
      </w:r>
      <w:r w:rsidR="004C4DA2" w:rsidRPr="00F23812">
        <w:rPr>
          <w:rFonts w:ascii="Calibri" w:eastAsia="Calibri" w:hAnsi="Calibri" w:cs="Calibri"/>
          <w:lang w:val="en-US"/>
        </w:rPr>
        <w:t>-</w:t>
      </w:r>
      <w:r w:rsidR="00D57A6E" w:rsidRPr="00F23812">
        <w:rPr>
          <w:rFonts w:ascii="Calibri" w:eastAsia="Calibri" w:hAnsi="Calibri" w:cs="Calibri"/>
          <w:lang w:val="en-US"/>
        </w:rPr>
        <w:t>blind tria</w:t>
      </w:r>
      <w:r w:rsidR="00487D8B">
        <w:rPr>
          <w:rFonts w:ascii="Calibri" w:eastAsia="Calibri" w:hAnsi="Calibri" w:cs="Calibri"/>
          <w:lang w:val="en-US"/>
        </w:rPr>
        <w:t>l</w:t>
      </w:r>
      <w:r w:rsidR="004C4DA2" w:rsidRPr="00F23812">
        <w:rPr>
          <w:rFonts w:ascii="Calibri" w:eastAsia="Calibri" w:hAnsi="Calibri" w:cs="Calibri"/>
          <w:lang w:val="en-US"/>
        </w:rPr>
        <w:t xml:space="preserve"> at two </w:t>
      </w:r>
      <w:r w:rsidR="00F777C7">
        <w:rPr>
          <w:rFonts w:ascii="Calibri" w:eastAsia="Calibri" w:hAnsi="Calibri" w:cs="Calibri"/>
          <w:lang w:val="en-US"/>
        </w:rPr>
        <w:t xml:space="preserve">UK </w:t>
      </w:r>
      <w:r w:rsidR="004C4DA2" w:rsidRPr="00F23812">
        <w:rPr>
          <w:rFonts w:ascii="Calibri" w:eastAsia="Calibri" w:hAnsi="Calibri" w:cs="Calibri"/>
          <w:lang w:val="en-US"/>
        </w:rPr>
        <w:t xml:space="preserve">neuroscience </w:t>
      </w:r>
      <w:proofErr w:type="spellStart"/>
      <w:r w:rsidR="004C4DA2" w:rsidRPr="00F23812">
        <w:rPr>
          <w:rFonts w:ascii="Calibri" w:eastAsia="Calibri" w:hAnsi="Calibri" w:cs="Calibri"/>
          <w:lang w:val="en-US"/>
        </w:rPr>
        <w:t>centres</w:t>
      </w:r>
      <w:proofErr w:type="spellEnd"/>
      <w:r w:rsidR="004C4DA2" w:rsidRPr="00F23812">
        <w:rPr>
          <w:rFonts w:ascii="Calibri" w:eastAsia="Calibri" w:hAnsi="Calibri" w:cs="Calibri"/>
          <w:lang w:val="en-US"/>
        </w:rPr>
        <w:t xml:space="preserve">. </w:t>
      </w:r>
      <w:r w:rsidR="00C14376">
        <w:rPr>
          <w:rFonts w:ascii="Calibri" w:eastAsia="Calibri" w:hAnsi="Calibri" w:cs="Calibri"/>
          <w:lang w:val="en-US"/>
        </w:rPr>
        <w:t>Patient</w:t>
      </w:r>
      <w:r w:rsidR="00F23812" w:rsidRPr="00F23812">
        <w:rPr>
          <w:rFonts w:ascii="Calibri" w:eastAsia="Calibri" w:hAnsi="Calibri" w:cs="Calibri"/>
          <w:lang w:val="en-US"/>
        </w:rPr>
        <w:t xml:space="preserve">s with </w:t>
      </w:r>
      <w:r w:rsidR="004C4DA2" w:rsidRPr="00F23812">
        <w:rPr>
          <w:rFonts w:ascii="Calibri" w:eastAsia="Calibri" w:hAnsi="Calibri" w:cs="Calibri"/>
          <w:lang w:val="en-US"/>
        </w:rPr>
        <w:t>AON aged 18-60 years</w:t>
      </w:r>
      <w:r w:rsidR="0045052D">
        <w:rPr>
          <w:rFonts w:ascii="Calibri" w:eastAsia="Calibri" w:hAnsi="Calibri" w:cs="Calibri"/>
          <w:lang w:val="en-US"/>
        </w:rPr>
        <w:t xml:space="preserve"> and</w:t>
      </w:r>
      <w:r w:rsidR="008A1E1E" w:rsidRPr="00F23812">
        <w:rPr>
          <w:rFonts w:ascii="Calibri" w:eastAsia="Calibri" w:hAnsi="Calibri" w:cs="Calibri"/>
          <w:lang w:val="en-US"/>
        </w:rPr>
        <w:t xml:space="preserve"> </w:t>
      </w:r>
      <w:r w:rsidR="00D54F57">
        <w:rPr>
          <w:rFonts w:ascii="Calibri" w:eastAsia="Calibri" w:hAnsi="Calibri" w:cs="Calibri"/>
          <w:lang w:val="en-US"/>
        </w:rPr>
        <w:t>presenting</w:t>
      </w:r>
      <w:r w:rsidR="00F23812" w:rsidRPr="00F23812">
        <w:rPr>
          <w:rFonts w:ascii="Calibri" w:eastAsia="Calibri" w:hAnsi="Calibri" w:cs="Calibri"/>
          <w:lang w:val="en-US"/>
        </w:rPr>
        <w:t xml:space="preserve"> </w:t>
      </w:r>
      <w:r w:rsidR="008A1E1E" w:rsidRPr="00F23812">
        <w:rPr>
          <w:rFonts w:ascii="Calibri" w:eastAsia="Calibri" w:hAnsi="Calibri" w:cs="Calibri"/>
          <w:lang w:val="en-US"/>
        </w:rPr>
        <w:t>within</w:t>
      </w:r>
      <w:r w:rsidR="00FE1ACF" w:rsidRPr="00F23812">
        <w:rPr>
          <w:rFonts w:ascii="Calibri" w:eastAsia="Calibri" w:hAnsi="Calibri" w:cs="Calibri"/>
          <w:lang w:val="en-US"/>
        </w:rPr>
        <w:t xml:space="preserve"> two</w:t>
      </w:r>
      <w:r w:rsidR="008A1E1E" w:rsidRPr="00F23812">
        <w:rPr>
          <w:rFonts w:ascii="Calibri" w:eastAsia="Calibri" w:hAnsi="Calibri" w:cs="Calibri"/>
          <w:lang w:val="en-US"/>
        </w:rPr>
        <w:t xml:space="preserve"> weeks of onset</w:t>
      </w:r>
      <w:r w:rsidR="00F23812" w:rsidRPr="00F23812">
        <w:rPr>
          <w:rFonts w:ascii="Calibri" w:eastAsia="Calibri" w:hAnsi="Calibri" w:cs="Calibri"/>
          <w:lang w:val="en-US"/>
        </w:rPr>
        <w:t xml:space="preserve"> were</w:t>
      </w:r>
      <w:r w:rsidR="00F23812">
        <w:rPr>
          <w:rFonts w:ascii="Calibri" w:eastAsia="Calibri" w:hAnsi="Calibri" w:cs="Calibri"/>
          <w:lang w:val="en-US"/>
        </w:rPr>
        <w:t xml:space="preserve"> </w:t>
      </w:r>
      <w:r w:rsidR="00FE1ACF" w:rsidRPr="00F23812">
        <w:rPr>
          <w:rFonts w:ascii="Calibri" w:eastAsia="Calibri" w:hAnsi="Calibri" w:cs="Calibri"/>
          <w:lang w:val="en-US"/>
        </w:rPr>
        <w:t xml:space="preserve">randomly assigned </w:t>
      </w:r>
      <w:r w:rsidR="007C7944" w:rsidRPr="00F23812">
        <w:rPr>
          <w:rFonts w:ascii="Calibri" w:eastAsia="Calibri" w:hAnsi="Calibri" w:cs="Calibri"/>
          <w:lang w:val="en-US"/>
        </w:rPr>
        <w:t xml:space="preserve">1:1 </w:t>
      </w:r>
      <w:r w:rsidR="00F23812">
        <w:rPr>
          <w:rFonts w:ascii="Calibri" w:eastAsia="Calibri" w:hAnsi="Calibri" w:cs="Calibri"/>
          <w:lang w:val="en-US"/>
        </w:rPr>
        <w:t>via</w:t>
      </w:r>
      <w:r w:rsidR="00F23812" w:rsidRPr="00F23812">
        <w:rPr>
          <w:rFonts w:ascii="Calibri" w:eastAsia="Calibri" w:hAnsi="Calibri" w:cs="Calibri"/>
          <w:lang w:val="en-US"/>
        </w:rPr>
        <w:t xml:space="preserve"> a web-based service by </w:t>
      </w:r>
      <w:proofErr w:type="spellStart"/>
      <w:r w:rsidR="007C7944" w:rsidRPr="00F23812">
        <w:rPr>
          <w:rFonts w:ascii="Calibri" w:eastAsia="Calibri" w:hAnsi="Calibri" w:cs="Calibri"/>
          <w:lang w:val="en-US"/>
        </w:rPr>
        <w:t>minimisation</w:t>
      </w:r>
      <w:proofErr w:type="spellEnd"/>
      <w:r w:rsidR="00573084" w:rsidRPr="00F23812">
        <w:rPr>
          <w:rFonts w:ascii="Calibri" w:eastAsia="Calibri" w:hAnsi="Calibri" w:cs="Calibri"/>
          <w:lang w:val="en-US"/>
        </w:rPr>
        <w:t xml:space="preserve"> to phenytoin</w:t>
      </w:r>
      <w:r w:rsidR="008A1E1E" w:rsidRPr="00F23812">
        <w:rPr>
          <w:rFonts w:ascii="Calibri" w:eastAsia="Calibri" w:hAnsi="Calibri" w:cs="Calibri"/>
          <w:lang w:val="en-US"/>
        </w:rPr>
        <w:t xml:space="preserve"> (6mg/kg)</w:t>
      </w:r>
      <w:r w:rsidR="00573084" w:rsidRPr="00F23812">
        <w:rPr>
          <w:rFonts w:ascii="Calibri" w:eastAsia="Calibri" w:hAnsi="Calibri" w:cs="Calibri"/>
          <w:lang w:val="en-US"/>
        </w:rPr>
        <w:t xml:space="preserve"> or placebo</w:t>
      </w:r>
      <w:r w:rsidR="00B174CE">
        <w:rPr>
          <w:rFonts w:ascii="Calibri" w:eastAsia="Calibri" w:hAnsi="Calibri" w:cs="Calibri"/>
          <w:lang w:val="en-US"/>
        </w:rPr>
        <w:t xml:space="preserve"> </w:t>
      </w:r>
      <w:r w:rsidR="00573084" w:rsidRPr="00F23812">
        <w:rPr>
          <w:rFonts w:ascii="Calibri" w:eastAsia="Calibri" w:hAnsi="Calibri" w:cs="Calibri"/>
          <w:lang w:val="en-US"/>
        </w:rPr>
        <w:t xml:space="preserve">for </w:t>
      </w:r>
      <w:r w:rsidR="00415BF5">
        <w:rPr>
          <w:rFonts w:ascii="Calibri" w:eastAsia="Calibri" w:hAnsi="Calibri" w:cs="Calibri"/>
          <w:lang w:val="en-US"/>
        </w:rPr>
        <w:t>three</w:t>
      </w:r>
      <w:r w:rsidR="00573084" w:rsidRPr="00F23812">
        <w:rPr>
          <w:rFonts w:ascii="Calibri" w:eastAsia="Calibri" w:hAnsi="Calibri" w:cs="Calibri"/>
          <w:lang w:val="en-US"/>
        </w:rPr>
        <w:t xml:space="preserve"> months. </w:t>
      </w:r>
      <w:r w:rsidR="00C94D13" w:rsidRPr="00F23812">
        <w:rPr>
          <w:rFonts w:ascii="Calibri" w:eastAsia="Calibri" w:hAnsi="Calibri" w:cs="Calibri"/>
          <w:lang w:val="en-US"/>
        </w:rPr>
        <w:t xml:space="preserve"> </w:t>
      </w:r>
      <w:r w:rsidR="00C14376">
        <w:rPr>
          <w:rFonts w:ascii="Calibri" w:eastAsia="Calibri" w:hAnsi="Calibri" w:cs="Calibri"/>
          <w:lang w:val="en-US"/>
        </w:rPr>
        <w:t>Participant</w:t>
      </w:r>
      <w:r w:rsidR="00D54F57">
        <w:rPr>
          <w:rFonts w:ascii="Calibri" w:eastAsia="Calibri" w:hAnsi="Calibri" w:cs="Calibri"/>
          <w:lang w:val="en-US"/>
        </w:rPr>
        <w:t>s, t</w:t>
      </w:r>
      <w:r w:rsidR="00C94D13" w:rsidRPr="00F23812">
        <w:rPr>
          <w:rFonts w:ascii="Calibri" w:eastAsia="Calibri" w:hAnsi="Calibri" w:cs="Calibri"/>
          <w:lang w:val="en-US"/>
        </w:rPr>
        <w:t xml:space="preserve">reating and assessing physicians </w:t>
      </w:r>
      <w:r w:rsidR="00D54F57">
        <w:rPr>
          <w:rFonts w:ascii="Calibri" w:eastAsia="Calibri" w:hAnsi="Calibri" w:cs="Calibri"/>
          <w:lang w:val="en-US"/>
        </w:rPr>
        <w:t>were</w:t>
      </w:r>
      <w:r w:rsidR="008A1E1E" w:rsidRPr="00F23812">
        <w:rPr>
          <w:rFonts w:ascii="Calibri" w:eastAsia="Calibri" w:hAnsi="Calibri" w:cs="Calibri"/>
          <w:lang w:val="en-US"/>
        </w:rPr>
        <w:t xml:space="preserve"> </w:t>
      </w:r>
      <w:r w:rsidR="00D54F57">
        <w:rPr>
          <w:rFonts w:ascii="Calibri" w:eastAsia="Calibri" w:hAnsi="Calibri" w:cs="Calibri"/>
          <w:lang w:val="en-US"/>
        </w:rPr>
        <w:t xml:space="preserve">all </w:t>
      </w:r>
      <w:r w:rsidR="008A1E1E" w:rsidRPr="00F23812">
        <w:rPr>
          <w:rFonts w:ascii="Calibri" w:eastAsia="Calibri" w:hAnsi="Calibri" w:cs="Calibri"/>
          <w:lang w:val="en-US"/>
        </w:rPr>
        <w:t xml:space="preserve">masked to </w:t>
      </w:r>
      <w:r w:rsidR="00B32BA7">
        <w:rPr>
          <w:rFonts w:ascii="Calibri" w:eastAsia="Calibri" w:hAnsi="Calibri" w:cs="Calibri"/>
          <w:lang w:val="en-US"/>
        </w:rPr>
        <w:t>group</w:t>
      </w:r>
      <w:r w:rsidR="008A1E1E" w:rsidRPr="00F23812">
        <w:rPr>
          <w:rFonts w:ascii="Calibri" w:eastAsia="Calibri" w:hAnsi="Calibri" w:cs="Calibri"/>
          <w:lang w:val="en-US"/>
        </w:rPr>
        <w:t xml:space="preserve"> assignment</w:t>
      </w:r>
      <w:r w:rsidR="00C94D13" w:rsidRPr="00F23812">
        <w:rPr>
          <w:rFonts w:ascii="Calibri" w:eastAsia="Calibri" w:hAnsi="Calibri" w:cs="Calibri"/>
          <w:lang w:val="en-US"/>
        </w:rPr>
        <w:t>.</w:t>
      </w:r>
      <w:bookmarkStart w:id="5" w:name="_ENREF_7"/>
      <w:bookmarkEnd w:id="4"/>
      <w:r w:rsidR="00487D8B">
        <w:rPr>
          <w:rFonts w:ascii="Calibri" w:eastAsia="Calibri" w:hAnsi="Calibri" w:cs="Calibri"/>
          <w:lang w:val="en-US"/>
        </w:rPr>
        <w:t xml:space="preserve"> </w:t>
      </w:r>
      <w:r w:rsidR="00573084" w:rsidRPr="003422F8">
        <w:rPr>
          <w:rFonts w:ascii="Calibri" w:eastAsia="Calibri" w:hAnsi="Calibri" w:cs="Calibri"/>
          <w:lang w:val="en-US"/>
        </w:rPr>
        <w:t>The</w:t>
      </w:r>
      <w:bookmarkEnd w:id="5"/>
      <w:r w:rsidR="00573084" w:rsidRPr="003422F8">
        <w:rPr>
          <w:rFonts w:ascii="Calibri" w:eastAsia="Calibri" w:hAnsi="Calibri" w:cs="Calibri"/>
        </w:rPr>
        <w:t xml:space="preserve"> </w:t>
      </w:r>
      <w:bookmarkStart w:id="6" w:name="_ENREF_8"/>
      <w:r w:rsidR="00573084" w:rsidRPr="003422F8">
        <w:rPr>
          <w:rFonts w:ascii="Calibri" w:eastAsia="Calibri" w:hAnsi="Calibri" w:cs="Calibri"/>
          <w:lang w:val="en-US"/>
        </w:rPr>
        <w:t>primary outcome was</w:t>
      </w:r>
      <w:r w:rsidR="00B32BA7">
        <w:rPr>
          <w:rFonts w:ascii="Calibri" w:eastAsia="Calibri" w:hAnsi="Calibri" w:cs="Calibri"/>
          <w:lang w:val="en-US"/>
        </w:rPr>
        <w:t xml:space="preserve"> </w:t>
      </w:r>
      <w:r w:rsidR="00B174CE">
        <w:rPr>
          <w:rFonts w:ascii="Calibri" w:eastAsia="Calibri" w:hAnsi="Calibri" w:cs="Calibri"/>
          <w:lang w:val="en-US"/>
        </w:rPr>
        <w:t xml:space="preserve">affected eye </w:t>
      </w:r>
      <w:r w:rsidR="00FE1ACF">
        <w:rPr>
          <w:rFonts w:ascii="Calibri" w:eastAsia="Calibri" w:hAnsi="Calibri" w:cs="Calibri"/>
          <w:lang w:val="en-US"/>
        </w:rPr>
        <w:t xml:space="preserve">retinal nerve </w:t>
      </w:r>
      <w:proofErr w:type="spellStart"/>
      <w:r w:rsidR="00FE1ACF">
        <w:rPr>
          <w:rFonts w:ascii="Calibri" w:eastAsia="Calibri" w:hAnsi="Calibri" w:cs="Calibri"/>
          <w:lang w:val="en-US"/>
        </w:rPr>
        <w:t>fib</w:t>
      </w:r>
      <w:r w:rsidR="00415BF5">
        <w:rPr>
          <w:rFonts w:ascii="Calibri" w:eastAsia="Calibri" w:hAnsi="Calibri" w:cs="Calibri"/>
          <w:lang w:val="en-US"/>
        </w:rPr>
        <w:t>re</w:t>
      </w:r>
      <w:proofErr w:type="spellEnd"/>
      <w:r w:rsidR="00FE1ACF">
        <w:rPr>
          <w:rFonts w:ascii="Calibri" w:eastAsia="Calibri" w:hAnsi="Calibri" w:cs="Calibri"/>
          <w:lang w:val="en-US"/>
        </w:rPr>
        <w:t xml:space="preserve"> layer </w:t>
      </w:r>
      <w:r w:rsidR="00B32BA7">
        <w:rPr>
          <w:rFonts w:ascii="Calibri" w:eastAsia="Calibri" w:hAnsi="Calibri" w:cs="Calibri"/>
          <w:lang w:val="en-US"/>
        </w:rPr>
        <w:t>(RNFL)</w:t>
      </w:r>
      <w:r w:rsidR="004F44EC">
        <w:rPr>
          <w:rFonts w:ascii="Calibri" w:eastAsia="Calibri" w:hAnsi="Calibri" w:cs="Calibri"/>
          <w:lang w:val="en-US"/>
        </w:rPr>
        <w:t xml:space="preserve"> thickness</w:t>
      </w:r>
      <w:r w:rsidR="00573084" w:rsidRPr="003422F8">
        <w:rPr>
          <w:rFonts w:ascii="Calibri" w:eastAsia="Calibri" w:hAnsi="Calibri" w:cs="Calibri"/>
          <w:lang w:val="en-US"/>
        </w:rPr>
        <w:t xml:space="preserve"> at </w:t>
      </w:r>
      <w:r w:rsidR="00B32BA7">
        <w:rPr>
          <w:rFonts w:ascii="Calibri" w:eastAsia="Calibri" w:hAnsi="Calibri" w:cs="Calibri"/>
          <w:lang w:val="en-US"/>
        </w:rPr>
        <w:t>six</w:t>
      </w:r>
      <w:r w:rsidR="00573084" w:rsidRPr="003422F8">
        <w:rPr>
          <w:rFonts w:ascii="Calibri" w:eastAsia="Calibri" w:hAnsi="Calibri" w:cs="Calibri"/>
          <w:lang w:val="en-US"/>
        </w:rPr>
        <w:t xml:space="preserve"> months, adjusted for fellow eye RNFL thickness at baseline.</w:t>
      </w:r>
      <w:r w:rsidR="00FE1ACF">
        <w:rPr>
          <w:rFonts w:ascii="Calibri" w:eastAsia="Calibri" w:hAnsi="Calibri" w:cs="Calibri"/>
          <w:lang w:val="en-US"/>
        </w:rPr>
        <w:t xml:space="preserve"> </w:t>
      </w:r>
      <w:r w:rsidR="00D54F57">
        <w:rPr>
          <w:rFonts w:ascii="Calibri" w:eastAsia="Calibri" w:hAnsi="Calibri" w:cs="Calibri"/>
          <w:lang w:val="en-US"/>
        </w:rPr>
        <w:t>The</w:t>
      </w:r>
      <w:r w:rsidR="00D54F57" w:rsidRPr="003422F8">
        <w:rPr>
          <w:rFonts w:ascii="Calibri" w:eastAsia="Calibri" w:hAnsi="Calibri" w:cs="Calibri"/>
          <w:lang w:val="en-US"/>
        </w:rPr>
        <w:t xml:space="preserve"> primary intention-to-treat analys</w:t>
      </w:r>
      <w:r w:rsidR="00D54F57">
        <w:rPr>
          <w:rFonts w:ascii="Calibri" w:eastAsia="Calibri" w:hAnsi="Calibri" w:cs="Calibri"/>
          <w:lang w:val="en-US"/>
        </w:rPr>
        <w:t>is included a</w:t>
      </w:r>
      <w:r w:rsidR="006A6C9A">
        <w:rPr>
          <w:rFonts w:ascii="Calibri" w:eastAsia="Calibri" w:hAnsi="Calibri" w:cs="Calibri"/>
          <w:lang w:val="en-US"/>
        </w:rPr>
        <w:t xml:space="preserve">ll </w:t>
      </w:r>
      <w:proofErr w:type="spellStart"/>
      <w:r w:rsidR="00F777C7">
        <w:rPr>
          <w:rFonts w:ascii="Calibri" w:eastAsia="Calibri" w:hAnsi="Calibri" w:cs="Calibri"/>
          <w:lang w:val="en-US"/>
        </w:rPr>
        <w:t>randomi</w:t>
      </w:r>
      <w:r w:rsidR="004F44EC">
        <w:rPr>
          <w:rFonts w:ascii="Calibri" w:eastAsia="Calibri" w:hAnsi="Calibri" w:cs="Calibri"/>
          <w:lang w:val="en-US"/>
        </w:rPr>
        <w:t>s</w:t>
      </w:r>
      <w:r w:rsidR="00F777C7">
        <w:rPr>
          <w:rFonts w:ascii="Calibri" w:eastAsia="Calibri" w:hAnsi="Calibri" w:cs="Calibri"/>
          <w:lang w:val="en-US"/>
        </w:rPr>
        <w:t>ed</w:t>
      </w:r>
      <w:proofErr w:type="spellEnd"/>
      <w:r w:rsidR="00F777C7">
        <w:rPr>
          <w:rFonts w:ascii="Calibri" w:eastAsia="Calibri" w:hAnsi="Calibri" w:cs="Calibri"/>
          <w:lang w:val="en-US"/>
        </w:rPr>
        <w:t xml:space="preserve"> </w:t>
      </w:r>
      <w:r w:rsidR="006A6C9A">
        <w:rPr>
          <w:rFonts w:ascii="Calibri" w:eastAsia="Calibri" w:hAnsi="Calibri" w:cs="Calibri"/>
          <w:lang w:val="en-US"/>
        </w:rPr>
        <w:t xml:space="preserve">participants </w:t>
      </w:r>
      <w:r w:rsidR="00B174CE">
        <w:rPr>
          <w:rFonts w:ascii="Calibri" w:eastAsia="Calibri" w:hAnsi="Calibri" w:cs="Calibri"/>
          <w:lang w:val="en-US"/>
        </w:rPr>
        <w:t>assessed</w:t>
      </w:r>
      <w:r w:rsidR="006A6C9A">
        <w:rPr>
          <w:rFonts w:ascii="Calibri" w:eastAsia="Calibri" w:hAnsi="Calibri" w:cs="Calibri"/>
          <w:lang w:val="en-US"/>
        </w:rPr>
        <w:t xml:space="preserve"> at six months</w:t>
      </w:r>
      <w:r w:rsidR="00DA10A3">
        <w:rPr>
          <w:rFonts w:ascii="Calibri" w:eastAsia="Calibri" w:hAnsi="Calibri" w:cs="Calibri"/>
          <w:lang w:val="en-US"/>
        </w:rPr>
        <w:t>.</w:t>
      </w:r>
      <w:r w:rsidR="006A6C9A">
        <w:rPr>
          <w:rFonts w:ascii="Calibri" w:eastAsia="Calibri" w:hAnsi="Calibri" w:cs="Calibri"/>
          <w:lang w:val="en-US"/>
        </w:rPr>
        <w:t xml:space="preserve"> </w:t>
      </w:r>
      <w:r w:rsidR="00FE1ACF">
        <w:rPr>
          <w:rFonts w:ascii="Calibri" w:eastAsia="Calibri" w:hAnsi="Calibri" w:cs="Calibri"/>
          <w:lang w:val="en-US"/>
        </w:rPr>
        <w:t xml:space="preserve">The trial is registered with </w:t>
      </w:r>
      <w:proofErr w:type="gramStart"/>
      <w:r w:rsidR="00FE1ACF" w:rsidRPr="003422F8">
        <w:rPr>
          <w:rFonts w:ascii="Calibri" w:eastAsia="Calibri" w:hAnsi="Calibri" w:cs="Calibri"/>
          <w:lang w:val="en-US"/>
        </w:rPr>
        <w:t>ClinicalTrials.gov</w:t>
      </w:r>
      <w:r w:rsidR="00FE1ACF">
        <w:rPr>
          <w:rFonts w:ascii="Calibri" w:eastAsia="Calibri" w:hAnsi="Calibri" w:cs="Calibri"/>
          <w:lang w:val="en-US"/>
        </w:rPr>
        <w:t xml:space="preserve"> </w:t>
      </w:r>
      <w:r w:rsidR="00FE1ACF" w:rsidRPr="003422F8">
        <w:rPr>
          <w:rFonts w:ascii="Calibri" w:eastAsia="Calibri" w:hAnsi="Calibri" w:cs="Calibri"/>
          <w:lang w:val="en-US"/>
        </w:rPr>
        <w:t xml:space="preserve"> (</w:t>
      </w:r>
      <w:proofErr w:type="gramEnd"/>
      <w:r w:rsidR="00FE1ACF" w:rsidRPr="003422F8">
        <w:rPr>
          <w:rFonts w:ascii="Calibri" w:eastAsia="Calibri" w:hAnsi="Calibri" w:cs="Calibri"/>
          <w:lang w:val="en-US"/>
        </w:rPr>
        <w:t>NCT 01451593)</w:t>
      </w:r>
      <w:r w:rsidR="00415BF5">
        <w:rPr>
          <w:rFonts w:ascii="Calibri" w:eastAsia="Calibri" w:hAnsi="Calibri" w:cs="Calibri"/>
          <w:lang w:val="en-US"/>
        </w:rPr>
        <w:t>.</w:t>
      </w:r>
    </w:p>
    <w:p w14:paraId="15146FB0" w14:textId="0A8D30E9" w:rsidR="00873B88" w:rsidRPr="0004641F" w:rsidRDefault="00276BA2" w:rsidP="00412D99">
      <w:pPr>
        <w:pStyle w:val="Body"/>
        <w:jc w:val="both"/>
        <w:rPr>
          <w:rFonts w:ascii="Calibri" w:eastAsia="Calibri" w:hAnsi="Calibri" w:cs="Calibri"/>
          <w:lang w:val="en-US"/>
        </w:rPr>
      </w:pPr>
      <w:r>
        <w:rPr>
          <w:rFonts w:ascii="Calibri" w:eastAsia="Calibri" w:hAnsi="Calibri" w:cs="Calibri"/>
          <w:u w:val="single"/>
        </w:rPr>
        <w:t>Findings</w:t>
      </w:r>
      <w:r w:rsidR="00573084" w:rsidRPr="002F2CD2">
        <w:rPr>
          <w:rFonts w:ascii="Calibri" w:eastAsia="Calibri" w:hAnsi="Calibri" w:cs="Calibri"/>
        </w:rPr>
        <w:t>:</w:t>
      </w:r>
      <w:r w:rsidR="00573084" w:rsidRPr="003422F8">
        <w:rPr>
          <w:rFonts w:ascii="Calibri" w:eastAsia="Calibri" w:hAnsi="Calibri" w:cs="Calibri"/>
          <w:lang w:val="en-US"/>
        </w:rPr>
        <w:t xml:space="preserve"> </w:t>
      </w:r>
      <w:r w:rsidR="006A6C9A">
        <w:rPr>
          <w:rFonts w:ascii="Calibri" w:eastAsia="Calibri" w:hAnsi="Calibri" w:cs="Calibri"/>
          <w:lang w:val="en-US"/>
        </w:rPr>
        <w:t xml:space="preserve">We recruited </w:t>
      </w:r>
      <w:r w:rsidR="00C53131">
        <w:rPr>
          <w:rFonts w:ascii="Calibri" w:eastAsia="Calibri" w:hAnsi="Calibri" w:cs="Calibri"/>
          <w:lang w:val="en-US"/>
        </w:rPr>
        <w:t>86 p</w:t>
      </w:r>
      <w:r w:rsidR="007C7944">
        <w:rPr>
          <w:rFonts w:ascii="Calibri" w:eastAsia="Calibri" w:hAnsi="Calibri" w:cs="Calibri"/>
          <w:lang w:val="en-US"/>
        </w:rPr>
        <w:t>a</w:t>
      </w:r>
      <w:r w:rsidR="00C53131">
        <w:rPr>
          <w:rFonts w:ascii="Calibri" w:eastAsia="Calibri" w:hAnsi="Calibri" w:cs="Calibri"/>
          <w:lang w:val="en-US"/>
        </w:rPr>
        <w:t>rticipants</w:t>
      </w:r>
      <w:r w:rsidR="007C7944">
        <w:rPr>
          <w:rFonts w:ascii="Calibri" w:eastAsia="Calibri" w:hAnsi="Calibri" w:cs="Calibri"/>
          <w:lang w:val="en-US"/>
        </w:rPr>
        <w:t xml:space="preserve"> between Feb</w:t>
      </w:r>
      <w:r w:rsidR="00DA10A3">
        <w:rPr>
          <w:rFonts w:ascii="Calibri" w:eastAsia="Calibri" w:hAnsi="Calibri" w:cs="Calibri"/>
          <w:lang w:val="en-US"/>
        </w:rPr>
        <w:t>ruary</w:t>
      </w:r>
      <w:r w:rsidR="007C7944">
        <w:rPr>
          <w:rFonts w:ascii="Calibri" w:eastAsia="Calibri" w:hAnsi="Calibri" w:cs="Calibri"/>
          <w:lang w:val="en-US"/>
        </w:rPr>
        <w:t xml:space="preserve"> 2012 and May 2014</w:t>
      </w:r>
      <w:r w:rsidR="00C53131">
        <w:rPr>
          <w:rFonts w:ascii="Calibri" w:eastAsia="Calibri" w:hAnsi="Calibri" w:cs="Calibri"/>
          <w:lang w:val="en-US"/>
        </w:rPr>
        <w:t xml:space="preserve"> (</w:t>
      </w:r>
      <w:r w:rsidR="005E4D35">
        <w:rPr>
          <w:rFonts w:ascii="Calibri" w:eastAsia="Calibri" w:hAnsi="Calibri" w:cs="Calibri"/>
          <w:lang w:val="en-US"/>
        </w:rPr>
        <w:t>42</w:t>
      </w:r>
      <w:r w:rsidR="00C53131">
        <w:rPr>
          <w:rFonts w:ascii="Calibri" w:eastAsia="Calibri" w:hAnsi="Calibri" w:cs="Calibri"/>
          <w:lang w:val="en-US"/>
        </w:rPr>
        <w:t xml:space="preserve"> phenytoin, </w:t>
      </w:r>
      <w:r w:rsidR="005E4D35">
        <w:rPr>
          <w:rFonts w:ascii="Calibri" w:eastAsia="Calibri" w:hAnsi="Calibri" w:cs="Calibri"/>
          <w:lang w:val="en-US"/>
        </w:rPr>
        <w:t xml:space="preserve">44 </w:t>
      </w:r>
      <w:proofErr w:type="gramStart"/>
      <w:r w:rsidR="00C53131">
        <w:rPr>
          <w:rFonts w:ascii="Calibri" w:eastAsia="Calibri" w:hAnsi="Calibri" w:cs="Calibri"/>
          <w:lang w:val="en-US"/>
        </w:rPr>
        <w:t>placebo</w:t>
      </w:r>
      <w:proofErr w:type="gramEnd"/>
      <w:r w:rsidR="00C53131">
        <w:rPr>
          <w:rFonts w:ascii="Calibri" w:eastAsia="Calibri" w:hAnsi="Calibri" w:cs="Calibri"/>
          <w:lang w:val="en-US"/>
        </w:rPr>
        <w:t>)</w:t>
      </w:r>
      <w:r w:rsidR="000C3A2C">
        <w:rPr>
          <w:rFonts w:ascii="Calibri" w:eastAsia="Calibri" w:hAnsi="Calibri" w:cs="Calibri"/>
          <w:lang w:val="en-US"/>
        </w:rPr>
        <w:t xml:space="preserve">. </w:t>
      </w:r>
      <w:r w:rsidR="00B202FE">
        <w:rPr>
          <w:rFonts w:ascii="Calibri" w:eastAsia="Calibri" w:hAnsi="Calibri" w:cs="Calibri"/>
          <w:lang w:val="en-US"/>
        </w:rPr>
        <w:t>P</w:t>
      </w:r>
      <w:r w:rsidR="007C7944">
        <w:rPr>
          <w:rFonts w:ascii="Calibri" w:eastAsia="Calibri" w:hAnsi="Calibri" w:cs="Calibri"/>
          <w:lang w:val="en-US"/>
        </w:rPr>
        <w:t>rimary analysis included</w:t>
      </w:r>
      <w:bookmarkStart w:id="7" w:name="_ENREF_9"/>
      <w:bookmarkEnd w:id="6"/>
      <w:r w:rsidR="00573084" w:rsidRPr="003422F8">
        <w:rPr>
          <w:rFonts w:ascii="Calibri" w:eastAsia="Calibri" w:hAnsi="Calibri" w:cs="Calibri"/>
          <w:lang w:val="en-US"/>
        </w:rPr>
        <w:t xml:space="preserve"> 81</w:t>
      </w:r>
      <w:r w:rsidR="007C7944">
        <w:rPr>
          <w:rFonts w:ascii="Calibri" w:eastAsia="Calibri" w:hAnsi="Calibri" w:cs="Calibri"/>
          <w:lang w:val="en-US"/>
        </w:rPr>
        <w:t xml:space="preserve"> p</w:t>
      </w:r>
      <w:r w:rsidR="005E4D35">
        <w:rPr>
          <w:rFonts w:ascii="Calibri" w:eastAsia="Calibri" w:hAnsi="Calibri" w:cs="Calibri"/>
          <w:lang w:val="en-US"/>
        </w:rPr>
        <w:t>articipants</w:t>
      </w:r>
      <w:r w:rsidR="000C3A2C">
        <w:rPr>
          <w:rFonts w:ascii="Calibri" w:eastAsia="Calibri" w:hAnsi="Calibri" w:cs="Calibri"/>
          <w:lang w:val="en-US"/>
        </w:rPr>
        <w:t xml:space="preserve"> (39 phenytoin, 42</w:t>
      </w:r>
      <w:r w:rsidR="000A0C8E">
        <w:rPr>
          <w:rFonts w:ascii="Calibri" w:eastAsia="Calibri" w:hAnsi="Calibri" w:cs="Calibri"/>
          <w:lang w:val="en-US"/>
        </w:rPr>
        <w:t xml:space="preserve"> </w:t>
      </w:r>
      <w:proofErr w:type="gramStart"/>
      <w:r w:rsidR="000A0C8E">
        <w:rPr>
          <w:rFonts w:ascii="Calibri" w:eastAsia="Calibri" w:hAnsi="Calibri" w:cs="Calibri"/>
          <w:lang w:val="en-US"/>
        </w:rPr>
        <w:t>placebo</w:t>
      </w:r>
      <w:proofErr w:type="gramEnd"/>
      <w:r w:rsidR="000A0C8E">
        <w:rPr>
          <w:rFonts w:ascii="Calibri" w:eastAsia="Calibri" w:hAnsi="Calibri" w:cs="Calibri"/>
          <w:lang w:val="en-US"/>
        </w:rPr>
        <w:t>)</w:t>
      </w:r>
      <w:r w:rsidR="000C3A2C">
        <w:rPr>
          <w:rFonts w:ascii="Calibri" w:eastAsia="Calibri" w:hAnsi="Calibri" w:cs="Calibri"/>
          <w:lang w:val="en-US"/>
        </w:rPr>
        <w:t>. Mean</w:t>
      </w:r>
      <w:r w:rsidR="00573084" w:rsidRPr="003422F8">
        <w:rPr>
          <w:rFonts w:ascii="Calibri" w:eastAsia="Calibri" w:hAnsi="Calibri" w:cs="Calibri"/>
          <w:lang w:val="en-US"/>
        </w:rPr>
        <w:t xml:space="preserve"> affected eye RNFL thickness at </w:t>
      </w:r>
      <w:r w:rsidR="005E4D35">
        <w:rPr>
          <w:rFonts w:ascii="Calibri" w:eastAsia="Calibri" w:hAnsi="Calibri" w:cs="Calibri"/>
          <w:lang w:val="en-US"/>
        </w:rPr>
        <w:t>six</w:t>
      </w:r>
      <w:r w:rsidR="00573084" w:rsidRPr="003422F8">
        <w:rPr>
          <w:rFonts w:ascii="Calibri" w:eastAsia="Calibri" w:hAnsi="Calibri" w:cs="Calibri"/>
          <w:lang w:val="en-US"/>
        </w:rPr>
        <w:t xml:space="preserve"> months</w:t>
      </w:r>
      <w:r w:rsidR="000C3A2C">
        <w:rPr>
          <w:rFonts w:ascii="Calibri" w:eastAsia="Calibri" w:hAnsi="Calibri" w:cs="Calibri"/>
          <w:lang w:val="en-US"/>
        </w:rPr>
        <w:t xml:space="preserve"> </w:t>
      </w:r>
      <w:r w:rsidR="005E4D35">
        <w:rPr>
          <w:rFonts w:ascii="Calibri" w:eastAsia="Calibri" w:hAnsi="Calibri" w:cs="Calibri"/>
          <w:lang w:val="en-US"/>
        </w:rPr>
        <w:t xml:space="preserve">was </w:t>
      </w:r>
      <w:r w:rsidR="004F44EC">
        <w:rPr>
          <w:rFonts w:ascii="Calibri" w:eastAsia="Calibri" w:hAnsi="Calibri" w:cs="Calibri"/>
          <w:lang w:val="en-US"/>
        </w:rPr>
        <w:t>significantly greater in the phenytoin group (</w:t>
      </w:r>
      <w:r w:rsidR="001178C0" w:rsidRPr="003318E4">
        <w:rPr>
          <w:rFonts w:ascii="Calibri" w:hAnsi="Calibri"/>
        </w:rPr>
        <w:t>81</w:t>
      </w:r>
      <w:r w:rsidR="00FD7C53">
        <w:rPr>
          <w:rFonts w:ascii="Calibri" w:hAnsi="Calibri"/>
        </w:rPr>
        <w:t>·</w:t>
      </w:r>
      <w:r w:rsidR="001178C0" w:rsidRPr="003318E4">
        <w:rPr>
          <w:rFonts w:ascii="Calibri" w:hAnsi="Calibri"/>
        </w:rPr>
        <w:t>46</w:t>
      </w:r>
      <w:r w:rsidR="001178C0" w:rsidRPr="00182CFA">
        <w:rPr>
          <w:rFonts w:asciiTheme="majorHAnsi" w:hAnsiTheme="majorHAnsi" w:cs="Lucida Grande"/>
        </w:rPr>
        <w:t>μm</w:t>
      </w:r>
      <w:r w:rsidR="001178C0">
        <w:rPr>
          <w:rFonts w:asciiTheme="majorHAnsi" w:hAnsiTheme="majorHAnsi" w:cs="Lucida Grande"/>
        </w:rPr>
        <w:t xml:space="preserve"> </w:t>
      </w:r>
      <w:r w:rsidR="004F44EC">
        <w:rPr>
          <w:rFonts w:asciiTheme="majorHAnsi" w:hAnsiTheme="majorHAnsi" w:cs="Lucida Grande"/>
        </w:rPr>
        <w:t>[</w:t>
      </w:r>
      <w:r w:rsidR="001178C0">
        <w:rPr>
          <w:rFonts w:asciiTheme="majorHAnsi" w:hAnsiTheme="majorHAnsi" w:cs="Lucida Grande"/>
        </w:rPr>
        <w:t xml:space="preserve">SD </w:t>
      </w:r>
      <w:r w:rsidR="001178C0" w:rsidRPr="003318E4">
        <w:rPr>
          <w:rFonts w:ascii="Calibri" w:hAnsi="Calibri"/>
        </w:rPr>
        <w:t>16</w:t>
      </w:r>
      <w:r w:rsidR="00FD7C53">
        <w:rPr>
          <w:rFonts w:ascii="Calibri" w:hAnsi="Calibri"/>
        </w:rPr>
        <w:t>·</w:t>
      </w:r>
      <w:r w:rsidR="001178C0" w:rsidRPr="003318E4">
        <w:rPr>
          <w:rFonts w:ascii="Calibri" w:hAnsi="Calibri"/>
        </w:rPr>
        <w:t>27</w:t>
      </w:r>
      <w:r w:rsidR="004F44EC">
        <w:rPr>
          <w:rFonts w:ascii="Calibri" w:hAnsi="Calibri"/>
        </w:rPr>
        <w:t>]</w:t>
      </w:r>
      <w:r w:rsidR="001178C0">
        <w:rPr>
          <w:rFonts w:ascii="Calibri" w:hAnsi="Calibri"/>
        </w:rPr>
        <w:t xml:space="preserve"> </w:t>
      </w:r>
      <w:r w:rsidR="004F44EC">
        <w:rPr>
          <w:rFonts w:ascii="Calibri" w:eastAsia="Calibri" w:hAnsi="Calibri" w:cs="Calibri"/>
          <w:lang w:val="en-US"/>
        </w:rPr>
        <w:t xml:space="preserve">vs </w:t>
      </w:r>
      <w:r w:rsidR="001178C0" w:rsidRPr="003318E4">
        <w:rPr>
          <w:rFonts w:ascii="Calibri" w:hAnsi="Calibri"/>
        </w:rPr>
        <w:t>74</w:t>
      </w:r>
      <w:r w:rsidR="00FD7C53">
        <w:rPr>
          <w:rFonts w:ascii="Calibri" w:hAnsi="Calibri"/>
        </w:rPr>
        <w:t>·</w:t>
      </w:r>
      <w:r w:rsidR="001178C0" w:rsidRPr="003318E4">
        <w:rPr>
          <w:rFonts w:ascii="Calibri" w:hAnsi="Calibri"/>
        </w:rPr>
        <w:t>29</w:t>
      </w:r>
      <w:r w:rsidR="001178C0" w:rsidRPr="00182CFA">
        <w:rPr>
          <w:rFonts w:asciiTheme="majorHAnsi" w:hAnsiTheme="majorHAnsi" w:cs="Lucida Grande"/>
        </w:rPr>
        <w:t>μm</w:t>
      </w:r>
      <w:r w:rsidR="000C3A2C">
        <w:rPr>
          <w:rFonts w:ascii="Calibri" w:eastAsia="Calibri" w:hAnsi="Calibri" w:cs="Calibri"/>
          <w:lang w:val="en-US"/>
        </w:rPr>
        <w:t xml:space="preserve"> </w:t>
      </w:r>
      <w:r w:rsidR="004F44EC">
        <w:rPr>
          <w:rFonts w:ascii="Calibri" w:eastAsia="Calibri" w:hAnsi="Calibri" w:cs="Calibri"/>
          <w:lang w:val="en-US"/>
        </w:rPr>
        <w:t>[</w:t>
      </w:r>
      <w:r w:rsidR="001178C0">
        <w:rPr>
          <w:rFonts w:ascii="Calibri" w:eastAsia="Calibri" w:hAnsi="Calibri" w:cs="Calibri"/>
          <w:lang w:val="en-US"/>
        </w:rPr>
        <w:t>SD</w:t>
      </w:r>
      <w:r w:rsidR="000C3A2C">
        <w:rPr>
          <w:rFonts w:ascii="Calibri" w:eastAsia="Calibri" w:hAnsi="Calibri" w:cs="Calibri"/>
          <w:lang w:val="en-US"/>
        </w:rPr>
        <w:t xml:space="preserve"> </w:t>
      </w:r>
      <w:r w:rsidR="005E29B0" w:rsidRPr="003318E4">
        <w:rPr>
          <w:rFonts w:ascii="Calibri" w:hAnsi="Calibri"/>
        </w:rPr>
        <w:t>15</w:t>
      </w:r>
      <w:r w:rsidR="00FD7C53">
        <w:rPr>
          <w:rFonts w:ascii="Calibri" w:hAnsi="Calibri"/>
        </w:rPr>
        <w:t>·</w:t>
      </w:r>
      <w:r w:rsidR="005E29B0" w:rsidRPr="003318E4">
        <w:rPr>
          <w:rFonts w:ascii="Calibri" w:hAnsi="Calibri"/>
        </w:rPr>
        <w:t>14</w:t>
      </w:r>
      <w:r w:rsidR="004F44EC">
        <w:rPr>
          <w:rFonts w:ascii="Calibri" w:hAnsi="Calibri"/>
        </w:rPr>
        <w:t>]</w:t>
      </w:r>
      <w:r w:rsidR="005E29B0">
        <w:rPr>
          <w:rFonts w:ascii="Calibri" w:eastAsia="Calibri" w:hAnsi="Calibri" w:cs="Calibri"/>
          <w:lang w:val="en-US"/>
        </w:rPr>
        <w:t xml:space="preserve"> </w:t>
      </w:r>
      <w:r w:rsidR="000C3A2C">
        <w:rPr>
          <w:rFonts w:ascii="Calibri" w:eastAsia="Calibri" w:hAnsi="Calibri" w:cs="Calibri"/>
          <w:lang w:val="en-US"/>
        </w:rPr>
        <w:t>placebo</w:t>
      </w:r>
      <w:r w:rsidR="004F44EC">
        <w:rPr>
          <w:rFonts w:ascii="Calibri" w:eastAsia="Calibri" w:hAnsi="Calibri" w:cs="Calibri"/>
          <w:lang w:val="en-US"/>
        </w:rPr>
        <w:t>;</w:t>
      </w:r>
      <w:r w:rsidR="000C3A2C" w:rsidRPr="0041575F">
        <w:rPr>
          <w:rFonts w:ascii="Calibri" w:hAnsi="Calibri"/>
        </w:rPr>
        <w:t xml:space="preserve"> </w:t>
      </w:r>
      <w:r w:rsidR="005E4D35">
        <w:rPr>
          <w:rFonts w:ascii="Calibri" w:hAnsi="Calibri"/>
        </w:rPr>
        <w:t xml:space="preserve">adjusted </w:t>
      </w:r>
      <w:r w:rsidR="006E3A3F">
        <w:rPr>
          <w:rFonts w:ascii="Calibri" w:hAnsi="Calibri"/>
        </w:rPr>
        <w:t>active-placebo difference</w:t>
      </w:r>
      <w:r w:rsidR="000C3A2C" w:rsidRPr="0041575F">
        <w:rPr>
          <w:rFonts w:ascii="Calibri" w:hAnsi="Calibri"/>
        </w:rPr>
        <w:t xml:space="preserve"> 7</w:t>
      </w:r>
      <w:r w:rsidR="00FD7C53">
        <w:rPr>
          <w:rFonts w:ascii="Calibri" w:hAnsi="Calibri"/>
        </w:rPr>
        <w:t>·</w:t>
      </w:r>
      <w:r w:rsidR="000C3A2C" w:rsidRPr="0041575F">
        <w:rPr>
          <w:rFonts w:ascii="Calibri" w:hAnsi="Calibri"/>
        </w:rPr>
        <w:t>15</w:t>
      </w:r>
      <w:r w:rsidR="000C3A2C" w:rsidRPr="0041575F">
        <w:rPr>
          <w:rFonts w:ascii="Calibri" w:eastAsia="Calibri" w:hAnsi="Calibri" w:cs="Calibri"/>
        </w:rPr>
        <w:t>μ</w:t>
      </w:r>
      <w:r w:rsidR="000C3A2C" w:rsidRPr="0041575F">
        <w:rPr>
          <w:rFonts w:ascii="Calibri" w:eastAsia="Calibri" w:hAnsi="Calibri" w:cs="Calibri"/>
          <w:lang w:val="en-US"/>
        </w:rPr>
        <w:t xml:space="preserve">m </w:t>
      </w:r>
      <w:r w:rsidR="004F44EC">
        <w:rPr>
          <w:rFonts w:ascii="Calibri" w:eastAsia="Calibri" w:hAnsi="Calibri" w:cs="Calibri"/>
          <w:lang w:val="en-US"/>
        </w:rPr>
        <w:t>[</w:t>
      </w:r>
      <w:r w:rsidR="000C3A2C" w:rsidRPr="0041575F">
        <w:rPr>
          <w:rFonts w:ascii="Calibri" w:eastAsia="Calibri" w:hAnsi="Calibri" w:cs="Calibri"/>
          <w:lang w:val="en-US"/>
        </w:rPr>
        <w:t>95% CI 1</w:t>
      </w:r>
      <w:r w:rsidR="00FD7C53">
        <w:rPr>
          <w:rFonts w:ascii="Calibri" w:eastAsia="Calibri" w:hAnsi="Calibri" w:cs="Calibri"/>
          <w:lang w:val="en-US"/>
        </w:rPr>
        <w:t>·</w:t>
      </w:r>
      <w:r w:rsidR="000C3A2C" w:rsidRPr="0041575F">
        <w:rPr>
          <w:rFonts w:ascii="Calibri" w:eastAsia="Calibri" w:hAnsi="Calibri" w:cs="Calibri"/>
          <w:lang w:val="en-US"/>
        </w:rPr>
        <w:t>08</w:t>
      </w:r>
      <w:r w:rsidR="00DA10A3">
        <w:rPr>
          <w:rFonts w:ascii="Calibri" w:eastAsia="Calibri" w:hAnsi="Calibri" w:cs="Calibri"/>
          <w:lang w:val="en-US"/>
        </w:rPr>
        <w:t>-</w:t>
      </w:r>
      <w:r w:rsidR="000C3A2C" w:rsidRPr="0041575F">
        <w:rPr>
          <w:rFonts w:ascii="Calibri" w:eastAsia="Calibri" w:hAnsi="Calibri" w:cs="Calibri"/>
          <w:lang w:val="en-US"/>
        </w:rPr>
        <w:t>13</w:t>
      </w:r>
      <w:r w:rsidR="00FD7C53">
        <w:rPr>
          <w:rFonts w:ascii="Calibri" w:eastAsia="Calibri" w:hAnsi="Calibri" w:cs="Calibri"/>
          <w:lang w:val="en-US"/>
        </w:rPr>
        <w:t>·</w:t>
      </w:r>
      <w:r w:rsidR="000C3A2C" w:rsidRPr="0041575F">
        <w:rPr>
          <w:rFonts w:ascii="Calibri" w:eastAsia="Calibri" w:hAnsi="Calibri" w:cs="Calibri"/>
          <w:lang w:val="en-US"/>
        </w:rPr>
        <w:t>22; p=0</w:t>
      </w:r>
      <w:r w:rsidR="00FD7C53">
        <w:rPr>
          <w:rFonts w:ascii="Calibri" w:eastAsia="Calibri" w:hAnsi="Calibri" w:cs="Calibri"/>
          <w:lang w:val="en-US"/>
        </w:rPr>
        <w:t>·</w:t>
      </w:r>
      <w:r w:rsidR="000C3A2C" w:rsidRPr="0041575F">
        <w:rPr>
          <w:rFonts w:ascii="Calibri" w:eastAsia="Calibri" w:hAnsi="Calibri" w:cs="Calibri"/>
          <w:lang w:val="en-US"/>
        </w:rPr>
        <w:t>021</w:t>
      </w:r>
      <w:r w:rsidR="004F44EC">
        <w:rPr>
          <w:rFonts w:ascii="Calibri" w:eastAsia="Calibri" w:hAnsi="Calibri" w:cs="Calibri"/>
          <w:lang w:val="en-US"/>
        </w:rPr>
        <w:t>]</w:t>
      </w:r>
      <w:r w:rsidR="008B6173">
        <w:rPr>
          <w:rFonts w:ascii="Calibri" w:eastAsia="Calibri" w:hAnsi="Calibri" w:cs="Calibri"/>
          <w:lang w:val="en-US"/>
        </w:rPr>
        <w:t>)</w:t>
      </w:r>
      <w:r w:rsidR="00765997">
        <w:rPr>
          <w:rFonts w:ascii="Calibri" w:eastAsia="Calibri" w:hAnsi="Calibri" w:cs="Calibri"/>
          <w:lang w:val="en-US"/>
        </w:rPr>
        <w:t xml:space="preserve">, </w:t>
      </w:r>
      <w:r w:rsidR="000C3A2C" w:rsidRPr="0041575F">
        <w:rPr>
          <w:rFonts w:ascii="Calibri" w:eastAsia="Calibri" w:hAnsi="Calibri" w:cs="Calibri"/>
          <w:lang w:val="en-US"/>
        </w:rPr>
        <w:t>a</w:t>
      </w:r>
      <w:r w:rsidR="006E3A3F">
        <w:rPr>
          <w:rFonts w:ascii="Calibri" w:eastAsia="Calibri" w:hAnsi="Calibri" w:cs="Calibri"/>
          <w:lang w:val="en-US"/>
        </w:rPr>
        <w:t xml:space="preserve"> </w:t>
      </w:r>
      <w:r w:rsidR="000C3A2C" w:rsidRPr="0041575F">
        <w:rPr>
          <w:rFonts w:ascii="Calibri" w:eastAsia="Calibri" w:hAnsi="Calibri" w:cs="Calibri"/>
          <w:lang w:val="en-US"/>
        </w:rPr>
        <w:t>30% beneficial treatment effect</w:t>
      </w:r>
      <w:r w:rsidR="005332F5">
        <w:rPr>
          <w:rFonts w:ascii="Calibri" w:eastAsia="Calibri" w:hAnsi="Calibri" w:cs="Calibri"/>
          <w:lang w:val="en-US"/>
        </w:rPr>
        <w:t xml:space="preserve"> </w:t>
      </w:r>
      <w:r w:rsidR="00F90B12">
        <w:rPr>
          <w:rFonts w:ascii="Calibri" w:eastAsia="Calibri" w:hAnsi="Calibri" w:cs="Calibri"/>
          <w:lang w:val="en-US"/>
        </w:rPr>
        <w:t>when comparing the extent to which the RNFL thickness was lost in the two groups</w:t>
      </w:r>
      <w:r w:rsidR="007F0333">
        <w:rPr>
          <w:rFonts w:ascii="Calibri" w:eastAsia="Calibri" w:hAnsi="Calibri" w:cs="Calibri"/>
          <w:lang w:val="en-US"/>
        </w:rPr>
        <w:t xml:space="preserve">. </w:t>
      </w:r>
      <w:r w:rsidR="007F0333" w:rsidRPr="003422F8">
        <w:rPr>
          <w:rFonts w:ascii="Calibri" w:eastAsia="Calibri" w:hAnsi="Calibri" w:cs="Calibri"/>
          <w:lang w:val="en-US"/>
        </w:rPr>
        <w:t>Treatmen</w:t>
      </w:r>
      <w:r w:rsidR="007F0333">
        <w:rPr>
          <w:rFonts w:ascii="Calibri" w:eastAsia="Calibri" w:hAnsi="Calibri" w:cs="Calibri"/>
          <w:lang w:val="en-US"/>
        </w:rPr>
        <w:t xml:space="preserve">t was </w:t>
      </w:r>
      <w:r w:rsidR="00ED183D">
        <w:rPr>
          <w:rFonts w:ascii="Calibri" w:eastAsia="Calibri" w:hAnsi="Calibri" w:cs="Calibri"/>
          <w:lang w:val="en-US"/>
        </w:rPr>
        <w:t xml:space="preserve">well </w:t>
      </w:r>
      <w:r w:rsidR="007F0333">
        <w:rPr>
          <w:rFonts w:ascii="Calibri" w:eastAsia="Calibri" w:hAnsi="Calibri" w:cs="Calibri"/>
          <w:lang w:val="en-US"/>
        </w:rPr>
        <w:t>tolerated</w:t>
      </w:r>
      <w:r w:rsidR="008B6173">
        <w:rPr>
          <w:rFonts w:ascii="Calibri" w:eastAsia="Calibri" w:hAnsi="Calibri" w:cs="Calibri"/>
          <w:lang w:val="en-US"/>
        </w:rPr>
        <w:t>, with</w:t>
      </w:r>
      <w:bookmarkStart w:id="8" w:name="_ENREF_11"/>
      <w:bookmarkEnd w:id="7"/>
      <w:r w:rsidR="00ED183D">
        <w:rPr>
          <w:rFonts w:ascii="Calibri" w:eastAsia="Calibri" w:hAnsi="Calibri" w:cs="Calibri"/>
          <w:lang w:val="en-US"/>
        </w:rPr>
        <w:t xml:space="preserve"> f</w:t>
      </w:r>
      <w:r w:rsidR="005F2C6F">
        <w:rPr>
          <w:rFonts w:ascii="Calibri" w:eastAsia="Calibri" w:hAnsi="Calibri" w:cs="Calibri"/>
          <w:lang w:val="en-US"/>
        </w:rPr>
        <w:t>ive serious adverse events</w:t>
      </w:r>
      <w:r w:rsidR="006B0C43">
        <w:rPr>
          <w:rFonts w:ascii="Calibri" w:eastAsia="Calibri" w:hAnsi="Calibri" w:cs="Calibri"/>
          <w:lang w:val="en-US"/>
        </w:rPr>
        <w:t xml:space="preserve"> (13%)</w:t>
      </w:r>
      <w:r w:rsidR="005F2C6F">
        <w:rPr>
          <w:rFonts w:ascii="Calibri" w:eastAsia="Calibri" w:hAnsi="Calibri" w:cs="Calibri"/>
          <w:lang w:val="en-US"/>
        </w:rPr>
        <w:t xml:space="preserve"> in the phenytoin group</w:t>
      </w:r>
      <w:r w:rsidR="00ED183D">
        <w:rPr>
          <w:rFonts w:ascii="Calibri" w:eastAsia="Calibri" w:hAnsi="Calibri" w:cs="Calibri"/>
          <w:lang w:val="en-US"/>
        </w:rPr>
        <w:t xml:space="preserve"> (</w:t>
      </w:r>
      <w:r w:rsidR="00102205">
        <w:rPr>
          <w:rFonts w:ascii="Calibri" w:eastAsia="Calibri" w:hAnsi="Calibri" w:cs="Calibri"/>
          <w:lang w:val="en-US"/>
        </w:rPr>
        <w:t xml:space="preserve">but only </w:t>
      </w:r>
      <w:r w:rsidR="00ED183D">
        <w:rPr>
          <w:rFonts w:ascii="Calibri" w:eastAsia="Calibri" w:hAnsi="Calibri" w:cs="Calibri"/>
          <w:lang w:val="en-US"/>
        </w:rPr>
        <w:t xml:space="preserve">one attributable to </w:t>
      </w:r>
      <w:r w:rsidR="00102205">
        <w:rPr>
          <w:rFonts w:ascii="Calibri" w:eastAsia="Calibri" w:hAnsi="Calibri" w:cs="Calibri"/>
          <w:lang w:val="en-US"/>
        </w:rPr>
        <w:t>phenytoin</w:t>
      </w:r>
      <w:r w:rsidR="00ED183D">
        <w:rPr>
          <w:rFonts w:ascii="Calibri" w:eastAsia="Calibri" w:hAnsi="Calibri" w:cs="Calibri"/>
          <w:lang w:val="en-US"/>
        </w:rPr>
        <w:t>)</w:t>
      </w:r>
      <w:r w:rsidR="005F2C6F">
        <w:rPr>
          <w:rFonts w:ascii="Calibri" w:eastAsia="Calibri" w:hAnsi="Calibri" w:cs="Calibri"/>
          <w:lang w:val="en-US"/>
        </w:rPr>
        <w:t xml:space="preserve"> and two</w:t>
      </w:r>
      <w:r w:rsidR="006B0C43">
        <w:rPr>
          <w:rFonts w:ascii="Calibri" w:eastAsia="Calibri" w:hAnsi="Calibri" w:cs="Calibri"/>
          <w:lang w:val="en-US"/>
        </w:rPr>
        <w:t xml:space="preserve"> (5%)</w:t>
      </w:r>
      <w:r w:rsidR="005F2C6F">
        <w:rPr>
          <w:rFonts w:ascii="Calibri" w:eastAsia="Calibri" w:hAnsi="Calibri" w:cs="Calibri"/>
          <w:lang w:val="en-US"/>
        </w:rPr>
        <w:t xml:space="preserve"> in the placebo</w:t>
      </w:r>
      <w:r w:rsidR="00ED183D">
        <w:rPr>
          <w:rFonts w:ascii="Calibri" w:eastAsia="Calibri" w:hAnsi="Calibri" w:cs="Calibri"/>
          <w:lang w:val="en-US"/>
        </w:rPr>
        <w:t xml:space="preserve"> group</w:t>
      </w:r>
      <w:r w:rsidR="005F2C6F">
        <w:rPr>
          <w:rFonts w:ascii="Calibri" w:eastAsia="Calibri" w:hAnsi="Calibri" w:cs="Calibri"/>
          <w:lang w:val="en-US"/>
        </w:rPr>
        <w:t xml:space="preserve">. </w:t>
      </w:r>
    </w:p>
    <w:p w14:paraId="33D5548E" w14:textId="20DA9A0A" w:rsidR="00873B88" w:rsidRPr="003422F8" w:rsidRDefault="00276BA2" w:rsidP="00412D99">
      <w:pPr>
        <w:pStyle w:val="Body"/>
        <w:jc w:val="both"/>
        <w:rPr>
          <w:rFonts w:ascii="Calibri" w:eastAsia="Calibri" w:hAnsi="Calibri" w:cs="Calibri"/>
        </w:rPr>
      </w:pPr>
      <w:r>
        <w:rPr>
          <w:rFonts w:ascii="Calibri" w:eastAsia="Calibri" w:hAnsi="Calibri" w:cs="Calibri"/>
          <w:u w:val="single"/>
          <w:lang w:val="en-US"/>
        </w:rPr>
        <w:t>Interpretation</w:t>
      </w:r>
      <w:r w:rsidR="00573084" w:rsidRPr="002F2CD2">
        <w:rPr>
          <w:rFonts w:ascii="Calibri" w:eastAsia="Calibri" w:hAnsi="Calibri" w:cs="Calibri"/>
          <w:lang w:val="en-US"/>
        </w:rPr>
        <w:t>:</w:t>
      </w:r>
      <w:r w:rsidR="00573084" w:rsidRPr="003422F8">
        <w:rPr>
          <w:rFonts w:ascii="Calibri" w:eastAsia="Calibri" w:hAnsi="Calibri" w:cs="Calibri"/>
          <w:lang w:val="en-US"/>
        </w:rPr>
        <w:t xml:space="preserve"> These findings support the concept of </w:t>
      </w:r>
      <w:proofErr w:type="spellStart"/>
      <w:r w:rsidR="00573084" w:rsidRPr="003422F8">
        <w:rPr>
          <w:rFonts w:ascii="Calibri" w:eastAsia="Calibri" w:hAnsi="Calibri" w:cs="Calibri"/>
          <w:lang w:val="en-US"/>
        </w:rPr>
        <w:t>neuroprotection</w:t>
      </w:r>
      <w:proofErr w:type="spellEnd"/>
      <w:r w:rsidR="00573084" w:rsidRPr="003422F8">
        <w:rPr>
          <w:rFonts w:ascii="Calibri" w:eastAsia="Calibri" w:hAnsi="Calibri" w:cs="Calibri"/>
          <w:lang w:val="en-US"/>
        </w:rPr>
        <w:t xml:space="preserve"> with phenytoin in AON. Inhibition of voltage-gated sodium channels should also be ne</w:t>
      </w:r>
      <w:bookmarkEnd w:id="8"/>
      <w:r w:rsidR="00573084" w:rsidRPr="003422F8">
        <w:rPr>
          <w:rFonts w:ascii="Calibri" w:eastAsia="Calibri" w:hAnsi="Calibri" w:cs="Calibri"/>
        </w:rPr>
        <w:t>u</w:t>
      </w:r>
      <w:bookmarkStart w:id="9" w:name="_ENREF_12"/>
      <w:proofErr w:type="spellStart"/>
      <w:r w:rsidR="00573084" w:rsidRPr="003422F8">
        <w:rPr>
          <w:rFonts w:ascii="Calibri" w:eastAsia="Calibri" w:hAnsi="Calibri" w:cs="Calibri"/>
          <w:lang w:val="en-US"/>
        </w:rPr>
        <w:t>roprotective</w:t>
      </w:r>
      <w:proofErr w:type="spellEnd"/>
      <w:r w:rsidR="00573084" w:rsidRPr="003422F8">
        <w:rPr>
          <w:rFonts w:ascii="Calibri" w:eastAsia="Calibri" w:hAnsi="Calibri" w:cs="Calibri"/>
          <w:lang w:val="en-US"/>
        </w:rPr>
        <w:t xml:space="preserve"> in other relapses</w:t>
      </w:r>
      <w:r w:rsidR="00DA10A3">
        <w:rPr>
          <w:rFonts w:ascii="Calibri" w:eastAsia="Calibri" w:hAnsi="Calibri" w:cs="Calibri"/>
          <w:lang w:val="en-US"/>
        </w:rPr>
        <w:t xml:space="preserve"> of multiple sclerosis</w:t>
      </w:r>
      <w:r w:rsidR="00573084" w:rsidRPr="003422F8">
        <w:rPr>
          <w:rFonts w:ascii="Calibri" w:eastAsia="Calibri" w:hAnsi="Calibri" w:cs="Calibri"/>
          <w:lang w:val="en-US"/>
        </w:rPr>
        <w:t>, and could thereby address a major unmet therapeutic need.</w:t>
      </w:r>
    </w:p>
    <w:p w14:paraId="581EF87E" w14:textId="542B8234" w:rsidR="00573084" w:rsidRPr="003422F8" w:rsidRDefault="006C337D" w:rsidP="00412D99">
      <w:pPr>
        <w:pStyle w:val="Body"/>
        <w:jc w:val="both"/>
        <w:rPr>
          <w:rFonts w:ascii="Calibri" w:eastAsia="Calibri" w:hAnsi="Calibri" w:cs="Calibri"/>
        </w:rPr>
      </w:pPr>
      <w:proofErr w:type="gramStart"/>
      <w:r w:rsidRPr="002F2CD2">
        <w:rPr>
          <w:rFonts w:ascii="Calibri" w:eastAsia="Calibri" w:hAnsi="Calibri" w:cs="Calibri"/>
          <w:u w:val="single"/>
        </w:rPr>
        <w:t>Funding</w:t>
      </w:r>
      <w:r>
        <w:rPr>
          <w:rFonts w:ascii="Calibri" w:eastAsia="Calibri" w:hAnsi="Calibri" w:cs="Calibri"/>
        </w:rPr>
        <w:t xml:space="preserve">: </w:t>
      </w:r>
      <w:r>
        <w:rPr>
          <w:rFonts w:ascii="Calibri" w:eastAsia="Calibri" w:hAnsi="Calibri" w:cs="Calibri"/>
          <w:iCs/>
          <w:lang w:val="en-US"/>
        </w:rPr>
        <w:t>T</w:t>
      </w:r>
      <w:r w:rsidRPr="005B40CF">
        <w:rPr>
          <w:rFonts w:ascii="Calibri" w:eastAsia="Calibri" w:hAnsi="Calibri" w:cs="Calibri"/>
          <w:iCs/>
          <w:lang w:val="en-US"/>
        </w:rPr>
        <w:t xml:space="preserve">he </w:t>
      </w:r>
      <w:r w:rsidR="002F2CD2">
        <w:rPr>
          <w:rFonts w:ascii="Calibri" w:eastAsia="Calibri" w:hAnsi="Calibri" w:cs="Calibri"/>
          <w:iCs/>
          <w:lang w:val="en-US"/>
        </w:rPr>
        <w:t xml:space="preserve">US </w:t>
      </w:r>
      <w:r w:rsidRPr="005B40CF">
        <w:rPr>
          <w:rFonts w:ascii="Calibri" w:eastAsia="Calibri" w:hAnsi="Calibri" w:cs="Calibri"/>
          <w:iCs/>
          <w:lang w:val="en-US"/>
        </w:rPr>
        <w:t>National M</w:t>
      </w:r>
      <w:r w:rsidR="00BA1B38">
        <w:rPr>
          <w:rFonts w:ascii="Calibri" w:eastAsia="Calibri" w:hAnsi="Calibri" w:cs="Calibri"/>
          <w:iCs/>
          <w:lang w:val="en-US"/>
        </w:rPr>
        <w:t>S</w:t>
      </w:r>
      <w:r w:rsidRPr="005B40CF">
        <w:rPr>
          <w:rFonts w:ascii="Calibri" w:eastAsia="Calibri" w:hAnsi="Calibri" w:cs="Calibri"/>
          <w:iCs/>
          <w:lang w:val="en-US"/>
        </w:rPr>
        <w:t xml:space="preserve"> Society</w:t>
      </w:r>
      <w:r>
        <w:rPr>
          <w:rFonts w:ascii="Calibri" w:eastAsia="Calibri" w:hAnsi="Calibri" w:cs="Calibri"/>
          <w:iCs/>
          <w:lang w:val="en-US"/>
        </w:rPr>
        <w:t>,</w:t>
      </w:r>
      <w:r w:rsidRPr="005B40CF">
        <w:rPr>
          <w:rFonts w:ascii="Calibri" w:eastAsia="Calibri" w:hAnsi="Calibri" w:cs="Calibri"/>
          <w:iCs/>
          <w:lang w:val="en-US"/>
        </w:rPr>
        <w:t xml:space="preserve"> M</w:t>
      </w:r>
      <w:r w:rsidR="00BA1B38">
        <w:rPr>
          <w:rFonts w:ascii="Calibri" w:eastAsia="Calibri" w:hAnsi="Calibri" w:cs="Calibri"/>
          <w:iCs/>
          <w:lang w:val="en-US"/>
        </w:rPr>
        <w:t>S</w:t>
      </w:r>
      <w:r w:rsidRPr="005B40CF">
        <w:rPr>
          <w:rFonts w:ascii="Calibri" w:eastAsia="Calibri" w:hAnsi="Calibri" w:cs="Calibri"/>
          <w:iCs/>
          <w:lang w:val="en-US"/>
        </w:rPr>
        <w:t xml:space="preserve"> Society G</w:t>
      </w:r>
      <w:r w:rsidR="00A421D1">
        <w:rPr>
          <w:rFonts w:ascii="Calibri" w:eastAsia="Calibri" w:hAnsi="Calibri" w:cs="Calibri"/>
          <w:iCs/>
          <w:lang w:val="en-US"/>
        </w:rPr>
        <w:t>B&amp;NI</w:t>
      </w:r>
      <w:r w:rsidRPr="005B40CF">
        <w:rPr>
          <w:rFonts w:ascii="Calibri" w:eastAsia="Calibri" w:hAnsi="Calibri" w:cs="Calibri"/>
          <w:iCs/>
          <w:lang w:val="en-US"/>
        </w:rPr>
        <w:t xml:space="preserve">, Novartis, </w:t>
      </w:r>
      <w:r w:rsidR="006B0C43">
        <w:rPr>
          <w:rFonts w:ascii="Calibri" w:eastAsia="Calibri" w:hAnsi="Calibri" w:cs="Calibri"/>
          <w:iCs/>
          <w:lang w:val="en-US"/>
        </w:rPr>
        <w:t>UK</w:t>
      </w:r>
      <w:r w:rsidRPr="005B40CF">
        <w:rPr>
          <w:rFonts w:ascii="Calibri" w:eastAsia="Calibri" w:hAnsi="Calibri" w:cs="Calibri"/>
          <w:iCs/>
          <w:lang w:val="en-US"/>
        </w:rPr>
        <w:t xml:space="preserve"> National Institute for Health Research</w:t>
      </w:r>
      <w:r>
        <w:rPr>
          <w:rFonts w:ascii="Calibri" w:eastAsia="Calibri" w:hAnsi="Calibri" w:cs="Calibri"/>
          <w:iCs/>
          <w:lang w:val="en-US"/>
        </w:rPr>
        <w:t>,</w:t>
      </w:r>
      <w:r w:rsidRPr="005B40CF">
        <w:rPr>
          <w:rFonts w:ascii="Calibri" w:eastAsia="Calibri" w:hAnsi="Calibri" w:cs="Calibri"/>
          <w:iCs/>
          <w:lang w:val="en-US"/>
        </w:rPr>
        <w:t xml:space="preserve"> and U</w:t>
      </w:r>
      <w:r w:rsidR="00BA1B38">
        <w:rPr>
          <w:rFonts w:ascii="Calibri" w:eastAsia="Calibri" w:hAnsi="Calibri" w:cs="Calibri"/>
          <w:iCs/>
          <w:lang w:val="en-US"/>
        </w:rPr>
        <w:t>CL</w:t>
      </w:r>
      <w:r w:rsidRPr="005B40CF">
        <w:rPr>
          <w:rFonts w:ascii="Calibri" w:eastAsia="Calibri" w:hAnsi="Calibri" w:cs="Calibri"/>
          <w:iCs/>
          <w:lang w:val="en-US"/>
        </w:rPr>
        <w:t xml:space="preserve"> Biomedical Research Centre</w:t>
      </w:r>
      <w:r w:rsidR="002F2CD2">
        <w:rPr>
          <w:rFonts w:ascii="Calibri" w:eastAsia="Calibri" w:hAnsi="Calibri" w:cs="Calibri"/>
          <w:iCs/>
          <w:lang w:val="en-US"/>
        </w:rPr>
        <w:t>.</w:t>
      </w:r>
      <w:proofErr w:type="gramEnd"/>
    </w:p>
    <w:p w14:paraId="4E0A3AC0" w14:textId="50300D69" w:rsidR="00573084" w:rsidRPr="0004641F" w:rsidRDefault="00573084" w:rsidP="00412D99">
      <w:pPr>
        <w:pStyle w:val="Body"/>
        <w:jc w:val="both"/>
        <w:rPr>
          <w:rFonts w:ascii="Calibri" w:eastAsia="Calibri" w:hAnsi="Calibri" w:cs="Calibri"/>
          <w:bCs/>
          <w:u w:val="single"/>
          <w:lang w:val="en-US"/>
        </w:rPr>
      </w:pPr>
      <w:r w:rsidRPr="003422F8">
        <w:rPr>
          <w:rFonts w:ascii="Calibri" w:eastAsia="Calibri" w:hAnsi="Calibri" w:cs="Calibri"/>
          <w:b/>
          <w:bCs/>
        </w:rPr>
        <w:br w:type="page"/>
      </w:r>
      <w:r w:rsidRPr="0004641F">
        <w:rPr>
          <w:rFonts w:ascii="Calibri" w:eastAsia="Calibri" w:hAnsi="Calibri" w:cs="Calibri"/>
          <w:bCs/>
          <w:u w:val="single"/>
          <w:lang w:val="en-US"/>
        </w:rPr>
        <w:lastRenderedPageBreak/>
        <w:t>Introduction</w:t>
      </w:r>
    </w:p>
    <w:p w14:paraId="715005A9" w14:textId="77777777" w:rsidR="0050008E" w:rsidRDefault="0050008E" w:rsidP="00412D99">
      <w:pPr>
        <w:pStyle w:val="Body"/>
        <w:jc w:val="both"/>
        <w:rPr>
          <w:rFonts w:ascii="Calibri" w:eastAsia="Calibri" w:hAnsi="Calibri" w:cs="Calibri"/>
          <w:b/>
          <w:bCs/>
          <w:lang w:val="en-US"/>
        </w:rPr>
      </w:pPr>
    </w:p>
    <w:p w14:paraId="7D5440D4" w14:textId="44690E71" w:rsidR="00873B88" w:rsidRDefault="00DA4968" w:rsidP="00412D99">
      <w:pPr>
        <w:pStyle w:val="Body"/>
        <w:jc w:val="both"/>
        <w:rPr>
          <w:rFonts w:ascii="Calibri" w:eastAsia="Calibri" w:hAnsi="Calibri" w:cs="Calibri"/>
        </w:rPr>
      </w:pPr>
      <w:r>
        <w:rPr>
          <w:rFonts w:ascii="Calibri" w:eastAsia="Calibri" w:hAnsi="Calibri" w:cs="Calibri"/>
        </w:rPr>
        <w:t xml:space="preserve">Multiple sclerosis (MS) is an inflammatory demyelinating </w:t>
      </w:r>
      <w:r w:rsidR="00A8031C">
        <w:rPr>
          <w:rFonts w:ascii="Calibri" w:eastAsia="Calibri" w:hAnsi="Calibri" w:cs="Calibri"/>
        </w:rPr>
        <w:t>disorder</w:t>
      </w:r>
      <w:r>
        <w:rPr>
          <w:rFonts w:ascii="Calibri" w:eastAsia="Calibri" w:hAnsi="Calibri" w:cs="Calibri"/>
        </w:rPr>
        <w:t xml:space="preserve"> of the central nervous system in which disability arises largely from </w:t>
      </w:r>
      <w:proofErr w:type="spellStart"/>
      <w:r>
        <w:rPr>
          <w:rFonts w:ascii="Calibri" w:eastAsia="Calibri" w:hAnsi="Calibri" w:cs="Calibri"/>
        </w:rPr>
        <w:t>n</w:t>
      </w:r>
      <w:r w:rsidR="00573084" w:rsidRPr="003422F8">
        <w:rPr>
          <w:rFonts w:ascii="Calibri" w:eastAsia="Calibri" w:hAnsi="Calibri" w:cs="Calibri"/>
        </w:rPr>
        <w:t>euro</w:t>
      </w:r>
      <w:r w:rsidR="001F6A45">
        <w:rPr>
          <w:rFonts w:ascii="Calibri" w:eastAsia="Calibri" w:hAnsi="Calibri" w:cs="Calibri"/>
        </w:rPr>
        <w:t>axonal</w:t>
      </w:r>
      <w:proofErr w:type="spellEnd"/>
      <w:r w:rsidR="001F6A45">
        <w:rPr>
          <w:rFonts w:ascii="Calibri" w:eastAsia="Calibri" w:hAnsi="Calibri" w:cs="Calibri"/>
        </w:rPr>
        <w:t xml:space="preserve"> loss</w:t>
      </w:r>
      <w:bookmarkStart w:id="10" w:name="_ENREF_13"/>
      <w:bookmarkEnd w:id="9"/>
      <w:r w:rsidR="00136525">
        <w:rPr>
          <w:rFonts w:ascii="Calibri" w:eastAsia="Calibri" w:hAnsi="Calibri" w:cs="Calibri"/>
        </w:rPr>
        <w:t>,</w:t>
      </w:r>
      <w:r w:rsidR="006115D3">
        <w:rPr>
          <w:rFonts w:ascii="Calibri" w:eastAsia="Calibri" w:hAnsi="Calibri" w:cs="Calibri"/>
        </w:rPr>
        <w:t xml:space="preserve"> which occurs</w:t>
      </w:r>
      <w:r w:rsidR="00573084" w:rsidRPr="003422F8">
        <w:rPr>
          <w:rFonts w:ascii="Calibri" w:eastAsia="Calibri" w:hAnsi="Calibri" w:cs="Calibri"/>
          <w:lang w:val="en-US"/>
        </w:rPr>
        <w:t xml:space="preserve"> </w:t>
      </w:r>
      <w:r w:rsidR="008A0AD9">
        <w:rPr>
          <w:rFonts w:ascii="Calibri" w:eastAsia="Calibri" w:hAnsi="Calibri" w:cs="Calibri"/>
          <w:lang w:val="en-US"/>
        </w:rPr>
        <w:t xml:space="preserve">in </w:t>
      </w:r>
      <w:r w:rsidR="00573084" w:rsidRPr="003422F8">
        <w:rPr>
          <w:rFonts w:ascii="Calibri" w:eastAsia="Calibri" w:hAnsi="Calibri" w:cs="Calibri"/>
          <w:lang w:val="en-US"/>
        </w:rPr>
        <w:t xml:space="preserve">relapses and </w:t>
      </w:r>
      <w:r w:rsidR="008A0AD9">
        <w:rPr>
          <w:rFonts w:ascii="Calibri" w:eastAsia="Calibri" w:hAnsi="Calibri" w:cs="Calibri"/>
          <w:lang w:val="en-US"/>
        </w:rPr>
        <w:t>in</w:t>
      </w:r>
      <w:r w:rsidR="00573084" w:rsidRPr="003422F8">
        <w:rPr>
          <w:rFonts w:ascii="Calibri" w:eastAsia="Calibri" w:hAnsi="Calibri" w:cs="Calibri"/>
          <w:lang w:val="en-US"/>
        </w:rPr>
        <w:t xml:space="preserve"> progressive</w:t>
      </w:r>
      <w:r w:rsidR="006115D3">
        <w:rPr>
          <w:rFonts w:ascii="Calibri" w:eastAsia="Calibri" w:hAnsi="Calibri" w:cs="Calibri"/>
          <w:lang w:val="en-US"/>
        </w:rPr>
        <w:t xml:space="preserve"> phases</w:t>
      </w:r>
      <w:r w:rsidR="008A0AD9">
        <w:rPr>
          <w:rFonts w:ascii="Calibri" w:eastAsia="Calibri" w:hAnsi="Calibri" w:cs="Calibri"/>
          <w:lang w:val="en-US"/>
        </w:rPr>
        <w:t xml:space="preserve"> of the</w:t>
      </w:r>
      <w:r w:rsidR="00573084" w:rsidRPr="003422F8">
        <w:rPr>
          <w:rFonts w:ascii="Calibri" w:eastAsia="Calibri" w:hAnsi="Calibri" w:cs="Calibri"/>
          <w:lang w:val="en-US"/>
        </w:rPr>
        <w:t xml:space="preserve"> disease</w:t>
      </w:r>
      <w:hyperlink w:history="1">
        <w:r w:rsidR="00573084" w:rsidRPr="003422F8">
          <w:rPr>
            <w:rStyle w:val="Hyperlink0"/>
          </w:rPr>
          <w:t>1</w:t>
        </w:r>
      </w:hyperlink>
      <w:bookmarkStart w:id="11" w:name="_ENREF_14"/>
      <w:bookmarkEnd w:id="10"/>
      <w:r w:rsidR="00573084" w:rsidRPr="003422F8">
        <w:rPr>
          <w:rFonts w:ascii="Calibri" w:eastAsia="Calibri" w:hAnsi="Calibri" w:cs="Calibri"/>
          <w:lang w:val="en-US"/>
        </w:rPr>
        <w:t>.  Corticosteroids hasten recovery from relapses without affecting</w:t>
      </w:r>
      <w:r w:rsidR="00573084">
        <w:rPr>
          <w:rFonts w:ascii="Calibri" w:eastAsia="Calibri" w:hAnsi="Calibri" w:cs="Calibri"/>
          <w:lang w:val="en-US"/>
        </w:rPr>
        <w:t xml:space="preserve"> the</w:t>
      </w:r>
      <w:r w:rsidR="00573084" w:rsidRPr="003422F8">
        <w:rPr>
          <w:rFonts w:ascii="Calibri" w:eastAsia="Calibri" w:hAnsi="Calibri" w:cs="Calibri"/>
          <w:lang w:val="en-US"/>
        </w:rPr>
        <w:t xml:space="preserve"> final prognosis for recovery</w:t>
      </w:r>
      <w:r w:rsidR="004978F8" w:rsidRPr="003422F8">
        <w:rPr>
          <w:rFonts w:ascii="Calibri" w:eastAsia="Calibri" w:hAnsi="Calibri" w:cs="Calibri"/>
          <w:vertAlign w:val="superscript"/>
        </w:rPr>
        <w:fldChar w:fldCharType="begin"/>
      </w:r>
      <w:r w:rsidR="00573084" w:rsidRPr="003422F8">
        <w:rPr>
          <w:rFonts w:ascii="Calibri" w:eastAsia="Calibri" w:hAnsi="Calibri" w:cs="Calibri"/>
          <w:vertAlign w:val="superscript"/>
        </w:rPr>
        <w:instrText xml:space="preserve"> ADDIN EN.CITE &lt;EndNote&gt;&lt;Cite&gt;&lt;DisplayText&gt;2,3&lt;/DisplayText&gt;&lt;record&gt;&lt;/record&gt;&lt;/Cite&gt;&lt;/EndNote&gt;</w:instrText>
      </w:r>
      <w:r w:rsidR="004978F8" w:rsidRPr="003422F8">
        <w:rPr>
          <w:rFonts w:ascii="Calibri" w:eastAsia="Calibri" w:hAnsi="Calibri" w:cs="Calibri"/>
          <w:vertAlign w:val="superscript"/>
        </w:rPr>
        <w:fldChar w:fldCharType="separate"/>
      </w:r>
      <w:r w:rsidR="00573084" w:rsidRPr="003422F8">
        <w:rPr>
          <w:rFonts w:ascii="Calibri" w:eastAsia="Calibri" w:hAnsi="Calibri" w:cs="Calibri"/>
          <w:vertAlign w:val="superscript"/>
        </w:rPr>
        <w:t>2,3</w:t>
      </w:r>
      <w:r w:rsidR="004978F8" w:rsidRPr="003422F8">
        <w:rPr>
          <w:rFonts w:ascii="Calibri" w:eastAsia="Calibri" w:hAnsi="Calibri" w:cs="Calibri"/>
          <w:vertAlign w:val="superscript"/>
        </w:rPr>
        <w:fldChar w:fldCharType="end"/>
      </w:r>
      <w:r w:rsidR="002536BB">
        <w:rPr>
          <w:rFonts w:ascii="Calibri" w:eastAsia="Calibri" w:hAnsi="Calibri" w:cs="Calibri"/>
          <w:vertAlign w:val="superscript"/>
        </w:rPr>
        <w:t>,4</w:t>
      </w:r>
      <w:r w:rsidR="00573084" w:rsidRPr="003422F8">
        <w:rPr>
          <w:rFonts w:ascii="Calibri" w:eastAsia="Calibri" w:hAnsi="Calibri" w:cs="Calibri"/>
          <w:lang w:val="en-US"/>
        </w:rPr>
        <w:t xml:space="preserve">, and </w:t>
      </w:r>
      <w:proofErr w:type="spellStart"/>
      <w:r w:rsidR="00573084" w:rsidRPr="003422F8">
        <w:rPr>
          <w:rFonts w:ascii="Calibri" w:eastAsia="Calibri" w:hAnsi="Calibri" w:cs="Calibri"/>
          <w:lang w:val="en-US"/>
        </w:rPr>
        <w:t>immun</w:t>
      </w:r>
      <w:bookmarkEnd w:id="11"/>
      <w:proofErr w:type="spellEnd"/>
      <w:r w:rsidR="00573084" w:rsidRPr="003422F8">
        <w:rPr>
          <w:rFonts w:ascii="Calibri" w:eastAsia="Calibri" w:hAnsi="Calibri" w:cs="Calibri"/>
        </w:rPr>
        <w:t>o</w:t>
      </w:r>
      <w:bookmarkStart w:id="12" w:name="_ENREF_15"/>
      <w:r w:rsidR="00573084" w:rsidRPr="003422F8">
        <w:rPr>
          <w:rFonts w:ascii="Calibri" w:eastAsia="Calibri" w:hAnsi="Calibri" w:cs="Calibri"/>
          <w:lang w:val="en-US"/>
        </w:rPr>
        <w:t xml:space="preserve">modulation has so far </w:t>
      </w:r>
      <w:r w:rsidR="00F67D39">
        <w:rPr>
          <w:rFonts w:ascii="Calibri" w:eastAsia="Calibri" w:hAnsi="Calibri" w:cs="Calibri"/>
        </w:rPr>
        <w:t>had limited effects on</w:t>
      </w:r>
      <w:r w:rsidR="001F6A45">
        <w:rPr>
          <w:rFonts w:ascii="Calibri" w:eastAsia="Calibri" w:hAnsi="Calibri" w:cs="Calibri"/>
        </w:rPr>
        <w:t xml:space="preserve"> progressive disability</w:t>
      </w:r>
      <w:r w:rsidR="002536BB">
        <w:rPr>
          <w:rFonts w:ascii="Calibri" w:eastAsia="Calibri" w:hAnsi="Calibri" w:cs="Calibri"/>
          <w:vertAlign w:val="superscript"/>
        </w:rPr>
        <w:t>5</w:t>
      </w:r>
      <w:r w:rsidR="00573084" w:rsidRPr="003422F8">
        <w:rPr>
          <w:rFonts w:ascii="Calibri" w:eastAsia="Calibri" w:hAnsi="Calibri" w:cs="Calibri"/>
          <w:lang w:val="en-US"/>
        </w:rPr>
        <w:t xml:space="preserve">. Hence, </w:t>
      </w:r>
      <w:proofErr w:type="spellStart"/>
      <w:r w:rsidR="00573084" w:rsidRPr="003422F8">
        <w:rPr>
          <w:rFonts w:ascii="Calibri" w:eastAsia="Calibri" w:hAnsi="Calibri" w:cs="Calibri"/>
          <w:lang w:val="en-US"/>
        </w:rPr>
        <w:t>neuroprotection</w:t>
      </w:r>
      <w:proofErr w:type="spellEnd"/>
      <w:r w:rsidR="00573084" w:rsidRPr="003422F8">
        <w:rPr>
          <w:rFonts w:ascii="Calibri" w:eastAsia="Calibri" w:hAnsi="Calibri" w:cs="Calibri"/>
          <w:lang w:val="en-US"/>
        </w:rPr>
        <w:t xml:space="preserve"> </w:t>
      </w:r>
      <w:r w:rsidR="00FB20A3">
        <w:rPr>
          <w:rFonts w:ascii="Calibri" w:eastAsia="Calibri" w:hAnsi="Calibri" w:cs="Calibri"/>
          <w:lang w:val="en-US"/>
        </w:rPr>
        <w:t>for both processes contributing to</w:t>
      </w:r>
      <w:r w:rsidR="0029183F">
        <w:rPr>
          <w:rFonts w:ascii="Calibri" w:eastAsia="Calibri" w:hAnsi="Calibri" w:cs="Calibri"/>
          <w:lang w:val="en-US"/>
        </w:rPr>
        <w:t xml:space="preserve"> disability </w:t>
      </w:r>
      <w:r w:rsidR="00573084" w:rsidRPr="003422F8">
        <w:rPr>
          <w:rFonts w:ascii="Calibri" w:eastAsia="Calibri" w:hAnsi="Calibri" w:cs="Calibri"/>
          <w:lang w:val="en-US"/>
        </w:rPr>
        <w:t xml:space="preserve">remains a key unmet need </w:t>
      </w:r>
      <w:bookmarkEnd w:id="12"/>
      <w:r w:rsidR="00573084" w:rsidRPr="003422F8">
        <w:rPr>
          <w:rFonts w:ascii="Calibri" w:eastAsia="Calibri" w:hAnsi="Calibri" w:cs="Calibri"/>
        </w:rPr>
        <w:t>i</w:t>
      </w:r>
      <w:bookmarkStart w:id="13" w:name="_ENREF_16"/>
      <w:r w:rsidR="00573084" w:rsidRPr="003422F8">
        <w:rPr>
          <w:rFonts w:ascii="Calibri" w:eastAsia="Calibri" w:hAnsi="Calibri" w:cs="Calibri"/>
        </w:rPr>
        <w:t xml:space="preserve">n MS. </w:t>
      </w:r>
    </w:p>
    <w:p w14:paraId="32EC253D" w14:textId="6BB93E12" w:rsidR="00873B88" w:rsidRDefault="00C826A9" w:rsidP="00412D99">
      <w:pPr>
        <w:pStyle w:val="Body"/>
        <w:jc w:val="both"/>
        <w:rPr>
          <w:rFonts w:ascii="Calibri" w:eastAsia="Calibri" w:hAnsi="Calibri" w:cs="Calibri"/>
        </w:rPr>
      </w:pPr>
      <w:r>
        <w:rPr>
          <w:rFonts w:ascii="Calibri" w:eastAsia="Calibri" w:hAnsi="Calibri" w:cs="Calibri"/>
          <w:lang w:val="en-US"/>
        </w:rPr>
        <w:t xml:space="preserve">Different mechanisms are likely to contribute to </w:t>
      </w:r>
      <w:proofErr w:type="spellStart"/>
      <w:r>
        <w:rPr>
          <w:rFonts w:ascii="Calibri" w:eastAsia="Calibri" w:hAnsi="Calibri" w:cs="Calibri"/>
          <w:lang w:val="en-US"/>
        </w:rPr>
        <w:t>neurodegeneration</w:t>
      </w:r>
      <w:proofErr w:type="spellEnd"/>
      <w:r>
        <w:rPr>
          <w:rFonts w:ascii="Calibri" w:eastAsia="Calibri" w:hAnsi="Calibri" w:cs="Calibri"/>
          <w:lang w:val="en-US"/>
        </w:rPr>
        <w:t xml:space="preserve"> in relapses and in progressive disease. </w:t>
      </w:r>
      <w:r w:rsidR="00267835">
        <w:rPr>
          <w:rFonts w:ascii="Calibri" w:eastAsia="Calibri" w:hAnsi="Calibri" w:cs="Calibri"/>
          <w:lang w:val="en-US"/>
        </w:rPr>
        <w:t>I</w:t>
      </w:r>
      <w:r>
        <w:rPr>
          <w:rFonts w:ascii="Calibri" w:eastAsia="Calibri" w:hAnsi="Calibri" w:cs="Calibri"/>
          <w:lang w:val="en-US"/>
        </w:rPr>
        <w:t>n acute relapses</w:t>
      </w:r>
      <w:r w:rsidR="00573084" w:rsidRPr="003422F8">
        <w:rPr>
          <w:rFonts w:ascii="Calibri" w:eastAsia="Calibri" w:hAnsi="Calibri" w:cs="Calibri"/>
          <w:lang w:val="en-US"/>
        </w:rPr>
        <w:t xml:space="preserve">, there is growing evidence of a cascade arising from neuronal energy failure, </w:t>
      </w:r>
      <w:r w:rsidR="00573084">
        <w:rPr>
          <w:rFonts w:ascii="Calibri" w:eastAsia="Calibri" w:hAnsi="Calibri" w:cs="Calibri"/>
          <w:lang w:val="en-US"/>
        </w:rPr>
        <w:t>leading</w:t>
      </w:r>
      <w:r w:rsidR="00573084" w:rsidRPr="003422F8">
        <w:rPr>
          <w:rFonts w:ascii="Calibri" w:eastAsia="Calibri" w:hAnsi="Calibri" w:cs="Calibri"/>
          <w:lang w:val="en-US"/>
        </w:rPr>
        <w:t xml:space="preserve"> in turn to reduced activity of the membrane Na</w:t>
      </w:r>
      <w:r w:rsidR="00573084">
        <w:rPr>
          <w:rFonts w:ascii="Calibri" w:eastAsia="Calibri" w:hAnsi="Calibri" w:cs="Calibri"/>
          <w:vertAlign w:val="superscript"/>
          <w:lang w:val="en-US"/>
        </w:rPr>
        <w:t>+</w:t>
      </w:r>
      <w:r w:rsidR="00573084" w:rsidRPr="003422F8">
        <w:rPr>
          <w:rFonts w:ascii="Calibri" w:eastAsia="Calibri" w:hAnsi="Calibri" w:cs="Calibri"/>
        </w:rPr>
        <w:t>-K</w:t>
      </w:r>
      <w:r w:rsidR="00573084">
        <w:rPr>
          <w:rFonts w:ascii="Calibri" w:eastAsia="Calibri" w:hAnsi="Calibri" w:cs="Calibri"/>
          <w:vertAlign w:val="superscript"/>
        </w:rPr>
        <w:t>+</w:t>
      </w:r>
      <w:r w:rsidR="00573084" w:rsidRPr="003422F8">
        <w:rPr>
          <w:rFonts w:ascii="Calibri" w:eastAsia="Calibri" w:hAnsi="Calibri" w:cs="Calibri"/>
          <w:lang w:val="en-US"/>
        </w:rPr>
        <w:t xml:space="preserve"> ATPase, accumulation of sodium</w:t>
      </w:r>
      <w:bookmarkEnd w:id="13"/>
      <w:r w:rsidR="00573084" w:rsidRPr="003422F8">
        <w:rPr>
          <w:rFonts w:ascii="Calibri" w:eastAsia="Calibri" w:hAnsi="Calibri" w:cs="Calibri"/>
        </w:rPr>
        <w:t xml:space="preserve"> </w:t>
      </w:r>
      <w:bookmarkStart w:id="14" w:name="_ENREF_17"/>
      <w:r w:rsidR="00573084" w:rsidRPr="003422F8">
        <w:rPr>
          <w:rFonts w:ascii="Calibri" w:eastAsia="Calibri" w:hAnsi="Calibri" w:cs="Calibri"/>
          <w:lang w:val="en-US"/>
        </w:rPr>
        <w:t>ions entering mainly via Na</w:t>
      </w:r>
      <w:r w:rsidR="00573084" w:rsidRPr="003422F8">
        <w:rPr>
          <w:rFonts w:ascii="Calibri" w:eastAsia="Calibri" w:hAnsi="Calibri" w:cs="Calibri"/>
          <w:vertAlign w:val="subscript"/>
        </w:rPr>
        <w:t>V</w:t>
      </w:r>
      <w:r w:rsidR="00573084" w:rsidRPr="003422F8">
        <w:rPr>
          <w:rFonts w:ascii="Calibri" w:eastAsia="Calibri" w:hAnsi="Calibri" w:cs="Calibri"/>
          <w:lang w:val="en-US"/>
        </w:rPr>
        <w:t>1</w:t>
      </w:r>
      <w:r w:rsidR="00FD7C53">
        <w:rPr>
          <w:rFonts w:ascii="Calibri" w:eastAsia="Calibri" w:hAnsi="Calibri" w:cs="Calibri"/>
          <w:lang w:val="en-US"/>
        </w:rPr>
        <w:t>·</w:t>
      </w:r>
      <w:r w:rsidR="00573084" w:rsidRPr="003422F8">
        <w:rPr>
          <w:rFonts w:ascii="Calibri" w:eastAsia="Calibri" w:hAnsi="Calibri" w:cs="Calibri"/>
          <w:lang w:val="en-US"/>
        </w:rPr>
        <w:t>6 channels, reverse operation of the membrane Na</w:t>
      </w:r>
      <w:r w:rsidR="00573084" w:rsidRPr="003422F8">
        <w:rPr>
          <w:rFonts w:ascii="Calibri" w:eastAsia="Calibri" w:hAnsi="Calibri" w:cs="Calibri"/>
          <w:vertAlign w:val="superscript"/>
          <w:lang w:val="en-US"/>
        </w:rPr>
        <w:t>+</w:t>
      </w:r>
      <w:r w:rsidR="00573084" w:rsidRPr="003422F8">
        <w:rPr>
          <w:rFonts w:ascii="Calibri" w:eastAsia="Calibri" w:hAnsi="Calibri" w:cs="Calibri"/>
        </w:rPr>
        <w:t>:Ca</w:t>
      </w:r>
      <w:r w:rsidR="00573084" w:rsidRPr="003422F8">
        <w:rPr>
          <w:rFonts w:ascii="Calibri" w:eastAsia="Calibri" w:hAnsi="Calibri" w:cs="Calibri"/>
          <w:vertAlign w:val="superscript"/>
          <w:lang w:val="en-US"/>
        </w:rPr>
        <w:t>2+</w:t>
      </w:r>
      <w:r w:rsidR="00573084" w:rsidRPr="003422F8">
        <w:rPr>
          <w:rFonts w:ascii="Calibri" w:eastAsia="Calibri" w:hAnsi="Calibri" w:cs="Calibri"/>
          <w:lang w:val="en-US"/>
        </w:rPr>
        <w:t xml:space="preserve"> exchanger, and finally toxic accumulation of calcium ions</w:t>
      </w:r>
      <w:r w:rsidR="002536BB">
        <w:rPr>
          <w:vertAlign w:val="superscript"/>
        </w:rPr>
        <w:t>6</w:t>
      </w:r>
      <w:r w:rsidR="00573084" w:rsidRPr="003422F8">
        <w:rPr>
          <w:rFonts w:ascii="Calibri" w:eastAsia="Calibri" w:hAnsi="Calibri" w:cs="Calibri"/>
        </w:rPr>
        <w:t xml:space="preserve">. </w:t>
      </w:r>
      <w:proofErr w:type="spellStart"/>
      <w:r w:rsidR="00573084" w:rsidRPr="003422F8">
        <w:rPr>
          <w:rFonts w:ascii="Calibri" w:eastAsia="Calibri" w:hAnsi="Calibri" w:cs="Calibri"/>
        </w:rPr>
        <w:t>Na</w:t>
      </w:r>
      <w:r w:rsidR="00573084" w:rsidRPr="003422F8">
        <w:rPr>
          <w:rFonts w:ascii="Calibri" w:eastAsia="Calibri" w:hAnsi="Calibri" w:cs="Calibri"/>
          <w:vertAlign w:val="subscript"/>
        </w:rPr>
        <w:t>V</w:t>
      </w:r>
      <w:proofErr w:type="spellEnd"/>
      <w:r w:rsidR="00573084" w:rsidRPr="003422F8">
        <w:rPr>
          <w:rFonts w:ascii="Calibri" w:eastAsia="Calibri" w:hAnsi="Calibri" w:cs="Calibri"/>
          <w:lang w:val="en-US"/>
        </w:rPr>
        <w:t>1</w:t>
      </w:r>
      <w:r w:rsidR="00FD7C53">
        <w:rPr>
          <w:rFonts w:ascii="Calibri" w:eastAsia="Calibri" w:hAnsi="Calibri" w:cs="Calibri"/>
          <w:lang w:val="en-US"/>
        </w:rPr>
        <w:t>·</w:t>
      </w:r>
      <w:r w:rsidR="00573084" w:rsidRPr="003422F8">
        <w:rPr>
          <w:rFonts w:ascii="Calibri" w:eastAsia="Calibri" w:hAnsi="Calibri" w:cs="Calibri"/>
          <w:lang w:val="en-US"/>
        </w:rPr>
        <w:t>6 channels in microglia are also likely to play an important role in their activation</w:t>
      </w:r>
      <w:r w:rsidR="00573084">
        <w:rPr>
          <w:rFonts w:ascii="Calibri" w:eastAsia="Calibri" w:hAnsi="Calibri" w:cs="Calibri"/>
          <w:lang w:val="en-US"/>
        </w:rPr>
        <w:t xml:space="preserve"> </w:t>
      </w:r>
      <w:r w:rsidR="00573084" w:rsidRPr="003422F8">
        <w:rPr>
          <w:rFonts w:ascii="Calibri" w:eastAsia="Calibri" w:hAnsi="Calibri" w:cs="Calibri"/>
          <w:lang w:val="en-US"/>
        </w:rPr>
        <w:t>and subsequent immune attack</w:t>
      </w:r>
      <w:r w:rsidR="002536BB">
        <w:rPr>
          <w:rFonts w:ascii="Calibri" w:eastAsia="Calibri" w:hAnsi="Calibri" w:cs="Calibri"/>
          <w:vertAlign w:val="superscript"/>
        </w:rPr>
        <w:t>7</w:t>
      </w:r>
      <w:r w:rsidR="00573084" w:rsidRPr="003422F8">
        <w:rPr>
          <w:rFonts w:ascii="Calibri" w:eastAsia="Calibri" w:hAnsi="Calibri" w:cs="Calibri"/>
        </w:rPr>
        <w:t xml:space="preserve">. </w:t>
      </w:r>
      <w:r w:rsidR="00573084">
        <w:rPr>
          <w:rFonts w:ascii="Calibri" w:eastAsia="Calibri" w:hAnsi="Calibri" w:cs="Calibri"/>
          <w:lang w:val="en-US"/>
        </w:rPr>
        <w:t>Consistent</w:t>
      </w:r>
      <w:r w:rsidR="00573084" w:rsidRPr="003422F8">
        <w:rPr>
          <w:rFonts w:ascii="Calibri" w:eastAsia="Calibri" w:hAnsi="Calibri" w:cs="Calibri"/>
          <w:lang w:val="en-US"/>
        </w:rPr>
        <w:t xml:space="preserve"> with this </w:t>
      </w:r>
      <w:bookmarkEnd w:id="14"/>
      <w:r w:rsidR="00573084" w:rsidRPr="003422F8">
        <w:rPr>
          <w:rFonts w:ascii="Calibri" w:eastAsia="Calibri" w:hAnsi="Calibri" w:cs="Calibri"/>
        </w:rPr>
        <w:t>m</w:t>
      </w:r>
      <w:bookmarkStart w:id="15" w:name="_ENREF_18"/>
      <w:r w:rsidR="00573084" w:rsidRPr="003422F8">
        <w:rPr>
          <w:rFonts w:ascii="Calibri" w:eastAsia="Calibri" w:hAnsi="Calibri" w:cs="Calibri"/>
        </w:rPr>
        <w:t xml:space="preserve">echanism, </w:t>
      </w:r>
      <w:r w:rsidR="00573084" w:rsidRPr="003422F8">
        <w:rPr>
          <w:rFonts w:ascii="Calibri" w:eastAsia="Calibri" w:hAnsi="Calibri" w:cs="Calibri"/>
          <w:lang w:val="en-US"/>
        </w:rPr>
        <w:t>voltage-gated sodium channels</w:t>
      </w:r>
      <w:r w:rsidR="00573084">
        <w:rPr>
          <w:rFonts w:ascii="Calibri" w:eastAsia="Calibri" w:hAnsi="Calibri" w:cs="Calibri"/>
          <w:lang w:val="en-US"/>
        </w:rPr>
        <w:t xml:space="preserve"> inhibitors</w:t>
      </w:r>
      <w:r w:rsidR="00573084" w:rsidRPr="003422F8">
        <w:rPr>
          <w:rFonts w:ascii="Calibri" w:eastAsia="Calibri" w:hAnsi="Calibri" w:cs="Calibri"/>
          <w:lang w:val="en-US"/>
        </w:rPr>
        <w:t xml:space="preserve"> are </w:t>
      </w:r>
      <w:proofErr w:type="spellStart"/>
      <w:r w:rsidR="00573084" w:rsidRPr="003422F8">
        <w:rPr>
          <w:rFonts w:ascii="Calibri" w:eastAsia="Calibri" w:hAnsi="Calibri" w:cs="Calibri"/>
          <w:lang w:val="en-US"/>
        </w:rPr>
        <w:t>neuroprotective</w:t>
      </w:r>
      <w:proofErr w:type="spellEnd"/>
      <w:r w:rsidR="00573084" w:rsidRPr="003422F8">
        <w:rPr>
          <w:rFonts w:ascii="Calibri" w:eastAsia="Calibri" w:hAnsi="Calibri" w:cs="Calibri"/>
          <w:lang w:val="en-US"/>
        </w:rPr>
        <w:t xml:space="preserve"> in several </w:t>
      </w:r>
      <w:r w:rsidR="00F27F9A">
        <w:rPr>
          <w:rFonts w:ascii="Calibri" w:eastAsia="Calibri" w:hAnsi="Calibri" w:cs="Calibri"/>
          <w:lang w:val="en-US"/>
        </w:rPr>
        <w:t xml:space="preserve">preclinical </w:t>
      </w:r>
      <w:r w:rsidR="00573084" w:rsidRPr="003422F8">
        <w:rPr>
          <w:rFonts w:ascii="Calibri" w:eastAsia="Calibri" w:hAnsi="Calibri" w:cs="Calibri"/>
          <w:lang w:val="en-US"/>
        </w:rPr>
        <w:t>models of neuroinflammation</w:t>
      </w:r>
      <w:r w:rsidR="009E341D">
        <w:rPr>
          <w:rFonts w:ascii="Calibri" w:eastAsia="Calibri" w:hAnsi="Calibri" w:cs="Calibri"/>
          <w:vertAlign w:val="superscript"/>
          <w:lang w:val="en-US"/>
        </w:rPr>
        <w:t>8-</w:t>
      </w:r>
      <w:r w:rsidR="009E341D">
        <w:rPr>
          <w:rFonts w:ascii="Calibri" w:eastAsia="Calibri" w:hAnsi="Calibri" w:cs="Calibri"/>
          <w:vertAlign w:val="superscript"/>
        </w:rPr>
        <w:t>10</w:t>
      </w:r>
      <w:r w:rsidR="00573084" w:rsidRPr="003422F8">
        <w:rPr>
          <w:rFonts w:ascii="Calibri" w:eastAsia="Calibri" w:hAnsi="Calibri" w:cs="Calibri"/>
          <w:lang w:val="en-US"/>
        </w:rPr>
        <w:t>, suggesting t</w:t>
      </w:r>
      <w:bookmarkEnd w:id="15"/>
      <w:r w:rsidR="00573084" w:rsidRPr="003422F8">
        <w:rPr>
          <w:rFonts w:ascii="Calibri" w:eastAsia="Calibri" w:hAnsi="Calibri" w:cs="Calibri"/>
        </w:rPr>
        <w:t>h</w:t>
      </w:r>
      <w:bookmarkStart w:id="16" w:name="_ENREF_19"/>
      <w:r w:rsidR="00573084" w:rsidRPr="003422F8">
        <w:rPr>
          <w:rFonts w:ascii="Calibri" w:eastAsia="Calibri" w:hAnsi="Calibri" w:cs="Calibri"/>
          <w:lang w:val="en-US"/>
        </w:rPr>
        <w:t xml:space="preserve">at they may also be </w:t>
      </w:r>
      <w:proofErr w:type="spellStart"/>
      <w:r w:rsidR="00573084" w:rsidRPr="003422F8">
        <w:rPr>
          <w:rFonts w:ascii="Calibri" w:eastAsia="Calibri" w:hAnsi="Calibri" w:cs="Calibri"/>
          <w:lang w:val="en-US"/>
        </w:rPr>
        <w:t>neuroprotective</w:t>
      </w:r>
      <w:proofErr w:type="spellEnd"/>
      <w:r w:rsidR="00573084" w:rsidRPr="003422F8">
        <w:rPr>
          <w:rFonts w:ascii="Calibri" w:eastAsia="Calibri" w:hAnsi="Calibri" w:cs="Calibri"/>
          <w:lang w:val="en-US"/>
        </w:rPr>
        <w:t xml:space="preserve"> in MS</w:t>
      </w:r>
      <w:r w:rsidR="00573084" w:rsidRPr="003422F8">
        <w:rPr>
          <w:rFonts w:ascii="Calibri" w:eastAsia="Calibri" w:hAnsi="Calibri" w:cs="Calibri"/>
        </w:rPr>
        <w:t xml:space="preserve">. </w:t>
      </w:r>
    </w:p>
    <w:p w14:paraId="4D878AF8" w14:textId="5D19276D" w:rsidR="00873B88" w:rsidRDefault="00573084" w:rsidP="00412D99">
      <w:pPr>
        <w:pStyle w:val="Body"/>
        <w:jc w:val="both"/>
        <w:rPr>
          <w:rFonts w:ascii="Calibri" w:eastAsia="Calibri" w:hAnsi="Calibri" w:cs="Calibri"/>
        </w:rPr>
      </w:pPr>
      <w:r w:rsidRPr="003422F8">
        <w:rPr>
          <w:rFonts w:ascii="Calibri" w:eastAsia="Calibri" w:hAnsi="Calibri" w:cs="Calibri"/>
          <w:lang w:val="en-US"/>
        </w:rPr>
        <w:t>Phenytoin is a selective sodium channel inhibitor at concentrations therapeutic for epilepsy</w:t>
      </w:r>
      <w:bookmarkEnd w:id="16"/>
      <w:r w:rsidRPr="003422F8">
        <w:rPr>
          <w:rFonts w:ascii="Calibri" w:eastAsia="Calibri" w:hAnsi="Calibri" w:cs="Calibri"/>
        </w:rPr>
        <w:t xml:space="preserve"> </w:t>
      </w:r>
      <w:bookmarkStart w:id="17" w:name="_ENREF_20"/>
      <w:r w:rsidRPr="003422F8">
        <w:rPr>
          <w:rFonts w:ascii="Calibri" w:eastAsia="Calibri" w:hAnsi="Calibri" w:cs="Calibri"/>
          <w:lang w:val="en-US"/>
        </w:rPr>
        <w:t xml:space="preserve">and </w:t>
      </w:r>
      <w:r w:rsidR="00F90B12">
        <w:rPr>
          <w:rFonts w:ascii="Calibri" w:eastAsia="Calibri" w:hAnsi="Calibri" w:cs="Calibri"/>
          <w:lang w:val="en-US"/>
        </w:rPr>
        <w:t>is</w:t>
      </w:r>
      <w:r w:rsidR="00283E89">
        <w:rPr>
          <w:rFonts w:ascii="Calibri" w:eastAsia="Calibri" w:hAnsi="Calibri" w:cs="Calibri"/>
          <w:lang w:val="en-US"/>
        </w:rPr>
        <w:t xml:space="preserve"> </w:t>
      </w:r>
      <w:proofErr w:type="spellStart"/>
      <w:r w:rsidRPr="003422F8">
        <w:rPr>
          <w:rFonts w:ascii="Calibri" w:eastAsia="Calibri" w:hAnsi="Calibri" w:cs="Calibri"/>
          <w:lang w:val="en-US"/>
        </w:rPr>
        <w:t>neuroprotective</w:t>
      </w:r>
      <w:proofErr w:type="spellEnd"/>
      <w:r w:rsidRPr="003422F8">
        <w:rPr>
          <w:rFonts w:ascii="Calibri" w:eastAsia="Calibri" w:hAnsi="Calibri" w:cs="Calibri"/>
          <w:lang w:val="en-US"/>
        </w:rPr>
        <w:t xml:space="preserve"> </w:t>
      </w:r>
      <w:r w:rsidR="00F90B12">
        <w:rPr>
          <w:rFonts w:ascii="Calibri" w:eastAsia="Calibri" w:hAnsi="Calibri" w:cs="Calibri"/>
          <w:lang w:val="en-US"/>
        </w:rPr>
        <w:t>at these concentrations</w:t>
      </w:r>
      <w:r w:rsidR="00283E89">
        <w:rPr>
          <w:rFonts w:ascii="Calibri" w:eastAsia="Calibri" w:hAnsi="Calibri" w:cs="Calibri"/>
          <w:lang w:val="en-US"/>
        </w:rPr>
        <w:t xml:space="preserve"> </w:t>
      </w:r>
      <w:r w:rsidRPr="003422F8">
        <w:rPr>
          <w:rFonts w:ascii="Calibri" w:eastAsia="Calibri" w:hAnsi="Calibri" w:cs="Calibri"/>
          <w:lang w:val="en-US"/>
        </w:rPr>
        <w:t>in experimental models</w:t>
      </w:r>
      <w:r w:rsidR="009E341D">
        <w:rPr>
          <w:rFonts w:ascii="Calibri" w:eastAsia="Calibri" w:hAnsi="Calibri" w:cs="Calibri"/>
          <w:vertAlign w:val="superscript"/>
        </w:rPr>
        <w:t>8-</w:t>
      </w:r>
      <w:proofErr w:type="gramStart"/>
      <w:r w:rsidR="001C6051">
        <w:rPr>
          <w:rFonts w:ascii="Calibri" w:eastAsia="Calibri" w:hAnsi="Calibri" w:cs="Calibri"/>
          <w:vertAlign w:val="superscript"/>
        </w:rPr>
        <w:t>,9,11</w:t>
      </w:r>
      <w:proofErr w:type="gramEnd"/>
      <w:r w:rsidRPr="003422F8">
        <w:rPr>
          <w:rFonts w:ascii="Calibri" w:eastAsia="Calibri" w:hAnsi="Calibri" w:cs="Calibri"/>
        </w:rPr>
        <w:t>. I</w:t>
      </w:r>
      <w:r w:rsidRPr="003422F8">
        <w:rPr>
          <w:rFonts w:ascii="Calibri" w:eastAsia="Calibri" w:hAnsi="Calibri" w:cs="Calibri"/>
          <w:lang w:val="en-US"/>
        </w:rPr>
        <w:t xml:space="preserve">t can be loaded rapidly to achieve therapeutic serum concentrations within days. This property is important because </w:t>
      </w:r>
      <w:r w:rsidR="00F90B12">
        <w:rPr>
          <w:rFonts w:ascii="Calibri" w:eastAsia="Calibri" w:hAnsi="Calibri" w:cs="Calibri"/>
          <w:lang w:val="en-US"/>
        </w:rPr>
        <w:t>experimental studies indicate that</w:t>
      </w:r>
      <w:r w:rsidR="00E34101">
        <w:rPr>
          <w:rFonts w:ascii="Calibri" w:eastAsia="Calibri" w:hAnsi="Calibri" w:cs="Calibri"/>
          <w:lang w:val="en-US"/>
        </w:rPr>
        <w:t xml:space="preserve"> </w:t>
      </w:r>
      <w:r w:rsidRPr="003422F8">
        <w:rPr>
          <w:rFonts w:ascii="Calibri" w:eastAsia="Calibri" w:hAnsi="Calibri" w:cs="Calibri"/>
          <w:lang w:val="en-US"/>
        </w:rPr>
        <w:t>ne</w:t>
      </w:r>
      <w:bookmarkEnd w:id="17"/>
      <w:r w:rsidRPr="003422F8">
        <w:rPr>
          <w:rFonts w:ascii="Calibri" w:eastAsia="Calibri" w:hAnsi="Calibri" w:cs="Calibri"/>
        </w:rPr>
        <w:t>u</w:t>
      </w:r>
      <w:bookmarkStart w:id="18" w:name="_ENREF_21"/>
      <w:proofErr w:type="spellStart"/>
      <w:r w:rsidRPr="003422F8">
        <w:rPr>
          <w:rFonts w:ascii="Calibri" w:eastAsia="Calibri" w:hAnsi="Calibri" w:cs="Calibri"/>
          <w:lang w:val="en-US"/>
        </w:rPr>
        <w:t>roprotection</w:t>
      </w:r>
      <w:proofErr w:type="spellEnd"/>
      <w:r w:rsidRPr="003422F8">
        <w:rPr>
          <w:rFonts w:ascii="Calibri" w:eastAsia="Calibri" w:hAnsi="Calibri" w:cs="Calibri"/>
          <w:lang w:val="en-US"/>
        </w:rPr>
        <w:t xml:space="preserve"> for relapses </w:t>
      </w:r>
      <w:r>
        <w:rPr>
          <w:rFonts w:ascii="Calibri" w:eastAsia="Calibri" w:hAnsi="Calibri" w:cs="Calibri"/>
          <w:lang w:val="en-US"/>
        </w:rPr>
        <w:t>should</w:t>
      </w:r>
      <w:r w:rsidRPr="003422F8">
        <w:rPr>
          <w:rFonts w:ascii="Calibri" w:eastAsia="Calibri" w:hAnsi="Calibri" w:cs="Calibri"/>
          <w:lang w:val="en-US"/>
        </w:rPr>
        <w:t xml:space="preserve"> be started </w:t>
      </w:r>
      <w:r w:rsidR="00F90B12">
        <w:rPr>
          <w:rFonts w:ascii="Calibri" w:eastAsia="Calibri" w:hAnsi="Calibri" w:cs="Calibri"/>
          <w:lang w:val="en-US"/>
        </w:rPr>
        <w:t>as</w:t>
      </w:r>
      <w:r w:rsidR="00E34101">
        <w:rPr>
          <w:rFonts w:ascii="Calibri" w:eastAsia="Calibri" w:hAnsi="Calibri" w:cs="Calibri"/>
          <w:lang w:val="en-US"/>
        </w:rPr>
        <w:t xml:space="preserve"> </w:t>
      </w:r>
      <w:r w:rsidRPr="003422F8">
        <w:rPr>
          <w:rFonts w:ascii="Calibri" w:eastAsia="Calibri" w:hAnsi="Calibri" w:cs="Calibri"/>
          <w:lang w:val="en-US"/>
        </w:rPr>
        <w:t>early</w:t>
      </w:r>
      <w:r w:rsidR="00E34101">
        <w:rPr>
          <w:rFonts w:ascii="Calibri" w:eastAsia="Calibri" w:hAnsi="Calibri" w:cs="Calibri"/>
          <w:lang w:val="en-US"/>
        </w:rPr>
        <w:t xml:space="preserve"> </w:t>
      </w:r>
      <w:r w:rsidR="00F90B12">
        <w:rPr>
          <w:rFonts w:ascii="Calibri" w:eastAsia="Calibri" w:hAnsi="Calibri" w:cs="Calibri"/>
          <w:lang w:val="en-US"/>
        </w:rPr>
        <w:t>as possible</w:t>
      </w:r>
      <w:r w:rsidRPr="003422F8">
        <w:rPr>
          <w:rFonts w:ascii="Calibri" w:eastAsia="Calibri" w:hAnsi="Calibri" w:cs="Calibri"/>
          <w:lang w:val="en-US"/>
        </w:rPr>
        <w:t xml:space="preserve"> </w:t>
      </w:r>
      <w:r w:rsidR="001F6A45">
        <w:rPr>
          <w:rFonts w:ascii="Calibri" w:eastAsia="Calibri" w:hAnsi="Calibri" w:cs="Calibri"/>
          <w:lang w:val="en-US"/>
        </w:rPr>
        <w:t>during</w:t>
      </w:r>
      <w:r w:rsidRPr="003422F8">
        <w:rPr>
          <w:rFonts w:ascii="Calibri" w:eastAsia="Calibri" w:hAnsi="Calibri" w:cs="Calibri"/>
          <w:lang w:val="en-US"/>
        </w:rPr>
        <w:t xml:space="preserve"> the </w:t>
      </w:r>
      <w:r w:rsidR="001F6A45">
        <w:rPr>
          <w:rFonts w:ascii="Calibri" w:eastAsia="Calibri" w:hAnsi="Calibri" w:cs="Calibri"/>
          <w:lang w:val="en-US"/>
        </w:rPr>
        <w:t>phase</w:t>
      </w:r>
      <w:r w:rsidRPr="003422F8">
        <w:rPr>
          <w:rFonts w:ascii="Calibri" w:eastAsia="Calibri" w:hAnsi="Calibri" w:cs="Calibri"/>
          <w:lang w:val="en-US"/>
        </w:rPr>
        <w:t xml:space="preserve"> of acute inflammatory </w:t>
      </w:r>
      <w:r w:rsidRPr="003422F8">
        <w:rPr>
          <w:rFonts w:ascii="Calibri" w:eastAsia="Calibri" w:hAnsi="Calibri" w:cs="Calibri"/>
        </w:rPr>
        <w:t>injury</w:t>
      </w:r>
      <w:bookmarkStart w:id="19" w:name="_ENREF_22"/>
      <w:bookmarkEnd w:id="18"/>
      <w:r>
        <w:rPr>
          <w:rFonts w:ascii="Calibri" w:eastAsia="Calibri" w:hAnsi="Calibri" w:cs="Calibri"/>
          <w:vertAlign w:val="superscript"/>
        </w:rPr>
        <w:t>1</w:t>
      </w:r>
      <w:r w:rsidR="001C6051">
        <w:rPr>
          <w:rFonts w:ascii="Calibri" w:eastAsia="Calibri" w:hAnsi="Calibri" w:cs="Calibri"/>
          <w:vertAlign w:val="superscript"/>
        </w:rPr>
        <w:t>0</w:t>
      </w:r>
      <w:r w:rsidRPr="003422F8">
        <w:rPr>
          <w:rFonts w:ascii="Calibri" w:hAnsi="Calibri"/>
        </w:rPr>
        <w:t>,</w:t>
      </w:r>
      <w:r w:rsidR="00235222">
        <w:rPr>
          <w:rFonts w:ascii="Calibri" w:hAnsi="Calibri"/>
        </w:rPr>
        <w:t xml:space="preserve"> </w:t>
      </w:r>
      <w:r w:rsidR="00F90B12">
        <w:rPr>
          <w:rFonts w:ascii="Calibri" w:hAnsi="Calibri"/>
        </w:rPr>
        <w:t>an</w:t>
      </w:r>
      <w:r w:rsidR="00235222">
        <w:rPr>
          <w:rFonts w:ascii="Calibri" w:hAnsi="Calibri"/>
        </w:rPr>
        <w:t xml:space="preserve"> inflammatory penumbra</w:t>
      </w:r>
      <w:r w:rsidR="0036773D">
        <w:rPr>
          <w:rFonts w:ascii="Calibri" w:hAnsi="Calibri"/>
        </w:rPr>
        <w:t xml:space="preserve"> </w:t>
      </w:r>
      <w:r w:rsidR="00F90B12">
        <w:rPr>
          <w:rFonts w:ascii="Calibri" w:hAnsi="Calibri"/>
        </w:rPr>
        <w:t>which corresponds to approximately the first two weeks of a clinical episode</w:t>
      </w:r>
      <w:r w:rsidR="00235222">
        <w:rPr>
          <w:rFonts w:ascii="Calibri" w:hAnsi="Calibri"/>
        </w:rPr>
        <w:t>,</w:t>
      </w:r>
      <w:r w:rsidRPr="003422F8">
        <w:rPr>
          <w:rFonts w:ascii="Calibri" w:hAnsi="Calibri"/>
        </w:rPr>
        <w:t xml:space="preserve"> then </w:t>
      </w:r>
      <w:r w:rsidR="009A2FA1">
        <w:rPr>
          <w:rFonts w:ascii="Calibri" w:hAnsi="Calibri"/>
        </w:rPr>
        <w:t xml:space="preserve">potentially </w:t>
      </w:r>
      <w:r w:rsidRPr="003422F8">
        <w:rPr>
          <w:rFonts w:ascii="Calibri" w:hAnsi="Calibri"/>
        </w:rPr>
        <w:t xml:space="preserve">sustained </w:t>
      </w:r>
      <w:r w:rsidR="001F6A45">
        <w:rPr>
          <w:rFonts w:ascii="Calibri" w:hAnsi="Calibri"/>
        </w:rPr>
        <w:t xml:space="preserve">until </w:t>
      </w:r>
      <w:r w:rsidRPr="003422F8">
        <w:rPr>
          <w:rFonts w:ascii="Calibri" w:hAnsi="Calibri"/>
        </w:rPr>
        <w:t>beyond the period of active inflammation</w:t>
      </w:r>
      <w:r w:rsidR="009A2FA1">
        <w:rPr>
          <w:rFonts w:ascii="Calibri" w:hAnsi="Calibri"/>
        </w:rPr>
        <w:t>, which may be detected for a median of two months after symptom onset</w:t>
      </w:r>
      <w:r w:rsidR="002D5312">
        <w:rPr>
          <w:rFonts w:ascii="Calibri" w:hAnsi="Calibri"/>
          <w:vertAlign w:val="superscript"/>
        </w:rPr>
        <w:t>1</w:t>
      </w:r>
      <w:r w:rsidR="001C6051">
        <w:rPr>
          <w:rFonts w:ascii="Calibri" w:hAnsi="Calibri"/>
          <w:vertAlign w:val="superscript"/>
        </w:rPr>
        <w:t>2</w:t>
      </w:r>
      <w:r w:rsidR="002D5312">
        <w:rPr>
          <w:rFonts w:ascii="Calibri" w:hAnsi="Calibri"/>
        </w:rPr>
        <w:t>.</w:t>
      </w:r>
      <w:r w:rsidRPr="003422F8">
        <w:rPr>
          <w:rFonts w:ascii="Calibri" w:eastAsia="Calibri" w:hAnsi="Calibri" w:cs="Calibri"/>
        </w:rPr>
        <w:t xml:space="preserve"> </w:t>
      </w:r>
    </w:p>
    <w:p w14:paraId="21045417" w14:textId="7CFAB9FD" w:rsidR="00873B88" w:rsidRPr="003422F8" w:rsidRDefault="00573084" w:rsidP="00412D99">
      <w:pPr>
        <w:pStyle w:val="Body"/>
        <w:jc w:val="both"/>
        <w:rPr>
          <w:rFonts w:ascii="Calibri" w:eastAsia="Calibri" w:hAnsi="Calibri" w:cs="Calibri"/>
        </w:rPr>
      </w:pPr>
      <w:r w:rsidRPr="003422F8">
        <w:rPr>
          <w:rFonts w:ascii="Calibri" w:eastAsia="Calibri" w:hAnsi="Calibri" w:cs="Calibri"/>
          <w:lang w:val="en-US"/>
        </w:rPr>
        <w:t xml:space="preserve">The anterior visual system has many advantages for testing </w:t>
      </w:r>
      <w:proofErr w:type="spellStart"/>
      <w:r w:rsidRPr="003422F8">
        <w:rPr>
          <w:rFonts w:ascii="Calibri" w:eastAsia="Calibri" w:hAnsi="Calibri" w:cs="Calibri"/>
          <w:lang w:val="en-US"/>
        </w:rPr>
        <w:t>neuroprotection</w:t>
      </w:r>
      <w:proofErr w:type="spellEnd"/>
      <w:r w:rsidRPr="003422F8">
        <w:rPr>
          <w:rFonts w:ascii="Calibri" w:eastAsia="Calibri" w:hAnsi="Calibri" w:cs="Calibri"/>
          <w:lang w:val="en-US"/>
        </w:rPr>
        <w:t xml:space="preserve"> in MS</w:t>
      </w:r>
      <w:r>
        <w:rPr>
          <w:rFonts w:ascii="Calibri" w:eastAsia="Calibri" w:hAnsi="Calibri" w:cs="Calibri"/>
          <w:vertAlign w:val="superscript"/>
          <w:lang w:val="en-US"/>
        </w:rPr>
        <w:t>1</w:t>
      </w:r>
      <w:r w:rsidR="001C6051">
        <w:rPr>
          <w:rFonts w:ascii="Calibri" w:eastAsia="Calibri" w:hAnsi="Calibri" w:cs="Calibri"/>
          <w:vertAlign w:val="superscript"/>
          <w:lang w:val="en-US"/>
        </w:rPr>
        <w:t>3</w:t>
      </w:r>
      <w:r w:rsidRPr="003422F8">
        <w:rPr>
          <w:rFonts w:ascii="Calibri" w:eastAsia="Calibri" w:hAnsi="Calibri" w:cs="Calibri"/>
          <w:lang w:val="en-US"/>
        </w:rPr>
        <w:t xml:space="preserve">: acute demyelinating optic neuritis (AON) is a common and often presenting manifestation of </w:t>
      </w:r>
      <w:r>
        <w:rPr>
          <w:rFonts w:ascii="Calibri" w:eastAsia="Calibri" w:hAnsi="Calibri" w:cs="Calibri"/>
          <w:lang w:val="en-US"/>
        </w:rPr>
        <w:t>MS</w:t>
      </w:r>
      <w:r w:rsidRPr="003422F8">
        <w:rPr>
          <w:rFonts w:ascii="Calibri" w:eastAsia="Calibri" w:hAnsi="Calibri" w:cs="Calibri"/>
          <w:lang w:val="en-US"/>
        </w:rPr>
        <w:t xml:space="preserve">; the inflammatory </w:t>
      </w:r>
      <w:r>
        <w:rPr>
          <w:rFonts w:ascii="Calibri" w:eastAsia="Calibri" w:hAnsi="Calibri" w:cs="Calibri"/>
          <w:lang w:val="en-US"/>
        </w:rPr>
        <w:t xml:space="preserve">optic nerve </w:t>
      </w:r>
      <w:r w:rsidRPr="003422F8">
        <w:rPr>
          <w:rFonts w:ascii="Calibri" w:eastAsia="Calibri" w:hAnsi="Calibri" w:cs="Calibri"/>
          <w:lang w:val="en-US"/>
        </w:rPr>
        <w:t>lesion is comparable to plaques found elsewhere in the central nervous system; and the visual system can be studied using clinical, electrophysiological and</w:t>
      </w:r>
      <w:bookmarkEnd w:id="19"/>
      <w:r w:rsidRPr="003422F8">
        <w:rPr>
          <w:rFonts w:ascii="Calibri" w:eastAsia="Calibri" w:hAnsi="Calibri" w:cs="Calibri"/>
        </w:rPr>
        <w:t xml:space="preserve"> </w:t>
      </w:r>
      <w:bookmarkStart w:id="20" w:name="_ENREF_23"/>
      <w:r w:rsidRPr="003422F8">
        <w:rPr>
          <w:rFonts w:ascii="Calibri" w:eastAsia="Calibri" w:hAnsi="Calibri" w:cs="Calibri"/>
          <w:lang w:val="en-US"/>
        </w:rPr>
        <w:t>imaging techniques. In addition, the optic nerve</w:t>
      </w:r>
      <w:r>
        <w:rPr>
          <w:rFonts w:ascii="Calibri" w:eastAsia="Calibri" w:hAnsi="Calibri" w:cs="Calibri"/>
          <w:lang w:val="en-US"/>
        </w:rPr>
        <w:t xml:space="preserve"> lesion</w:t>
      </w:r>
      <w:r w:rsidRPr="003422F8">
        <w:rPr>
          <w:rFonts w:ascii="Calibri" w:eastAsia="Calibri" w:hAnsi="Calibri" w:cs="Calibri"/>
          <w:lang w:val="en-US"/>
        </w:rPr>
        <w:t xml:space="preserve"> leads to </w:t>
      </w:r>
      <w:r w:rsidRPr="003422F8">
        <w:rPr>
          <w:rFonts w:ascii="Calibri" w:eastAsia="Calibri" w:hAnsi="Calibri" w:cs="Calibri"/>
          <w:lang w:val="sv-SE"/>
        </w:rPr>
        <w:t>retrograde</w:t>
      </w:r>
      <w:r w:rsidRPr="003422F8">
        <w:rPr>
          <w:rFonts w:ascii="Calibri" w:eastAsia="Calibri" w:hAnsi="Calibri" w:cs="Calibri"/>
          <w:lang w:val="en-US"/>
        </w:rPr>
        <w:t xml:space="preserve"> degeneration of the retinal nerve </w:t>
      </w:r>
      <w:proofErr w:type="spellStart"/>
      <w:r w:rsidR="004B50B6">
        <w:rPr>
          <w:rFonts w:ascii="Calibri" w:eastAsia="Calibri" w:hAnsi="Calibri" w:cs="Calibri"/>
          <w:lang w:val="en-US"/>
        </w:rPr>
        <w:t>fibre</w:t>
      </w:r>
      <w:proofErr w:type="spellEnd"/>
      <w:r w:rsidRPr="003422F8">
        <w:rPr>
          <w:rFonts w:ascii="Calibri" w:eastAsia="Calibri" w:hAnsi="Calibri" w:cs="Calibri"/>
          <w:lang w:val="en-US"/>
        </w:rPr>
        <w:t xml:space="preserve"> layer (RNFL)</w:t>
      </w:r>
      <w:r>
        <w:rPr>
          <w:rFonts w:ascii="Calibri" w:eastAsia="Calibri" w:hAnsi="Calibri" w:cs="Calibri"/>
          <w:vertAlign w:val="superscript"/>
          <w:lang w:val="en-US"/>
        </w:rPr>
        <w:t>1</w:t>
      </w:r>
      <w:r w:rsidR="001C6051">
        <w:rPr>
          <w:rFonts w:ascii="Calibri" w:eastAsia="Calibri" w:hAnsi="Calibri" w:cs="Calibri"/>
          <w:vertAlign w:val="superscript"/>
          <w:lang w:val="en-US"/>
        </w:rPr>
        <w:t>4</w:t>
      </w:r>
      <w:r w:rsidRPr="003422F8">
        <w:rPr>
          <w:rFonts w:ascii="Calibri" w:eastAsia="Calibri" w:hAnsi="Calibri" w:cs="Calibri"/>
          <w:lang w:val="en-US"/>
        </w:rPr>
        <w:t xml:space="preserve">, a relatively pure compartment of </w:t>
      </w:r>
      <w:proofErr w:type="spellStart"/>
      <w:r w:rsidRPr="003422F8">
        <w:rPr>
          <w:rFonts w:ascii="Calibri" w:eastAsia="Calibri" w:hAnsi="Calibri" w:cs="Calibri"/>
          <w:lang w:val="en-US"/>
        </w:rPr>
        <w:t>unmyelina</w:t>
      </w:r>
      <w:bookmarkEnd w:id="20"/>
      <w:proofErr w:type="spellEnd"/>
      <w:r w:rsidRPr="003422F8">
        <w:rPr>
          <w:rFonts w:ascii="Calibri" w:eastAsia="Calibri" w:hAnsi="Calibri" w:cs="Calibri"/>
        </w:rPr>
        <w:t>t</w:t>
      </w:r>
      <w:bookmarkStart w:id="21" w:name="_ENREF_24"/>
      <w:proofErr w:type="spellStart"/>
      <w:r w:rsidRPr="003422F8">
        <w:rPr>
          <w:rFonts w:ascii="Calibri" w:eastAsia="Calibri" w:hAnsi="Calibri" w:cs="Calibri"/>
          <w:lang w:val="en-US"/>
        </w:rPr>
        <w:t>ed</w:t>
      </w:r>
      <w:proofErr w:type="spellEnd"/>
      <w:r w:rsidRPr="003422F8">
        <w:rPr>
          <w:rFonts w:ascii="Calibri" w:eastAsia="Calibri" w:hAnsi="Calibri" w:cs="Calibri"/>
          <w:lang w:val="en-US"/>
        </w:rPr>
        <w:t xml:space="preserve"> axons whose thickness can be measured sensitively and non-invasively using optical coherence tomography (OCT). Therefore, the RNFL </w:t>
      </w:r>
      <w:r w:rsidR="001F6A45">
        <w:rPr>
          <w:rFonts w:ascii="Calibri" w:eastAsia="Calibri" w:hAnsi="Calibri" w:cs="Calibri"/>
          <w:lang w:val="en-US"/>
        </w:rPr>
        <w:t xml:space="preserve">thickness </w:t>
      </w:r>
      <w:r w:rsidRPr="003422F8">
        <w:rPr>
          <w:rFonts w:ascii="Calibri" w:eastAsia="Calibri" w:hAnsi="Calibri" w:cs="Calibri"/>
        </w:rPr>
        <w:t>pr</w:t>
      </w:r>
      <w:r w:rsidR="001F6A45">
        <w:rPr>
          <w:rFonts w:ascii="Calibri" w:eastAsia="Calibri" w:hAnsi="Calibri" w:cs="Calibri"/>
        </w:rPr>
        <w:t>ovides</w:t>
      </w:r>
      <w:bookmarkStart w:id="22" w:name="_ENREF_25"/>
      <w:bookmarkEnd w:id="21"/>
      <w:r w:rsidRPr="003422F8">
        <w:rPr>
          <w:rFonts w:ascii="Calibri" w:eastAsia="Calibri" w:hAnsi="Calibri" w:cs="Calibri"/>
          <w:lang w:val="en-US"/>
        </w:rPr>
        <w:t xml:space="preserve"> a</w:t>
      </w:r>
      <w:r w:rsidR="001F6A45">
        <w:rPr>
          <w:rFonts w:ascii="Calibri" w:eastAsia="Calibri" w:hAnsi="Calibri" w:cs="Calibri"/>
          <w:lang w:val="en-US"/>
        </w:rPr>
        <w:t xml:space="preserve"> plausible</w:t>
      </w:r>
      <w:r w:rsidRPr="003422F8">
        <w:rPr>
          <w:rFonts w:ascii="Calibri" w:eastAsia="Calibri" w:hAnsi="Calibri" w:cs="Calibri"/>
          <w:lang w:val="en-US"/>
        </w:rPr>
        <w:t xml:space="preserve"> biomarker of axonal loss.</w:t>
      </w:r>
      <w:r w:rsidR="00F17E38">
        <w:rPr>
          <w:rFonts w:ascii="Calibri" w:eastAsia="Calibri" w:hAnsi="Calibri" w:cs="Calibri"/>
          <w:lang w:val="en-US"/>
        </w:rPr>
        <w:t xml:space="preserve"> </w:t>
      </w:r>
      <w:r w:rsidR="00FE5A6A">
        <w:rPr>
          <w:rFonts w:ascii="Calibri" w:eastAsia="Calibri" w:hAnsi="Calibri" w:cs="Calibri"/>
          <w:lang w:val="en-US"/>
        </w:rPr>
        <w:t xml:space="preserve">Reduction of RNFL thickness also corresponds with visual loss in AON and with changes of disability in MS, suggesting that it may provide information on treatment response that is also clinically relevant </w:t>
      </w:r>
      <w:r w:rsidR="009A2FA1">
        <w:rPr>
          <w:rStyle w:val="PageNumber"/>
          <w:rFonts w:ascii="Calibri" w:eastAsia="Calibri" w:hAnsi="Calibri" w:cs="Calibri"/>
          <w:vertAlign w:val="superscript"/>
          <w:lang w:val="en-US"/>
        </w:rPr>
        <w:t>14</w:t>
      </w:r>
      <w:r w:rsidR="00F17E38">
        <w:rPr>
          <w:rFonts w:ascii="Calibri" w:eastAsia="Calibri" w:hAnsi="Calibri" w:cs="Calibri"/>
          <w:lang w:val="en-US"/>
        </w:rPr>
        <w:t>.</w:t>
      </w:r>
    </w:p>
    <w:p w14:paraId="2F283483" w14:textId="725A2D61" w:rsidR="00573084" w:rsidRPr="003422F8" w:rsidRDefault="00573084" w:rsidP="00412D99">
      <w:pPr>
        <w:pStyle w:val="Body"/>
        <w:jc w:val="both"/>
        <w:rPr>
          <w:rFonts w:ascii="Calibri" w:eastAsia="Calibri" w:hAnsi="Calibri" w:cs="Calibri"/>
        </w:rPr>
      </w:pPr>
      <w:r>
        <w:rPr>
          <w:rFonts w:ascii="Calibri" w:eastAsia="Calibri" w:hAnsi="Calibri" w:cs="Calibri"/>
          <w:lang w:val="en-US"/>
        </w:rPr>
        <w:t>From these considerations we</w:t>
      </w:r>
      <w:r w:rsidRPr="003422F8">
        <w:rPr>
          <w:rFonts w:ascii="Calibri" w:eastAsia="Calibri" w:hAnsi="Calibri" w:cs="Calibri"/>
          <w:lang w:val="en-US"/>
        </w:rPr>
        <w:t xml:space="preserve"> undertook a phase </w:t>
      </w:r>
      <w:r w:rsidR="001627C4">
        <w:rPr>
          <w:rFonts w:ascii="Calibri" w:eastAsia="Calibri" w:hAnsi="Calibri" w:cs="Calibri"/>
          <w:lang w:val="en-US"/>
        </w:rPr>
        <w:t>2</w:t>
      </w:r>
      <w:r w:rsidRPr="003422F8">
        <w:rPr>
          <w:rFonts w:ascii="Calibri" w:eastAsia="Calibri" w:hAnsi="Calibri" w:cs="Calibri"/>
          <w:lang w:val="en-US"/>
        </w:rPr>
        <w:t xml:space="preserve"> clinical trial to determine whether early and sustained sodium channel </w:t>
      </w:r>
      <w:r>
        <w:rPr>
          <w:rFonts w:ascii="Calibri" w:eastAsia="Calibri" w:hAnsi="Calibri" w:cs="Calibri"/>
          <w:lang w:val="en-US"/>
        </w:rPr>
        <w:t>inhibition</w:t>
      </w:r>
      <w:r w:rsidRPr="003422F8">
        <w:rPr>
          <w:rFonts w:ascii="Calibri" w:eastAsia="Calibri" w:hAnsi="Calibri" w:cs="Calibri"/>
          <w:lang w:val="en-US"/>
        </w:rPr>
        <w:t xml:space="preserve"> with phenytoin is </w:t>
      </w:r>
      <w:proofErr w:type="spellStart"/>
      <w:r w:rsidRPr="003422F8">
        <w:rPr>
          <w:rFonts w:ascii="Calibri" w:eastAsia="Calibri" w:hAnsi="Calibri" w:cs="Calibri"/>
          <w:lang w:val="en-US"/>
        </w:rPr>
        <w:t>neuroprotective</w:t>
      </w:r>
      <w:proofErr w:type="spellEnd"/>
      <w:r w:rsidRPr="003422F8">
        <w:rPr>
          <w:rFonts w:ascii="Calibri" w:eastAsia="Calibri" w:hAnsi="Calibri" w:cs="Calibri"/>
          <w:lang w:val="en-US"/>
        </w:rPr>
        <w:t xml:space="preserve"> in AON</w:t>
      </w:r>
      <w:bookmarkStart w:id="23" w:name="_ENREF_26"/>
      <w:bookmarkEnd w:id="22"/>
      <w:r w:rsidRPr="003422F8">
        <w:rPr>
          <w:rFonts w:ascii="Calibri" w:eastAsia="Calibri" w:hAnsi="Calibri" w:cs="Calibri"/>
          <w:lang w:val="en-US"/>
        </w:rPr>
        <w:t xml:space="preserve">. </w:t>
      </w:r>
    </w:p>
    <w:p w14:paraId="34734C66" w14:textId="77777777" w:rsidR="00573084" w:rsidRPr="003422F8" w:rsidRDefault="00573084" w:rsidP="00412D99">
      <w:pPr>
        <w:pStyle w:val="Body"/>
        <w:jc w:val="both"/>
        <w:rPr>
          <w:rFonts w:ascii="Calibri" w:eastAsia="Calibri" w:hAnsi="Calibri" w:cs="Calibri"/>
        </w:rPr>
      </w:pPr>
    </w:p>
    <w:p w14:paraId="1ACF3D55" w14:textId="77777777" w:rsidR="003538F9" w:rsidRDefault="003538F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color w:val="000000"/>
          <w:u w:color="000000"/>
          <w:lang w:val="en-GB" w:eastAsia="en-GB"/>
        </w:rPr>
      </w:pPr>
      <w:r>
        <w:rPr>
          <w:rFonts w:ascii="Calibri" w:eastAsia="Calibri" w:hAnsi="Calibri" w:cs="Calibri"/>
          <w:b/>
          <w:bCs/>
        </w:rPr>
        <w:br w:type="page"/>
      </w:r>
    </w:p>
    <w:p w14:paraId="1B8DB39B" w14:textId="058D5A56" w:rsidR="00573084" w:rsidRDefault="00573084" w:rsidP="00412D99">
      <w:pPr>
        <w:pStyle w:val="Body"/>
        <w:jc w:val="both"/>
        <w:rPr>
          <w:rFonts w:ascii="Calibri" w:eastAsia="Calibri" w:hAnsi="Calibri" w:cs="Calibri"/>
          <w:bCs/>
          <w:u w:val="single"/>
          <w:lang w:val="en-US"/>
        </w:rPr>
      </w:pPr>
      <w:r w:rsidRPr="00327DBE">
        <w:rPr>
          <w:rFonts w:ascii="Calibri" w:eastAsia="Calibri" w:hAnsi="Calibri" w:cs="Calibri"/>
          <w:bCs/>
          <w:u w:val="single"/>
          <w:lang w:val="en-US"/>
        </w:rPr>
        <w:lastRenderedPageBreak/>
        <w:t>Methods</w:t>
      </w:r>
    </w:p>
    <w:p w14:paraId="3CEB30E6" w14:textId="77777777" w:rsidR="00084722" w:rsidRDefault="00084722" w:rsidP="00412D99">
      <w:pPr>
        <w:pStyle w:val="Body"/>
        <w:jc w:val="both"/>
        <w:rPr>
          <w:rFonts w:ascii="Calibri" w:eastAsia="Calibri" w:hAnsi="Calibri" w:cs="Calibri"/>
          <w:bCs/>
          <w:u w:val="single"/>
          <w:lang w:val="en-US"/>
        </w:rPr>
      </w:pPr>
    </w:p>
    <w:p w14:paraId="25BFCD16" w14:textId="4A2B7D30" w:rsidR="00084722" w:rsidRPr="00327DBE" w:rsidRDefault="00084722" w:rsidP="00412D99">
      <w:pPr>
        <w:pStyle w:val="Body"/>
        <w:jc w:val="both"/>
        <w:rPr>
          <w:rFonts w:ascii="Calibri" w:eastAsia="Calibri" w:hAnsi="Calibri" w:cs="Calibri"/>
          <w:bCs/>
          <w:u w:val="single"/>
        </w:rPr>
      </w:pPr>
      <w:r>
        <w:rPr>
          <w:rFonts w:ascii="Calibri" w:eastAsia="Calibri" w:hAnsi="Calibri" w:cs="Calibri"/>
          <w:bCs/>
          <w:u w:val="single"/>
          <w:lang w:val="en-US"/>
        </w:rPr>
        <w:t>Study design</w:t>
      </w:r>
    </w:p>
    <w:p w14:paraId="08F272B4" w14:textId="6AB02AAD" w:rsidR="00EE508F" w:rsidRPr="00EE508F" w:rsidRDefault="00573084" w:rsidP="001256A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Times New Roman" w:hAnsi="Calibri" w:cs="Tahoma"/>
          <w:color w:val="000000"/>
          <w:bdr w:val="none" w:sz="0" w:space="0" w:color="auto"/>
          <w:lang w:val="en-GB" w:eastAsia="en-GB"/>
        </w:rPr>
      </w:pPr>
      <w:r w:rsidRPr="003422F8">
        <w:rPr>
          <w:rFonts w:ascii="Calibri" w:eastAsia="Calibri" w:hAnsi="Calibri" w:cs="Calibri"/>
        </w:rPr>
        <w:t xml:space="preserve">We </w:t>
      </w:r>
      <w:r w:rsidR="00C23D8C">
        <w:rPr>
          <w:rFonts w:ascii="Calibri" w:eastAsia="Calibri" w:hAnsi="Calibri" w:cs="Calibri"/>
        </w:rPr>
        <w:t xml:space="preserve">carried </w:t>
      </w:r>
      <w:r w:rsidR="00327DBE">
        <w:rPr>
          <w:rFonts w:ascii="Calibri" w:eastAsia="Calibri" w:hAnsi="Calibri" w:cs="Calibri"/>
        </w:rPr>
        <w:t xml:space="preserve">out an investigator-led, </w:t>
      </w:r>
      <w:proofErr w:type="spellStart"/>
      <w:r w:rsidR="00327DBE">
        <w:rPr>
          <w:rFonts w:ascii="Calibri" w:eastAsia="Calibri" w:hAnsi="Calibri" w:cs="Calibri"/>
        </w:rPr>
        <w:t>randomised</w:t>
      </w:r>
      <w:proofErr w:type="spellEnd"/>
      <w:r w:rsidR="00327DBE">
        <w:rPr>
          <w:rFonts w:ascii="Calibri" w:eastAsia="Calibri" w:hAnsi="Calibri" w:cs="Calibri"/>
        </w:rPr>
        <w:t>, parallel-group, double-</w:t>
      </w:r>
      <w:r w:rsidR="00C23D8C">
        <w:rPr>
          <w:rFonts w:ascii="Calibri" w:eastAsia="Calibri" w:hAnsi="Calibri" w:cs="Calibri"/>
        </w:rPr>
        <w:t>blind, placebo-controlled</w:t>
      </w:r>
      <w:r w:rsidR="00327DBE">
        <w:rPr>
          <w:rFonts w:ascii="Calibri" w:eastAsia="Calibri" w:hAnsi="Calibri" w:cs="Calibri"/>
        </w:rPr>
        <w:t xml:space="preserve"> </w:t>
      </w:r>
      <w:r w:rsidR="00136525">
        <w:rPr>
          <w:rFonts w:ascii="Calibri" w:eastAsia="Calibri" w:hAnsi="Calibri" w:cs="Calibri"/>
        </w:rPr>
        <w:t xml:space="preserve">phase 2 </w:t>
      </w:r>
      <w:r w:rsidR="00327DBE">
        <w:rPr>
          <w:rFonts w:ascii="Calibri" w:eastAsia="Calibri" w:hAnsi="Calibri" w:cs="Calibri"/>
        </w:rPr>
        <w:t>trial</w:t>
      </w:r>
      <w:r w:rsidRPr="003422F8">
        <w:rPr>
          <w:rFonts w:ascii="Calibri" w:eastAsia="Calibri" w:hAnsi="Calibri" w:cs="Calibri"/>
        </w:rPr>
        <w:t xml:space="preserve">. There were two trial </w:t>
      </w:r>
      <w:proofErr w:type="spellStart"/>
      <w:r w:rsidR="00C23D8C">
        <w:rPr>
          <w:rFonts w:ascii="Calibri" w:eastAsia="Calibri" w:hAnsi="Calibri" w:cs="Calibri"/>
        </w:rPr>
        <w:t>centres</w:t>
      </w:r>
      <w:proofErr w:type="spellEnd"/>
      <w:r w:rsidR="001627C4">
        <w:rPr>
          <w:rFonts w:ascii="Calibri" w:eastAsia="Calibri" w:hAnsi="Calibri" w:cs="Calibri"/>
        </w:rPr>
        <w:t>, in</w:t>
      </w:r>
      <w:r w:rsidRPr="003422F8">
        <w:rPr>
          <w:rFonts w:ascii="Calibri" w:eastAsia="Calibri" w:hAnsi="Calibri" w:cs="Calibri"/>
        </w:rPr>
        <w:t xml:space="preserve"> London and Sheffield U</w:t>
      </w:r>
      <w:r>
        <w:rPr>
          <w:rFonts w:ascii="Calibri" w:eastAsia="Calibri" w:hAnsi="Calibri" w:cs="Calibri"/>
        </w:rPr>
        <w:t>K</w:t>
      </w:r>
      <w:bookmarkEnd w:id="23"/>
      <w:r w:rsidRPr="003422F8">
        <w:rPr>
          <w:rFonts w:ascii="Calibri" w:eastAsia="Calibri" w:hAnsi="Calibri" w:cs="Calibri"/>
        </w:rPr>
        <w:t>.</w:t>
      </w:r>
      <w:bookmarkStart w:id="24" w:name="_ENREF_27"/>
      <w:r w:rsidRPr="003422F8">
        <w:rPr>
          <w:rFonts w:ascii="Calibri" w:eastAsia="Calibri" w:hAnsi="Calibri" w:cs="Calibri"/>
        </w:rPr>
        <w:t xml:space="preserve"> </w:t>
      </w:r>
      <w:r w:rsidR="00C14376">
        <w:rPr>
          <w:rFonts w:ascii="Calibri" w:eastAsia="Calibri" w:hAnsi="Calibri" w:cs="Calibri"/>
        </w:rPr>
        <w:t>Participant</w:t>
      </w:r>
      <w:r>
        <w:rPr>
          <w:rFonts w:ascii="Calibri" w:eastAsia="Calibri" w:hAnsi="Calibri" w:cs="Calibri"/>
        </w:rPr>
        <w:t>s were enrolled between February 2012 and May 2014.</w:t>
      </w:r>
      <w:r w:rsidR="00C23D8C">
        <w:rPr>
          <w:rFonts w:ascii="Calibri" w:eastAsia="Calibri" w:hAnsi="Calibri" w:cs="Calibri"/>
        </w:rPr>
        <w:t xml:space="preserve"> </w:t>
      </w:r>
      <w:r w:rsidR="00401BB2" w:rsidRPr="00327DBE">
        <w:rPr>
          <w:rFonts w:ascii="Calibri" w:eastAsia="Calibri" w:hAnsi="Calibri" w:cs="Calibri"/>
        </w:rPr>
        <w:t xml:space="preserve">The study was approved by the London-South East UK Research and Ethics </w:t>
      </w:r>
      <w:r w:rsidR="00401BB2" w:rsidRPr="00873B88">
        <w:rPr>
          <w:rFonts w:ascii="Calibri" w:eastAsia="Calibri" w:hAnsi="Calibri" w:cs="Calibri"/>
        </w:rPr>
        <w:t>Committee</w:t>
      </w:r>
      <w:r w:rsidR="00873B88" w:rsidRPr="00873B88">
        <w:rPr>
          <w:rFonts w:ascii="Calibri" w:eastAsia="Calibri" w:hAnsi="Calibri" w:cs="Calibri"/>
        </w:rPr>
        <w:t>.</w:t>
      </w:r>
      <w:r w:rsidR="001F0A90">
        <w:rPr>
          <w:rFonts w:ascii="Calibri" w:eastAsia="Calibri" w:hAnsi="Calibri" w:cs="Calibri"/>
        </w:rPr>
        <w:t xml:space="preserve"> </w:t>
      </w:r>
      <w:r w:rsidR="001F0A90" w:rsidRPr="00C14C71">
        <w:rPr>
          <w:rFonts w:ascii="Calibri" w:eastAsia="Calibri" w:hAnsi="Calibri" w:cs="Calibri"/>
        </w:rPr>
        <w:t>The full protocol</w:t>
      </w:r>
      <w:r w:rsidR="00EE508F" w:rsidRPr="00C14C71">
        <w:rPr>
          <w:rFonts w:ascii="Calibri" w:eastAsia="Calibri" w:hAnsi="Calibri" w:cs="Calibri"/>
        </w:rPr>
        <w:t xml:space="preserve"> is available</w:t>
      </w:r>
      <w:r w:rsidR="00305330" w:rsidRPr="00C14C71">
        <w:rPr>
          <w:rFonts w:ascii="Calibri" w:eastAsia="Calibri" w:hAnsi="Calibri" w:cs="Calibri"/>
        </w:rPr>
        <w:t xml:space="preserve"> online</w:t>
      </w:r>
      <w:r w:rsidR="00EE508F" w:rsidRPr="00C14C71">
        <w:rPr>
          <w:rFonts w:ascii="Calibri" w:eastAsia="Calibri" w:hAnsi="Calibri" w:cs="Calibri"/>
        </w:rPr>
        <w:t>:</w:t>
      </w:r>
      <w:r w:rsidR="00EE508F">
        <w:rPr>
          <w:rFonts w:ascii="Calibri" w:eastAsia="Calibri" w:hAnsi="Calibri" w:cs="Calibri"/>
        </w:rPr>
        <w:t xml:space="preserve"> </w:t>
      </w:r>
      <w:r w:rsidR="00EE508F" w:rsidRPr="00EE508F">
        <w:rPr>
          <w:rFonts w:ascii="Calibri" w:eastAsia="Times New Roman" w:hAnsi="Calibri" w:cs="Tahoma"/>
          <w:color w:val="000000"/>
          <w:bdr w:val="none" w:sz="0" w:space="0" w:color="auto"/>
          <w:lang w:val="en-GB" w:eastAsia="en-GB"/>
        </w:rPr>
        <w:t>https://www.ucl.ac.uk/ion/queen-square-multiple-sc</w:t>
      </w:r>
      <w:r w:rsidR="00EE508F">
        <w:rPr>
          <w:rFonts w:ascii="Calibri" w:eastAsia="Times New Roman" w:hAnsi="Calibri" w:cs="Tahoma"/>
          <w:color w:val="000000"/>
          <w:bdr w:val="none" w:sz="0" w:space="0" w:color="auto"/>
          <w:lang w:val="en-GB" w:eastAsia="en-GB"/>
        </w:rPr>
        <w:t>lerosis-centre/trial-protocol-</w:t>
      </w:r>
      <w:r w:rsidR="00EE508F" w:rsidRPr="00EE508F">
        <w:rPr>
          <w:rFonts w:ascii="Calibri" w:eastAsia="Times New Roman" w:hAnsi="Calibri" w:cs="Tahoma"/>
          <w:color w:val="000000"/>
          <w:bdr w:val="none" w:sz="0" w:space="0" w:color="auto"/>
          <w:lang w:val="en-GB" w:eastAsia="en-GB"/>
        </w:rPr>
        <w:t>neuroprotection-with-phenytoin-in-optic-neuritis</w:t>
      </w:r>
    </w:p>
    <w:bookmarkEnd w:id="24"/>
    <w:p w14:paraId="6AC83DD6" w14:textId="6916E45F" w:rsidR="00573084" w:rsidRPr="003422F8" w:rsidRDefault="00573084" w:rsidP="00412D99">
      <w:pPr>
        <w:pStyle w:val="Body"/>
        <w:jc w:val="both"/>
        <w:rPr>
          <w:rFonts w:ascii="Calibri" w:eastAsia="Calibri" w:hAnsi="Calibri" w:cs="Calibri"/>
          <w:b/>
          <w:bCs/>
        </w:rPr>
      </w:pPr>
      <w:r w:rsidRPr="00084722">
        <w:rPr>
          <w:rFonts w:ascii="Calibri" w:eastAsia="Calibri" w:hAnsi="Calibri" w:cs="Calibri"/>
          <w:bCs/>
          <w:u w:val="single"/>
          <w:lang w:val="fr-FR"/>
        </w:rPr>
        <w:t>Pa</w:t>
      </w:r>
      <w:r w:rsidR="00327DBE">
        <w:rPr>
          <w:rFonts w:ascii="Calibri" w:eastAsia="Calibri" w:hAnsi="Calibri" w:cs="Calibri"/>
          <w:bCs/>
          <w:u w:val="single"/>
          <w:lang w:val="fr-FR"/>
        </w:rPr>
        <w:t>rticipants</w:t>
      </w:r>
    </w:p>
    <w:p w14:paraId="0348CB19" w14:textId="0C841ABD" w:rsidR="00873B88" w:rsidRPr="003422F8" w:rsidRDefault="00C14376" w:rsidP="00412D99">
      <w:pPr>
        <w:pStyle w:val="Body"/>
        <w:jc w:val="both"/>
        <w:rPr>
          <w:rFonts w:ascii="Calibri" w:eastAsia="Calibri" w:hAnsi="Calibri" w:cs="Calibri"/>
        </w:rPr>
      </w:pPr>
      <w:r>
        <w:rPr>
          <w:rFonts w:ascii="Calibri" w:eastAsia="Calibri" w:hAnsi="Calibri" w:cs="Calibri"/>
          <w:lang w:val="en-US"/>
        </w:rPr>
        <w:t>Patients</w:t>
      </w:r>
      <w:r w:rsidR="000C7DB1">
        <w:rPr>
          <w:rFonts w:ascii="Calibri" w:eastAsia="Calibri" w:hAnsi="Calibri" w:cs="Calibri"/>
          <w:lang w:val="en-US"/>
        </w:rPr>
        <w:t xml:space="preserve"> who </w:t>
      </w:r>
      <w:r w:rsidR="00084722">
        <w:rPr>
          <w:rFonts w:ascii="Calibri" w:eastAsia="Calibri" w:hAnsi="Calibri" w:cs="Calibri"/>
          <w:lang w:val="en-US"/>
        </w:rPr>
        <w:t>present</w:t>
      </w:r>
      <w:r w:rsidR="000C7DB1">
        <w:rPr>
          <w:rFonts w:ascii="Calibri" w:eastAsia="Calibri" w:hAnsi="Calibri" w:cs="Calibri"/>
          <w:lang w:val="en-US"/>
        </w:rPr>
        <w:t>ed</w:t>
      </w:r>
      <w:r w:rsidR="00084722">
        <w:rPr>
          <w:rFonts w:ascii="Calibri" w:eastAsia="Calibri" w:hAnsi="Calibri" w:cs="Calibri"/>
          <w:lang w:val="en-US"/>
        </w:rPr>
        <w:t xml:space="preserve"> to the trial </w:t>
      </w:r>
      <w:proofErr w:type="spellStart"/>
      <w:r w:rsidR="00084722">
        <w:rPr>
          <w:rFonts w:ascii="Calibri" w:eastAsia="Calibri" w:hAnsi="Calibri" w:cs="Calibri"/>
          <w:lang w:val="en-US"/>
        </w:rPr>
        <w:t>centres</w:t>
      </w:r>
      <w:proofErr w:type="spellEnd"/>
      <w:r w:rsidR="000C7DB1">
        <w:rPr>
          <w:rFonts w:ascii="Calibri" w:eastAsia="Calibri" w:hAnsi="Calibri" w:cs="Calibri"/>
          <w:lang w:val="en-US"/>
        </w:rPr>
        <w:t xml:space="preserve">, or were referred there from a UK network of Patient Identification </w:t>
      </w:r>
      <w:proofErr w:type="spellStart"/>
      <w:r w:rsidR="000C7DB1">
        <w:rPr>
          <w:rFonts w:ascii="Calibri" w:eastAsia="Calibri" w:hAnsi="Calibri" w:cs="Calibri"/>
          <w:lang w:val="en-US"/>
        </w:rPr>
        <w:t>Centres</w:t>
      </w:r>
      <w:proofErr w:type="spellEnd"/>
      <w:r w:rsidR="000C7DB1">
        <w:rPr>
          <w:rFonts w:ascii="Calibri" w:eastAsia="Calibri" w:hAnsi="Calibri" w:cs="Calibri"/>
          <w:lang w:val="en-US"/>
        </w:rPr>
        <w:t>,</w:t>
      </w:r>
      <w:r w:rsidR="00573084" w:rsidRPr="003422F8">
        <w:rPr>
          <w:rFonts w:ascii="Calibri" w:eastAsia="Calibri" w:hAnsi="Calibri" w:cs="Calibri"/>
          <w:lang w:val="en-US"/>
        </w:rPr>
        <w:t xml:space="preserve"> were eligible if they </w:t>
      </w:r>
      <w:r w:rsidR="00084722">
        <w:rPr>
          <w:rFonts w:ascii="Calibri" w:eastAsia="Calibri" w:hAnsi="Calibri" w:cs="Calibri"/>
          <w:lang w:val="en-US"/>
        </w:rPr>
        <w:t xml:space="preserve">were 18-60 years old, </w:t>
      </w:r>
      <w:r w:rsidR="00573084" w:rsidRPr="003422F8">
        <w:rPr>
          <w:rFonts w:ascii="Calibri" w:eastAsia="Calibri" w:hAnsi="Calibri" w:cs="Calibri"/>
          <w:lang w:val="en-US"/>
        </w:rPr>
        <w:t>had a clinical diagnosis of</w:t>
      </w:r>
      <w:r w:rsidR="00573084">
        <w:rPr>
          <w:rFonts w:ascii="Calibri" w:eastAsia="Calibri" w:hAnsi="Calibri" w:cs="Calibri"/>
          <w:lang w:val="en-US"/>
        </w:rPr>
        <w:t xml:space="preserve"> </w:t>
      </w:r>
      <w:r w:rsidR="00573084" w:rsidRPr="003422F8">
        <w:rPr>
          <w:rFonts w:ascii="Calibri" w:eastAsia="Calibri" w:hAnsi="Calibri" w:cs="Calibri"/>
          <w:lang w:val="en-US"/>
        </w:rPr>
        <w:t xml:space="preserve">unilateral </w:t>
      </w:r>
      <w:r w:rsidR="00573084">
        <w:rPr>
          <w:rFonts w:ascii="Calibri" w:eastAsia="Calibri" w:hAnsi="Calibri" w:cs="Calibri"/>
          <w:lang w:val="en-US"/>
        </w:rPr>
        <w:t>AON</w:t>
      </w:r>
      <w:r w:rsidR="00573084" w:rsidRPr="003422F8">
        <w:rPr>
          <w:rFonts w:ascii="Calibri" w:eastAsia="Calibri" w:hAnsi="Calibri" w:cs="Calibri"/>
          <w:lang w:val="en-US"/>
        </w:rPr>
        <w:t xml:space="preserve"> (confirmed by a n</w:t>
      </w:r>
      <w:r w:rsidR="00573084" w:rsidRPr="003422F8">
        <w:rPr>
          <w:rFonts w:ascii="Calibri" w:eastAsia="Calibri" w:hAnsi="Calibri" w:cs="Calibri"/>
          <w:lang w:val="fr-FR"/>
        </w:rPr>
        <w:t>euro-op</w:t>
      </w:r>
      <w:proofErr w:type="spellStart"/>
      <w:r w:rsidR="00573084" w:rsidRPr="003422F8">
        <w:rPr>
          <w:rFonts w:ascii="Calibri" w:eastAsia="Calibri" w:hAnsi="Calibri" w:cs="Calibri"/>
          <w:lang w:val="en-US"/>
        </w:rPr>
        <w:t>hthalmologist</w:t>
      </w:r>
      <w:proofErr w:type="spellEnd"/>
      <w:r w:rsidR="00B442A3">
        <w:rPr>
          <w:rFonts w:ascii="Calibri" w:eastAsia="Calibri" w:hAnsi="Calibri" w:cs="Calibri"/>
          <w:lang w:val="en-US"/>
        </w:rPr>
        <w:t xml:space="preserve">, </w:t>
      </w:r>
      <w:r w:rsidR="0091746C">
        <w:rPr>
          <w:rFonts w:ascii="Calibri" w:eastAsia="Calibri" w:hAnsi="Calibri" w:cs="Calibri"/>
          <w:lang w:val="en-US"/>
        </w:rPr>
        <w:t>and with no alternative pathology on OCT at presentation</w:t>
      </w:r>
      <w:r w:rsidR="00573084" w:rsidRPr="003422F8">
        <w:rPr>
          <w:rFonts w:ascii="Calibri" w:eastAsia="Calibri" w:hAnsi="Calibri" w:cs="Calibri"/>
          <w:lang w:val="en-US"/>
        </w:rPr>
        <w:t xml:space="preserve">), visual acuity </w:t>
      </w:r>
      <w:r w:rsidR="00573084" w:rsidRPr="003422F8">
        <w:rPr>
          <w:rFonts w:ascii="Calibri" w:eastAsia="Calibri" w:hAnsi="Calibri" w:cs="Calibri"/>
        </w:rPr>
        <w:t>≤</w:t>
      </w:r>
      <w:r w:rsidR="00573084" w:rsidRPr="003422F8">
        <w:rPr>
          <w:rFonts w:ascii="Calibri" w:eastAsia="Calibri" w:hAnsi="Calibri" w:cs="Calibri"/>
          <w:lang w:val="en-US"/>
        </w:rPr>
        <w:t xml:space="preserve">6/9, and an interval of </w:t>
      </w:r>
      <w:r w:rsidR="00573084" w:rsidRPr="003422F8">
        <w:rPr>
          <w:rFonts w:ascii="Calibri" w:eastAsia="Calibri" w:hAnsi="Calibri" w:cs="Calibri"/>
        </w:rPr>
        <w:t>≤</w:t>
      </w:r>
      <w:r w:rsidR="00573084" w:rsidRPr="003422F8">
        <w:rPr>
          <w:rFonts w:ascii="Calibri" w:eastAsia="Calibri" w:hAnsi="Calibri" w:cs="Calibri"/>
          <w:lang w:val="en-US"/>
        </w:rPr>
        <w:t xml:space="preserve">14 days between onset of vision loss and randomization. </w:t>
      </w:r>
      <w:r>
        <w:rPr>
          <w:rFonts w:ascii="Calibri" w:eastAsia="Calibri" w:hAnsi="Calibri" w:cs="Calibri"/>
          <w:lang w:val="en-US"/>
        </w:rPr>
        <w:t>Patients</w:t>
      </w:r>
      <w:r w:rsidR="00573084" w:rsidRPr="003422F8">
        <w:rPr>
          <w:rFonts w:ascii="Calibri" w:eastAsia="Calibri" w:hAnsi="Calibri" w:cs="Calibri"/>
          <w:lang w:val="en-US"/>
        </w:rPr>
        <w:t xml:space="preserve"> with a previous diagnosis of relapsing MS were eligible within 10 y</w:t>
      </w:r>
      <w:r w:rsidR="00565A96">
        <w:rPr>
          <w:rFonts w:ascii="Calibri" w:eastAsia="Calibri" w:hAnsi="Calibri" w:cs="Calibri"/>
          <w:lang w:val="en-US"/>
        </w:rPr>
        <w:t>ea</w:t>
      </w:r>
      <w:r w:rsidR="00573084" w:rsidRPr="003422F8">
        <w:rPr>
          <w:rFonts w:ascii="Calibri" w:eastAsia="Calibri" w:hAnsi="Calibri" w:cs="Calibri"/>
          <w:lang w:val="en-US"/>
        </w:rPr>
        <w:t xml:space="preserve">rs of disease onset </w:t>
      </w:r>
      <w:r w:rsidR="00235222">
        <w:rPr>
          <w:rFonts w:ascii="Calibri" w:eastAsia="Calibri" w:hAnsi="Calibri" w:cs="Calibri"/>
          <w:lang w:val="en-US"/>
        </w:rPr>
        <w:t>and with</w:t>
      </w:r>
      <w:r w:rsidR="00573084" w:rsidRPr="003422F8">
        <w:rPr>
          <w:rFonts w:ascii="Calibri" w:eastAsia="Calibri" w:hAnsi="Calibri" w:cs="Calibri"/>
          <w:lang w:val="en-US"/>
        </w:rPr>
        <w:t xml:space="preserve"> </w:t>
      </w:r>
      <w:r w:rsidR="00573084" w:rsidRPr="003422F8">
        <w:rPr>
          <w:rFonts w:ascii="Calibri" w:eastAsia="Calibri" w:hAnsi="Calibri" w:cs="Calibri"/>
        </w:rPr>
        <w:t>an</w:t>
      </w:r>
      <w:r w:rsidR="00573084" w:rsidRPr="003422F8">
        <w:rPr>
          <w:rFonts w:ascii="Calibri" w:eastAsia="Calibri" w:hAnsi="Calibri" w:cs="Calibri"/>
          <w:lang w:val="en-US"/>
        </w:rPr>
        <w:t xml:space="preserve"> </w:t>
      </w:r>
      <w:r w:rsidR="00235222">
        <w:rPr>
          <w:rFonts w:ascii="Calibri" w:eastAsia="Calibri" w:hAnsi="Calibri" w:cs="Calibri"/>
          <w:lang w:val="en-US"/>
        </w:rPr>
        <w:t>E</w:t>
      </w:r>
      <w:r w:rsidR="00573084" w:rsidRPr="003422F8">
        <w:rPr>
          <w:rFonts w:ascii="Calibri" w:eastAsia="Calibri" w:hAnsi="Calibri" w:cs="Calibri"/>
          <w:lang w:val="en-US"/>
        </w:rPr>
        <w:t xml:space="preserve">xpanded </w:t>
      </w:r>
      <w:r w:rsidR="00235222">
        <w:rPr>
          <w:rFonts w:ascii="Calibri" w:eastAsia="Calibri" w:hAnsi="Calibri" w:cs="Calibri"/>
          <w:lang w:val="en-US"/>
        </w:rPr>
        <w:t>D</w:t>
      </w:r>
      <w:r w:rsidR="00573084" w:rsidRPr="003422F8">
        <w:rPr>
          <w:rFonts w:ascii="Calibri" w:eastAsia="Calibri" w:hAnsi="Calibri" w:cs="Calibri"/>
          <w:lang w:val="en-US"/>
        </w:rPr>
        <w:t xml:space="preserve">isability </w:t>
      </w:r>
      <w:r w:rsidR="00235222">
        <w:rPr>
          <w:rFonts w:ascii="Calibri" w:eastAsia="Calibri" w:hAnsi="Calibri" w:cs="Calibri"/>
          <w:lang w:val="en-US"/>
        </w:rPr>
        <w:t>S</w:t>
      </w:r>
      <w:r w:rsidR="00573084" w:rsidRPr="003422F8">
        <w:rPr>
          <w:rFonts w:ascii="Calibri" w:eastAsia="Calibri" w:hAnsi="Calibri" w:cs="Calibri"/>
          <w:lang w:val="en-US"/>
        </w:rPr>
        <w:t xml:space="preserve">tatus </w:t>
      </w:r>
      <w:r w:rsidR="00235222">
        <w:rPr>
          <w:rFonts w:ascii="Calibri" w:eastAsia="Calibri" w:hAnsi="Calibri" w:cs="Calibri"/>
          <w:lang w:val="en-US"/>
        </w:rPr>
        <w:t>S</w:t>
      </w:r>
      <w:r w:rsidR="00573084" w:rsidRPr="003422F8">
        <w:rPr>
          <w:rFonts w:ascii="Calibri" w:eastAsia="Calibri" w:hAnsi="Calibri" w:cs="Calibri"/>
          <w:lang w:val="en-US"/>
        </w:rPr>
        <w:t xml:space="preserve">cale score </w:t>
      </w:r>
      <w:r w:rsidR="00573084" w:rsidRPr="003422F8">
        <w:rPr>
          <w:rFonts w:ascii="Calibri" w:eastAsia="Calibri" w:hAnsi="Calibri" w:cs="Calibri"/>
        </w:rPr>
        <w:t xml:space="preserve">≤3. </w:t>
      </w:r>
      <w:r w:rsidR="00573084">
        <w:rPr>
          <w:rFonts w:ascii="Calibri" w:eastAsia="Calibri" w:hAnsi="Calibri" w:cs="Calibri"/>
          <w:lang w:val="en-US"/>
        </w:rPr>
        <w:t>Concurrent</w:t>
      </w:r>
      <w:r w:rsidR="00573084" w:rsidRPr="003422F8">
        <w:rPr>
          <w:rFonts w:ascii="Calibri" w:eastAsia="Calibri" w:hAnsi="Calibri" w:cs="Calibri"/>
          <w:lang w:val="en-US"/>
        </w:rPr>
        <w:t xml:space="preserve"> treatment with </w:t>
      </w:r>
      <w:proofErr w:type="spellStart"/>
      <w:r w:rsidR="00573084" w:rsidRPr="003422F8">
        <w:rPr>
          <w:rFonts w:ascii="Calibri" w:eastAsia="Calibri" w:hAnsi="Calibri" w:cs="Calibri"/>
          <w:lang w:val="en-US"/>
        </w:rPr>
        <w:t>glatiramer</w:t>
      </w:r>
      <w:proofErr w:type="spellEnd"/>
      <w:r w:rsidR="00573084" w:rsidRPr="003422F8">
        <w:rPr>
          <w:rFonts w:ascii="Calibri" w:eastAsia="Calibri" w:hAnsi="Calibri" w:cs="Calibri"/>
          <w:lang w:val="en-US"/>
        </w:rPr>
        <w:t xml:space="preserve"> acetate or</w:t>
      </w:r>
      <w:r w:rsidR="00573084" w:rsidRPr="003422F8">
        <w:rPr>
          <w:rFonts w:ascii="Calibri" w:eastAsia="Calibri" w:hAnsi="Calibri" w:cs="Calibri"/>
        </w:rPr>
        <w:t xml:space="preserve"> </w:t>
      </w:r>
      <w:r w:rsidR="00573084">
        <w:rPr>
          <w:rFonts w:ascii="Calibri" w:eastAsia="Calibri" w:hAnsi="Calibri" w:cs="Calibri"/>
        </w:rPr>
        <w:t>beta</w:t>
      </w:r>
      <w:r w:rsidR="00573084" w:rsidRPr="003422F8">
        <w:rPr>
          <w:rFonts w:ascii="Calibri" w:eastAsia="Calibri" w:hAnsi="Calibri" w:cs="Calibri"/>
          <w:i/>
          <w:iCs/>
        </w:rPr>
        <w:t>-</w:t>
      </w:r>
      <w:r w:rsidR="00573084" w:rsidRPr="003422F8">
        <w:rPr>
          <w:rFonts w:ascii="Calibri" w:eastAsia="Calibri" w:hAnsi="Calibri" w:cs="Calibri"/>
          <w:lang w:val="en-US"/>
        </w:rPr>
        <w:t>interferon was permitted</w:t>
      </w:r>
      <w:r w:rsidR="00573084" w:rsidRPr="003422F8">
        <w:rPr>
          <w:rFonts w:ascii="Calibri" w:eastAsia="Calibri" w:hAnsi="Calibri" w:cs="Calibri"/>
          <w:lang w:val="it-IT"/>
        </w:rPr>
        <w:t xml:space="preserve"> and corticosteroids </w:t>
      </w:r>
      <w:r w:rsidR="00573084" w:rsidRPr="003422F8">
        <w:rPr>
          <w:rFonts w:ascii="Calibri" w:eastAsia="Calibri" w:hAnsi="Calibri" w:cs="Calibri"/>
          <w:lang w:val="en-US"/>
        </w:rPr>
        <w:t xml:space="preserve">for </w:t>
      </w:r>
      <w:r w:rsidR="00573084">
        <w:rPr>
          <w:rFonts w:ascii="Calibri" w:eastAsia="Calibri" w:hAnsi="Calibri" w:cs="Calibri"/>
          <w:lang w:val="en-US"/>
        </w:rPr>
        <w:t>AON</w:t>
      </w:r>
      <w:r w:rsidR="00573084" w:rsidRPr="003422F8">
        <w:rPr>
          <w:rFonts w:ascii="Calibri" w:eastAsia="Calibri" w:hAnsi="Calibri" w:cs="Calibri"/>
          <w:lang w:val="en-US"/>
        </w:rPr>
        <w:t xml:space="preserve"> </w:t>
      </w:r>
      <w:r w:rsidR="00084722">
        <w:rPr>
          <w:rFonts w:ascii="Calibri" w:eastAsia="Calibri" w:hAnsi="Calibri" w:cs="Calibri"/>
          <w:lang w:val="en-US"/>
        </w:rPr>
        <w:t>could be</w:t>
      </w:r>
      <w:r w:rsidR="00573084" w:rsidRPr="003422F8">
        <w:rPr>
          <w:rFonts w:ascii="Calibri" w:eastAsia="Calibri" w:hAnsi="Calibri" w:cs="Calibri"/>
          <w:lang w:val="en-US"/>
        </w:rPr>
        <w:t xml:space="preserve"> </w:t>
      </w:r>
      <w:r w:rsidR="0091746C">
        <w:rPr>
          <w:rFonts w:ascii="Calibri" w:eastAsia="Calibri" w:hAnsi="Calibri" w:cs="Calibri"/>
          <w:lang w:val="en-US"/>
        </w:rPr>
        <w:t>given</w:t>
      </w:r>
      <w:r w:rsidR="006978F7">
        <w:rPr>
          <w:rFonts w:ascii="Calibri" w:eastAsia="Calibri" w:hAnsi="Calibri" w:cs="Calibri"/>
          <w:lang w:val="en-US"/>
        </w:rPr>
        <w:t xml:space="preserve"> </w:t>
      </w:r>
      <w:r w:rsidR="00573084" w:rsidRPr="003422F8">
        <w:rPr>
          <w:rFonts w:ascii="Calibri" w:eastAsia="Calibri" w:hAnsi="Calibri" w:cs="Calibri"/>
          <w:lang w:val="en-US"/>
        </w:rPr>
        <w:t xml:space="preserve">at the </w:t>
      </w:r>
      <w:r w:rsidR="00573084">
        <w:rPr>
          <w:rFonts w:ascii="Calibri" w:eastAsia="Calibri" w:hAnsi="Calibri" w:cs="Calibri"/>
          <w:lang w:val="en-US"/>
        </w:rPr>
        <w:t>treating physician’s discretion</w:t>
      </w:r>
      <w:r w:rsidR="00D77289">
        <w:rPr>
          <w:rFonts w:ascii="Calibri" w:eastAsia="Calibri" w:hAnsi="Calibri" w:cs="Calibri"/>
          <w:lang w:val="en-US"/>
        </w:rPr>
        <w:t xml:space="preserve"> (</w:t>
      </w:r>
      <w:r w:rsidR="0091746C">
        <w:rPr>
          <w:rFonts w:ascii="Calibri" w:eastAsia="Calibri" w:hAnsi="Calibri" w:cs="Calibri"/>
          <w:lang w:val="en-US"/>
        </w:rPr>
        <w:t>all pa</w:t>
      </w:r>
      <w:r w:rsidR="00481D72">
        <w:rPr>
          <w:rFonts w:ascii="Calibri" w:eastAsia="Calibri" w:hAnsi="Calibri" w:cs="Calibri"/>
          <w:lang w:val="en-US"/>
        </w:rPr>
        <w:t xml:space="preserve">rticipants </w:t>
      </w:r>
      <w:r w:rsidR="0091746C">
        <w:rPr>
          <w:rFonts w:ascii="Calibri" w:eastAsia="Calibri" w:hAnsi="Calibri" w:cs="Calibri"/>
          <w:lang w:val="en-US"/>
        </w:rPr>
        <w:t xml:space="preserve"> were </w:t>
      </w:r>
      <w:r w:rsidR="009A2FA1">
        <w:rPr>
          <w:rFonts w:ascii="Calibri" w:eastAsia="Calibri" w:hAnsi="Calibri" w:cs="Calibri"/>
          <w:lang w:val="en-US"/>
        </w:rPr>
        <w:t>offered</w:t>
      </w:r>
      <w:r w:rsidR="00D77289">
        <w:rPr>
          <w:rFonts w:ascii="Calibri" w:eastAsia="Calibri" w:hAnsi="Calibri" w:cs="Calibri"/>
          <w:lang w:val="en-US"/>
        </w:rPr>
        <w:t xml:space="preserve"> </w:t>
      </w:r>
      <w:r w:rsidR="0091746C">
        <w:rPr>
          <w:rFonts w:ascii="Calibri" w:eastAsia="Calibri" w:hAnsi="Calibri" w:cs="Calibri"/>
          <w:lang w:val="en-US"/>
        </w:rPr>
        <w:t>equivalent regimens of methylprednisolone, either 1 g intravenously daily for three days, or 500 mg orally daily for five days</w:t>
      </w:r>
      <w:r w:rsidR="00E44756">
        <w:rPr>
          <w:rStyle w:val="PageNumber"/>
          <w:rFonts w:ascii="Calibri" w:eastAsia="Calibri" w:hAnsi="Calibri" w:cs="Calibri"/>
          <w:vertAlign w:val="superscript"/>
          <w:lang w:val="en-US"/>
        </w:rPr>
        <w:t>15</w:t>
      </w:r>
      <w:r w:rsidR="00E44756">
        <w:rPr>
          <w:rFonts w:ascii="Calibri" w:eastAsia="Calibri" w:hAnsi="Calibri" w:cs="Calibri"/>
          <w:lang w:val="en-US"/>
        </w:rPr>
        <w:t xml:space="preserve">. </w:t>
      </w:r>
      <w:r w:rsidR="00573084" w:rsidRPr="003422F8">
        <w:rPr>
          <w:rFonts w:ascii="Calibri" w:eastAsia="Calibri" w:hAnsi="Calibri" w:cs="Calibri"/>
          <w:lang w:val="en-US"/>
        </w:rPr>
        <w:t xml:space="preserve">Exclusions were: previous </w:t>
      </w:r>
      <w:r w:rsidR="00573084">
        <w:rPr>
          <w:rFonts w:ascii="Calibri" w:eastAsia="Calibri" w:hAnsi="Calibri" w:cs="Calibri"/>
          <w:lang w:val="en-US"/>
        </w:rPr>
        <w:t>history of AON</w:t>
      </w:r>
      <w:r w:rsidR="00573084" w:rsidRPr="003422F8">
        <w:rPr>
          <w:rFonts w:ascii="Calibri" w:eastAsia="Calibri" w:hAnsi="Calibri" w:cs="Calibri"/>
          <w:lang w:val="en-US"/>
        </w:rPr>
        <w:t xml:space="preserve"> in either eye, co-morbid ocular disease, clinical or biochemical hepatic, renal or cardiac dysfunction (including abnormal </w:t>
      </w:r>
      <w:r w:rsidR="00565A96">
        <w:rPr>
          <w:rFonts w:ascii="Calibri" w:eastAsia="Calibri" w:hAnsi="Calibri" w:cs="Calibri"/>
          <w:lang w:val="en-US"/>
        </w:rPr>
        <w:t>electrocardiogram</w:t>
      </w:r>
      <w:r w:rsidR="00573084" w:rsidRPr="003422F8">
        <w:rPr>
          <w:rFonts w:ascii="Calibri" w:eastAsia="Calibri" w:hAnsi="Calibri" w:cs="Calibri"/>
          <w:lang w:val="en-US"/>
        </w:rPr>
        <w:t xml:space="preserve">), contraindications to phenytoin (including pregnancy), disabling temperature dependent MS symptoms, use of sodium or calcium channel </w:t>
      </w:r>
      <w:r w:rsidR="00573084">
        <w:rPr>
          <w:rFonts w:ascii="Calibri" w:eastAsia="Calibri" w:hAnsi="Calibri" w:cs="Calibri"/>
          <w:lang w:val="en-US"/>
        </w:rPr>
        <w:t>inhibitor</w:t>
      </w:r>
      <w:r w:rsidR="00573084" w:rsidRPr="003422F8">
        <w:rPr>
          <w:rFonts w:ascii="Calibri" w:eastAsia="Calibri" w:hAnsi="Calibri" w:cs="Calibri"/>
          <w:lang w:val="en-US"/>
        </w:rPr>
        <w:t>s in the preceding 2 weeks, corticosteroids (</w:t>
      </w:r>
      <w:r w:rsidR="009775AA">
        <w:rPr>
          <w:rFonts w:ascii="Calibri" w:eastAsia="Calibri" w:hAnsi="Calibri" w:cs="Calibri"/>
          <w:lang w:val="en-US"/>
        </w:rPr>
        <w:t xml:space="preserve">except for </w:t>
      </w:r>
      <w:r w:rsidR="00573084" w:rsidRPr="003422F8">
        <w:rPr>
          <w:rFonts w:ascii="Calibri" w:eastAsia="Calibri" w:hAnsi="Calibri" w:cs="Calibri"/>
          <w:lang w:val="en-US"/>
        </w:rPr>
        <w:t xml:space="preserve">treatment of </w:t>
      </w:r>
      <w:r w:rsidR="00565A96">
        <w:rPr>
          <w:rFonts w:ascii="Calibri" w:eastAsia="Calibri" w:hAnsi="Calibri" w:cs="Calibri"/>
          <w:lang w:val="en-US"/>
        </w:rPr>
        <w:t xml:space="preserve">this episode of </w:t>
      </w:r>
      <w:r w:rsidR="00573084">
        <w:rPr>
          <w:rFonts w:ascii="Calibri" w:eastAsia="Calibri" w:hAnsi="Calibri" w:cs="Calibri"/>
          <w:lang w:val="en-US"/>
        </w:rPr>
        <w:t>AON</w:t>
      </w:r>
      <w:r w:rsidR="00573084" w:rsidRPr="003422F8">
        <w:rPr>
          <w:rFonts w:ascii="Calibri" w:eastAsia="Calibri" w:hAnsi="Calibri" w:cs="Calibri"/>
          <w:lang w:val="en-US"/>
        </w:rPr>
        <w:t xml:space="preserve">) or other </w:t>
      </w:r>
      <w:r w:rsidR="0091746C">
        <w:rPr>
          <w:rFonts w:ascii="Calibri" w:eastAsia="Calibri" w:hAnsi="Calibri" w:cs="Calibri"/>
          <w:lang w:val="en-US"/>
        </w:rPr>
        <w:t>immune therapies</w:t>
      </w:r>
      <w:r w:rsidR="00481D72">
        <w:rPr>
          <w:rFonts w:ascii="Calibri" w:eastAsia="Calibri" w:hAnsi="Calibri" w:cs="Calibri"/>
          <w:lang w:val="en-US"/>
        </w:rPr>
        <w:t xml:space="preserve"> </w:t>
      </w:r>
      <w:r w:rsidR="00573084" w:rsidRPr="003422F8">
        <w:rPr>
          <w:rFonts w:ascii="Calibri" w:eastAsia="Calibri" w:hAnsi="Calibri" w:cs="Calibri"/>
          <w:lang w:val="en-US"/>
        </w:rPr>
        <w:t xml:space="preserve">in the preceding 2 months, or </w:t>
      </w:r>
      <w:proofErr w:type="spellStart"/>
      <w:r w:rsidR="00573084">
        <w:rPr>
          <w:rFonts w:ascii="Calibri" w:eastAsia="Calibri" w:hAnsi="Calibri" w:cs="Calibri"/>
          <w:lang w:val="en-US"/>
        </w:rPr>
        <w:t>sero</w:t>
      </w:r>
      <w:r w:rsidR="00573084" w:rsidRPr="003422F8">
        <w:rPr>
          <w:rFonts w:ascii="Calibri" w:eastAsia="Calibri" w:hAnsi="Calibri" w:cs="Calibri"/>
          <w:lang w:val="en-US"/>
        </w:rPr>
        <w:t>positiv</w:t>
      </w:r>
      <w:r w:rsidR="00573084">
        <w:rPr>
          <w:rFonts w:ascii="Calibri" w:eastAsia="Calibri" w:hAnsi="Calibri" w:cs="Calibri"/>
          <w:lang w:val="en-US"/>
        </w:rPr>
        <w:t>ity</w:t>
      </w:r>
      <w:proofErr w:type="spellEnd"/>
      <w:r w:rsidR="00573084" w:rsidRPr="003422F8">
        <w:rPr>
          <w:rFonts w:ascii="Calibri" w:eastAsia="Calibri" w:hAnsi="Calibri" w:cs="Calibri"/>
          <w:lang w:val="en-US"/>
        </w:rPr>
        <w:t xml:space="preserve"> for aquaporin</w:t>
      </w:r>
      <w:r w:rsidR="009775AA">
        <w:rPr>
          <w:rFonts w:ascii="Calibri" w:eastAsia="Calibri" w:hAnsi="Calibri" w:cs="Calibri"/>
          <w:lang w:val="en-US"/>
        </w:rPr>
        <w:t>-</w:t>
      </w:r>
      <w:r w:rsidR="00573084" w:rsidRPr="003422F8">
        <w:rPr>
          <w:rFonts w:ascii="Calibri" w:eastAsia="Calibri" w:hAnsi="Calibri" w:cs="Calibri"/>
          <w:lang w:val="en-US"/>
        </w:rPr>
        <w:t>4 antibodies</w:t>
      </w:r>
      <w:r w:rsidR="00E229EA">
        <w:rPr>
          <w:rFonts w:ascii="Calibri" w:eastAsia="Calibri" w:hAnsi="Calibri" w:cs="Calibri"/>
          <w:lang w:val="en-US"/>
        </w:rPr>
        <w:t>,</w:t>
      </w:r>
      <w:r w:rsidR="0091746C">
        <w:rPr>
          <w:rFonts w:ascii="Calibri" w:eastAsia="Calibri" w:hAnsi="Calibri" w:cs="Calibri"/>
          <w:lang w:val="en-US"/>
        </w:rPr>
        <w:t xml:space="preserve"> tested using a</w:t>
      </w:r>
      <w:r w:rsidR="00D0157A">
        <w:rPr>
          <w:rFonts w:ascii="Calibri" w:eastAsia="Calibri" w:hAnsi="Calibri" w:cs="Calibri"/>
          <w:lang w:val="en-US"/>
        </w:rPr>
        <w:t xml:space="preserve"> </w:t>
      </w:r>
      <w:r w:rsidR="0091746C">
        <w:rPr>
          <w:rFonts w:ascii="Calibri" w:eastAsia="Calibri" w:hAnsi="Calibri" w:cs="Calibri"/>
          <w:lang w:val="en-US"/>
        </w:rPr>
        <w:t>cell-based assay</w:t>
      </w:r>
      <w:r w:rsidR="00D0157A">
        <w:rPr>
          <w:rFonts w:ascii="Calibri" w:eastAsia="Calibri" w:hAnsi="Calibri" w:cs="Calibri"/>
          <w:lang w:val="en-US"/>
        </w:rPr>
        <w:t xml:space="preserve"> </w:t>
      </w:r>
      <w:r w:rsidR="0055122C">
        <w:rPr>
          <w:rFonts w:ascii="Calibri" w:eastAsia="Calibri" w:hAnsi="Calibri" w:cs="Calibri"/>
          <w:lang w:val="en-US"/>
        </w:rPr>
        <w:t>(</w:t>
      </w:r>
      <w:proofErr w:type="spellStart"/>
      <w:r w:rsidR="0055122C">
        <w:rPr>
          <w:rFonts w:ascii="Calibri" w:eastAsia="Calibri" w:hAnsi="Calibri" w:cs="Calibri"/>
          <w:lang w:val="en-US"/>
        </w:rPr>
        <w:t>Euroimmun</w:t>
      </w:r>
      <w:proofErr w:type="spellEnd"/>
      <w:r w:rsidR="0055122C">
        <w:rPr>
          <w:rFonts w:ascii="Calibri" w:eastAsia="Calibri" w:hAnsi="Calibri" w:cs="Calibri"/>
          <w:lang w:val="en-US"/>
        </w:rPr>
        <w:t xml:space="preserve"> UK)</w:t>
      </w:r>
      <w:r w:rsidR="00573084" w:rsidRPr="003422F8">
        <w:rPr>
          <w:rFonts w:ascii="Calibri" w:eastAsia="Calibri" w:hAnsi="Calibri" w:cs="Calibri"/>
          <w:lang w:val="en-US"/>
        </w:rPr>
        <w:t>.</w:t>
      </w:r>
      <w:r w:rsidR="00084722">
        <w:rPr>
          <w:rFonts w:ascii="Calibri" w:eastAsia="Calibri" w:hAnsi="Calibri" w:cs="Calibri"/>
          <w:lang w:val="en-US"/>
        </w:rPr>
        <w:t xml:space="preserve"> </w:t>
      </w:r>
      <w:r w:rsidR="00401BB2" w:rsidRPr="003422F8">
        <w:rPr>
          <w:rFonts w:ascii="Calibri" w:eastAsia="Calibri" w:hAnsi="Calibri" w:cs="Calibri"/>
          <w:lang w:val="en-US"/>
        </w:rPr>
        <w:t xml:space="preserve">All </w:t>
      </w:r>
      <w:r>
        <w:rPr>
          <w:rFonts w:ascii="Calibri" w:eastAsia="Calibri" w:hAnsi="Calibri" w:cs="Calibri"/>
          <w:lang w:val="en-US"/>
        </w:rPr>
        <w:t>participant</w:t>
      </w:r>
      <w:r w:rsidR="00401BB2" w:rsidRPr="003422F8">
        <w:rPr>
          <w:rFonts w:ascii="Calibri" w:eastAsia="Calibri" w:hAnsi="Calibri" w:cs="Calibri"/>
          <w:lang w:val="en-US"/>
        </w:rPr>
        <w:t>s gave written informed consent before entry.</w:t>
      </w:r>
    </w:p>
    <w:p w14:paraId="19C6B471" w14:textId="66E452B7" w:rsidR="00573084" w:rsidRPr="0004641F" w:rsidRDefault="00573084" w:rsidP="00412D99">
      <w:pPr>
        <w:pStyle w:val="Body"/>
        <w:jc w:val="both"/>
        <w:rPr>
          <w:rFonts w:ascii="Calibri" w:eastAsia="Calibri" w:hAnsi="Calibri" w:cs="Calibri"/>
          <w:bCs/>
          <w:u w:val="single"/>
        </w:rPr>
      </w:pPr>
      <w:proofErr w:type="spellStart"/>
      <w:r w:rsidRPr="0004641F">
        <w:rPr>
          <w:rFonts w:ascii="Calibri" w:eastAsia="Calibri" w:hAnsi="Calibri" w:cs="Calibri"/>
          <w:bCs/>
          <w:u w:val="single"/>
          <w:lang w:val="en-US"/>
        </w:rPr>
        <w:t>Randomi</w:t>
      </w:r>
      <w:r w:rsidR="00084722">
        <w:rPr>
          <w:rFonts w:ascii="Calibri" w:eastAsia="Calibri" w:hAnsi="Calibri" w:cs="Calibri"/>
          <w:bCs/>
          <w:u w:val="single"/>
          <w:lang w:val="en-US"/>
        </w:rPr>
        <w:t>s</w:t>
      </w:r>
      <w:r w:rsidRPr="0004641F">
        <w:rPr>
          <w:rFonts w:ascii="Calibri" w:eastAsia="Calibri" w:hAnsi="Calibri" w:cs="Calibri"/>
          <w:bCs/>
          <w:u w:val="single"/>
          <w:lang w:val="en-US"/>
        </w:rPr>
        <w:t>ation</w:t>
      </w:r>
      <w:proofErr w:type="spellEnd"/>
      <w:r w:rsidR="00084722">
        <w:rPr>
          <w:rFonts w:ascii="Calibri" w:eastAsia="Calibri" w:hAnsi="Calibri" w:cs="Calibri"/>
          <w:bCs/>
          <w:u w:val="single"/>
          <w:lang w:val="en-US"/>
        </w:rPr>
        <w:t xml:space="preserve"> and masking</w:t>
      </w:r>
    </w:p>
    <w:p w14:paraId="27AF30E5" w14:textId="4FD95CEA" w:rsidR="00873B88" w:rsidRPr="003422F8" w:rsidRDefault="00C14376" w:rsidP="00412D99">
      <w:pPr>
        <w:pStyle w:val="Body"/>
        <w:jc w:val="both"/>
        <w:rPr>
          <w:rFonts w:ascii="Calibri" w:eastAsia="Calibri" w:hAnsi="Calibri" w:cs="Calibri"/>
        </w:rPr>
      </w:pPr>
      <w:r>
        <w:rPr>
          <w:rFonts w:ascii="Calibri" w:eastAsia="Calibri" w:hAnsi="Calibri" w:cs="Calibri"/>
          <w:lang w:val="en-US"/>
        </w:rPr>
        <w:t>Participant</w:t>
      </w:r>
      <w:r w:rsidR="00573084" w:rsidRPr="003422F8">
        <w:rPr>
          <w:rFonts w:ascii="Calibri" w:eastAsia="Calibri" w:hAnsi="Calibri" w:cs="Calibri"/>
          <w:lang w:val="en-US"/>
        </w:rPr>
        <w:t>s were randomly assigned (1:1) to phenytoin or placebo via a website (</w:t>
      </w:r>
      <w:hyperlink r:id="rId10" w:history="1">
        <w:r w:rsidR="00573084" w:rsidRPr="003422F8">
          <w:rPr>
            <w:rStyle w:val="Hyperlink1"/>
            <w:lang w:val="nl-NL"/>
          </w:rPr>
          <w:t>www.sealedenvelope.com</w:t>
        </w:r>
      </w:hyperlink>
      <w:r w:rsidR="00573084" w:rsidRPr="003422F8">
        <w:rPr>
          <w:rFonts w:ascii="Calibri" w:eastAsia="Calibri" w:hAnsi="Calibri" w:cs="Calibri"/>
          <w:lang w:val="en-US"/>
        </w:rPr>
        <w:t xml:space="preserve">) by </w:t>
      </w:r>
      <w:proofErr w:type="spellStart"/>
      <w:r w:rsidR="00573084" w:rsidRPr="003422F8">
        <w:rPr>
          <w:rFonts w:ascii="Calibri" w:eastAsia="Calibri" w:hAnsi="Calibri" w:cs="Calibri"/>
          <w:lang w:val="en-US"/>
        </w:rPr>
        <w:t>minimi</w:t>
      </w:r>
      <w:r w:rsidR="006C70BD">
        <w:rPr>
          <w:rFonts w:ascii="Calibri" w:eastAsia="Calibri" w:hAnsi="Calibri" w:cs="Calibri"/>
          <w:lang w:val="en-US"/>
        </w:rPr>
        <w:t>s</w:t>
      </w:r>
      <w:r w:rsidR="00573084" w:rsidRPr="003422F8">
        <w:rPr>
          <w:rFonts w:ascii="Calibri" w:eastAsia="Calibri" w:hAnsi="Calibri" w:cs="Calibri"/>
          <w:lang w:val="en-US"/>
        </w:rPr>
        <w:t>ation</w:t>
      </w:r>
      <w:proofErr w:type="spellEnd"/>
      <w:r w:rsidR="00AA12CB">
        <w:rPr>
          <w:rFonts w:ascii="Calibri" w:eastAsia="Calibri" w:hAnsi="Calibri" w:cs="Calibri"/>
          <w:lang w:val="en-US"/>
        </w:rPr>
        <w:t xml:space="preserve"> at 0</w:t>
      </w:r>
      <w:r w:rsidR="00CB5CE6">
        <w:rPr>
          <w:rFonts w:ascii="Calibri" w:eastAsia="Calibri" w:hAnsi="Calibri" w:cs="Calibri"/>
          <w:lang w:val="en-US"/>
        </w:rPr>
        <w:t>·</w:t>
      </w:r>
      <w:r w:rsidR="00AA12CB">
        <w:rPr>
          <w:rFonts w:ascii="Calibri" w:eastAsia="Calibri" w:hAnsi="Calibri" w:cs="Calibri"/>
          <w:lang w:val="en-US"/>
        </w:rPr>
        <w:t>75 probability</w:t>
      </w:r>
      <w:r w:rsidR="00573084" w:rsidRPr="003422F8">
        <w:rPr>
          <w:rFonts w:ascii="Calibri" w:eastAsia="Calibri" w:hAnsi="Calibri" w:cs="Calibri"/>
          <w:lang w:val="en-US"/>
        </w:rPr>
        <w:t>, with time from onset (</w:t>
      </w:r>
      <w:r w:rsidR="00573084" w:rsidRPr="003422F8">
        <w:rPr>
          <w:rFonts w:ascii="Calibri" w:eastAsia="Calibri" w:hAnsi="Calibri" w:cs="Calibri"/>
        </w:rPr>
        <w:t>≤</w:t>
      </w:r>
      <w:r w:rsidR="00573084" w:rsidRPr="003422F8">
        <w:rPr>
          <w:rFonts w:ascii="Calibri" w:eastAsia="Calibri" w:hAnsi="Calibri" w:cs="Calibri"/>
          <w:lang w:val="en-US"/>
        </w:rPr>
        <w:t xml:space="preserve">7 days, &gt;7 days), </w:t>
      </w:r>
      <w:r w:rsidR="00573084">
        <w:rPr>
          <w:rFonts w:ascii="Calibri" w:eastAsia="Calibri" w:hAnsi="Calibri" w:cs="Calibri"/>
          <w:lang w:val="en-US"/>
        </w:rPr>
        <w:t>C</w:t>
      </w:r>
      <w:r w:rsidR="00573084" w:rsidRPr="003422F8">
        <w:rPr>
          <w:rFonts w:ascii="Calibri" w:eastAsia="Calibri" w:hAnsi="Calibri" w:cs="Calibri"/>
          <w:lang w:val="en-US"/>
        </w:rPr>
        <w:t>ent</w:t>
      </w:r>
      <w:r w:rsidR="006C70BD">
        <w:rPr>
          <w:rFonts w:ascii="Calibri" w:eastAsia="Calibri" w:hAnsi="Calibri" w:cs="Calibri"/>
          <w:lang w:val="en-US"/>
        </w:rPr>
        <w:t>re</w:t>
      </w:r>
      <w:r w:rsidR="00573084" w:rsidRPr="003422F8">
        <w:rPr>
          <w:rFonts w:ascii="Calibri" w:eastAsia="Calibri" w:hAnsi="Calibri" w:cs="Calibri"/>
          <w:lang w:val="en-US"/>
        </w:rPr>
        <w:t xml:space="preserve"> (London, Sheffield), prior MS diagnosis (yes/no), disease modifying treatment (yes/no), and corticosteroids for </w:t>
      </w:r>
      <w:r w:rsidR="00573084">
        <w:rPr>
          <w:rFonts w:ascii="Calibri" w:eastAsia="Calibri" w:hAnsi="Calibri" w:cs="Calibri"/>
          <w:lang w:val="en-US"/>
        </w:rPr>
        <w:t>AON</w:t>
      </w:r>
      <w:r w:rsidR="00573084" w:rsidRPr="003422F8">
        <w:rPr>
          <w:rFonts w:ascii="Calibri" w:eastAsia="Calibri" w:hAnsi="Calibri" w:cs="Calibri"/>
          <w:lang w:val="en-US"/>
        </w:rPr>
        <w:t xml:space="preserve"> (yes/no), as binary </w:t>
      </w:r>
      <w:proofErr w:type="spellStart"/>
      <w:r w:rsidR="00573084" w:rsidRPr="003422F8">
        <w:rPr>
          <w:rFonts w:ascii="Calibri" w:eastAsia="Calibri" w:hAnsi="Calibri" w:cs="Calibri"/>
          <w:lang w:val="en-US"/>
        </w:rPr>
        <w:t>minimi</w:t>
      </w:r>
      <w:r w:rsidR="006C70BD">
        <w:rPr>
          <w:rFonts w:ascii="Calibri" w:eastAsia="Calibri" w:hAnsi="Calibri" w:cs="Calibri"/>
          <w:lang w:val="en-US"/>
        </w:rPr>
        <w:t>s</w:t>
      </w:r>
      <w:r w:rsidR="00573084" w:rsidRPr="003422F8">
        <w:rPr>
          <w:rFonts w:ascii="Calibri" w:eastAsia="Calibri" w:hAnsi="Calibri" w:cs="Calibri"/>
          <w:lang w:val="en-US"/>
        </w:rPr>
        <w:t>ation</w:t>
      </w:r>
      <w:proofErr w:type="spellEnd"/>
      <w:r w:rsidR="00573084" w:rsidRPr="003422F8">
        <w:rPr>
          <w:rFonts w:ascii="Calibri" w:eastAsia="Calibri" w:hAnsi="Calibri" w:cs="Calibri"/>
          <w:lang w:val="en-US"/>
        </w:rPr>
        <w:t xml:space="preserve"> variables.  </w:t>
      </w:r>
      <w:r w:rsidR="003C34BD">
        <w:rPr>
          <w:rFonts w:ascii="Calibri" w:eastAsia="Calibri" w:hAnsi="Calibri" w:cs="Calibri"/>
        </w:rPr>
        <w:t xml:space="preserve">The minimising allocation to active vs placebo was assigned with 0.75 </w:t>
      </w:r>
      <w:proofErr w:type="gramStart"/>
      <w:r w:rsidR="003C34BD">
        <w:rPr>
          <w:rFonts w:ascii="Calibri" w:eastAsia="Calibri" w:hAnsi="Calibri" w:cs="Calibri"/>
        </w:rPr>
        <w:t>probability</w:t>
      </w:r>
      <w:proofErr w:type="gramEnd"/>
      <w:r w:rsidR="003C34BD">
        <w:rPr>
          <w:rFonts w:ascii="Calibri" w:eastAsia="Calibri" w:hAnsi="Calibri" w:cs="Calibri"/>
        </w:rPr>
        <w:t>, to reduce predictability</w:t>
      </w:r>
      <w:r w:rsidR="006A568E">
        <w:rPr>
          <w:rFonts w:ascii="Calibri" w:eastAsia="Calibri" w:hAnsi="Calibri" w:cs="Calibri"/>
        </w:rPr>
        <w:t>.</w:t>
      </w:r>
      <w:r w:rsidR="003C34BD">
        <w:rPr>
          <w:rFonts w:ascii="Calibri" w:eastAsia="Calibri" w:hAnsi="Calibri" w:cs="Calibri"/>
          <w:lang w:val="en-US"/>
        </w:rPr>
        <w:t xml:space="preserve"> </w:t>
      </w:r>
      <w:r>
        <w:rPr>
          <w:rFonts w:ascii="Calibri" w:eastAsia="Calibri" w:hAnsi="Calibri" w:cs="Calibri"/>
          <w:lang w:val="en-US"/>
        </w:rPr>
        <w:t>Participant</w:t>
      </w:r>
      <w:r w:rsidR="00573084" w:rsidRPr="003422F8">
        <w:rPr>
          <w:rFonts w:ascii="Calibri" w:eastAsia="Calibri" w:hAnsi="Calibri" w:cs="Calibri"/>
          <w:lang w:val="en-US"/>
        </w:rPr>
        <w:t>s were allocated a randomization code</w:t>
      </w:r>
      <w:r w:rsidR="00E50875">
        <w:rPr>
          <w:rFonts w:ascii="Calibri" w:eastAsia="Calibri" w:hAnsi="Calibri" w:cs="Calibri"/>
          <w:lang w:val="en-US"/>
        </w:rPr>
        <w:t xml:space="preserve"> by the treating physician</w:t>
      </w:r>
      <w:r w:rsidR="00573084" w:rsidRPr="003422F8">
        <w:rPr>
          <w:rFonts w:ascii="Calibri" w:eastAsia="Calibri" w:hAnsi="Calibri" w:cs="Calibri"/>
          <w:lang w:val="en-US"/>
        </w:rPr>
        <w:t xml:space="preserve">, which was matched to a confidential treatment list by the study pharmacist to assign </w:t>
      </w:r>
      <w:r>
        <w:rPr>
          <w:rFonts w:ascii="Calibri" w:eastAsia="Calibri" w:hAnsi="Calibri" w:cs="Calibri"/>
          <w:lang w:val="en-US"/>
        </w:rPr>
        <w:t>participant</w:t>
      </w:r>
      <w:r w:rsidR="00573084" w:rsidRPr="003422F8">
        <w:rPr>
          <w:rFonts w:ascii="Calibri" w:eastAsia="Calibri" w:hAnsi="Calibri" w:cs="Calibri"/>
          <w:lang w:val="en-US"/>
        </w:rPr>
        <w:t xml:space="preserve">s either to phenytoin or placebo (which </w:t>
      </w:r>
      <w:proofErr w:type="gramStart"/>
      <w:r w:rsidR="00573084" w:rsidRPr="003422F8">
        <w:rPr>
          <w:rFonts w:ascii="Calibri" w:eastAsia="Calibri" w:hAnsi="Calibri" w:cs="Calibri"/>
          <w:lang w:val="en-US"/>
        </w:rPr>
        <w:t>were</w:t>
      </w:r>
      <w:proofErr w:type="gramEnd"/>
      <w:r w:rsidR="00573084" w:rsidRPr="003422F8">
        <w:rPr>
          <w:rFonts w:ascii="Calibri" w:eastAsia="Calibri" w:hAnsi="Calibri" w:cs="Calibri"/>
          <w:lang w:val="en-US"/>
        </w:rPr>
        <w:t xml:space="preserve"> identical in appearance). </w:t>
      </w:r>
      <w:r w:rsidR="00573084">
        <w:rPr>
          <w:rFonts w:ascii="Calibri" w:eastAsia="Calibri" w:hAnsi="Calibri" w:cs="Calibri"/>
          <w:lang w:val="en-US"/>
        </w:rPr>
        <w:t>O</w:t>
      </w:r>
      <w:r w:rsidR="00573084" w:rsidRPr="003422F8">
        <w:rPr>
          <w:rFonts w:ascii="Calibri" w:eastAsia="Calibri" w:hAnsi="Calibri" w:cs="Calibri"/>
          <w:lang w:val="en-US"/>
        </w:rPr>
        <w:t xml:space="preserve">nly the pharmacist was aware of treatment allocation. Treating and assessing physicians as well as </w:t>
      </w:r>
      <w:r>
        <w:rPr>
          <w:rFonts w:ascii="Calibri" w:eastAsia="Calibri" w:hAnsi="Calibri" w:cs="Calibri"/>
          <w:lang w:val="en-US"/>
        </w:rPr>
        <w:t>participant</w:t>
      </w:r>
      <w:r w:rsidR="00573084" w:rsidRPr="003422F8">
        <w:rPr>
          <w:rFonts w:ascii="Calibri" w:eastAsia="Calibri" w:hAnsi="Calibri" w:cs="Calibri"/>
          <w:lang w:val="en-US"/>
        </w:rPr>
        <w:t>s remained masked to treatment allocation.</w:t>
      </w:r>
    </w:p>
    <w:p w14:paraId="5C9FF196" w14:textId="1FE8865A" w:rsidR="00573084" w:rsidRPr="0004641F" w:rsidRDefault="00B97655" w:rsidP="00412D99">
      <w:pPr>
        <w:pStyle w:val="Body"/>
        <w:jc w:val="both"/>
        <w:rPr>
          <w:rFonts w:ascii="Calibri" w:eastAsia="Calibri" w:hAnsi="Calibri" w:cs="Calibri"/>
          <w:u w:val="single"/>
        </w:rPr>
      </w:pPr>
      <w:r w:rsidRPr="0004641F">
        <w:rPr>
          <w:rFonts w:ascii="Calibri" w:eastAsia="Calibri" w:hAnsi="Calibri" w:cs="Calibri"/>
          <w:bCs/>
          <w:u w:val="single"/>
          <w:lang w:val="en-US"/>
        </w:rPr>
        <w:t>Procedures</w:t>
      </w:r>
    </w:p>
    <w:p w14:paraId="06F379C4" w14:textId="2375CEE8" w:rsidR="00873B88" w:rsidRPr="004A316F" w:rsidRDefault="00573084" w:rsidP="00412D99">
      <w:pPr>
        <w:pStyle w:val="Body"/>
        <w:jc w:val="both"/>
        <w:rPr>
          <w:rFonts w:ascii="Calibri" w:eastAsia="Calibri" w:hAnsi="Calibri" w:cs="Calibri"/>
          <w:lang w:val="en-US"/>
        </w:rPr>
      </w:pPr>
      <w:r w:rsidRPr="003422F8">
        <w:rPr>
          <w:rFonts w:ascii="Calibri" w:eastAsia="Calibri" w:hAnsi="Calibri" w:cs="Calibri"/>
          <w:lang w:val="en-US"/>
        </w:rPr>
        <w:t>Pa</w:t>
      </w:r>
      <w:r w:rsidR="00AA30DB">
        <w:rPr>
          <w:rFonts w:ascii="Calibri" w:eastAsia="Calibri" w:hAnsi="Calibri" w:cs="Calibri"/>
          <w:lang w:val="en-US"/>
        </w:rPr>
        <w:t>rticipants</w:t>
      </w:r>
      <w:r w:rsidRPr="003422F8">
        <w:rPr>
          <w:rFonts w:ascii="Calibri" w:eastAsia="Calibri" w:hAnsi="Calibri" w:cs="Calibri"/>
          <w:lang w:val="en-US"/>
        </w:rPr>
        <w:t xml:space="preserve"> were loaded</w:t>
      </w:r>
      <w:r w:rsidR="00B97655">
        <w:rPr>
          <w:rFonts w:ascii="Calibri" w:eastAsia="Calibri" w:hAnsi="Calibri" w:cs="Calibri"/>
          <w:lang w:val="en-US"/>
        </w:rPr>
        <w:t xml:space="preserve"> orally</w:t>
      </w:r>
      <w:r w:rsidRPr="003422F8">
        <w:rPr>
          <w:rFonts w:ascii="Calibri" w:eastAsia="Calibri" w:hAnsi="Calibri" w:cs="Calibri"/>
          <w:lang w:val="en-US"/>
        </w:rPr>
        <w:t xml:space="preserve"> with </w:t>
      </w:r>
      <w:r w:rsidR="00AA30DB">
        <w:rPr>
          <w:rFonts w:ascii="Calibri" w:eastAsia="Calibri" w:hAnsi="Calibri" w:cs="Calibri"/>
          <w:lang w:val="en-US"/>
        </w:rPr>
        <w:t xml:space="preserve">a total medication dose of </w:t>
      </w:r>
      <w:r w:rsidRPr="003422F8">
        <w:rPr>
          <w:rFonts w:ascii="Calibri" w:eastAsia="Calibri" w:hAnsi="Calibri" w:cs="Calibri"/>
          <w:lang w:val="en-US"/>
        </w:rPr>
        <w:t xml:space="preserve">15mg/kg divided into </w:t>
      </w:r>
      <w:r w:rsidR="00136525">
        <w:rPr>
          <w:rFonts w:ascii="Calibri" w:eastAsia="Calibri" w:hAnsi="Calibri" w:cs="Calibri"/>
          <w:lang w:val="en-US"/>
        </w:rPr>
        <w:t>three</w:t>
      </w:r>
      <w:r w:rsidRPr="003422F8">
        <w:rPr>
          <w:rFonts w:ascii="Calibri" w:eastAsia="Calibri" w:hAnsi="Calibri" w:cs="Calibri"/>
          <w:lang w:val="en-US"/>
        </w:rPr>
        <w:t xml:space="preserve"> equal doses, each rounded up to the nearest 50mg, over </w:t>
      </w:r>
      <w:r w:rsidR="00136525">
        <w:rPr>
          <w:rFonts w:ascii="Calibri" w:eastAsia="Calibri" w:hAnsi="Calibri" w:cs="Calibri"/>
          <w:lang w:val="en-US"/>
        </w:rPr>
        <w:t>three</w:t>
      </w:r>
      <w:r w:rsidRPr="003422F8">
        <w:rPr>
          <w:rFonts w:ascii="Calibri" w:eastAsia="Calibri" w:hAnsi="Calibri" w:cs="Calibri"/>
          <w:lang w:val="en-US"/>
        </w:rPr>
        <w:t xml:space="preserve"> days</w:t>
      </w:r>
      <w:r w:rsidR="00C028E4">
        <w:rPr>
          <w:rFonts w:ascii="Calibri" w:eastAsia="Calibri" w:hAnsi="Calibri" w:cs="Calibri"/>
          <w:lang w:val="en-US"/>
        </w:rPr>
        <w:t xml:space="preserve">, </w:t>
      </w:r>
      <w:r w:rsidR="00304006">
        <w:rPr>
          <w:rFonts w:ascii="Calibri" w:eastAsia="Calibri" w:hAnsi="Calibri" w:cs="Calibri"/>
          <w:lang w:val="en-US"/>
        </w:rPr>
        <w:t xml:space="preserve">to achieve </w:t>
      </w:r>
      <w:r w:rsidR="00614877">
        <w:rPr>
          <w:rFonts w:ascii="Calibri" w:eastAsia="Calibri" w:hAnsi="Calibri" w:cs="Calibri"/>
          <w:lang w:val="en-US"/>
        </w:rPr>
        <w:t>serum concentrations which are therapeutic for epilepsy, and which</w:t>
      </w:r>
      <w:r w:rsidR="006A568E">
        <w:rPr>
          <w:rFonts w:ascii="Calibri" w:eastAsia="Calibri" w:hAnsi="Calibri" w:cs="Calibri"/>
          <w:lang w:val="en-US"/>
        </w:rPr>
        <w:t>, as noted earlier,</w:t>
      </w:r>
      <w:r w:rsidR="00614877">
        <w:rPr>
          <w:rFonts w:ascii="Calibri" w:eastAsia="Calibri" w:hAnsi="Calibri" w:cs="Calibri"/>
          <w:lang w:val="en-US"/>
        </w:rPr>
        <w:t xml:space="preserve"> are </w:t>
      </w:r>
      <w:proofErr w:type="spellStart"/>
      <w:r w:rsidR="00614877">
        <w:rPr>
          <w:rFonts w:ascii="Calibri" w:eastAsia="Calibri" w:hAnsi="Calibri" w:cs="Calibri"/>
          <w:lang w:val="en-US"/>
        </w:rPr>
        <w:t>neuroprotective</w:t>
      </w:r>
      <w:proofErr w:type="spellEnd"/>
      <w:r w:rsidR="00614877">
        <w:rPr>
          <w:rFonts w:ascii="Calibri" w:eastAsia="Calibri" w:hAnsi="Calibri" w:cs="Calibri"/>
          <w:lang w:val="en-US"/>
        </w:rPr>
        <w:t xml:space="preserve"> in experimental models</w:t>
      </w:r>
      <w:r w:rsidR="005658B2">
        <w:rPr>
          <w:rFonts w:ascii="Calibri" w:eastAsia="Calibri" w:hAnsi="Calibri" w:cs="Calibri"/>
          <w:lang w:val="en-US"/>
        </w:rPr>
        <w:t xml:space="preserve"> </w:t>
      </w:r>
      <w:r w:rsidRPr="003422F8">
        <w:rPr>
          <w:rFonts w:ascii="Calibri" w:eastAsia="Calibri" w:hAnsi="Calibri" w:cs="Calibri"/>
          <w:lang w:val="en-US"/>
        </w:rPr>
        <w:t xml:space="preserve">. A daily maintenance dose </w:t>
      </w:r>
      <w:r w:rsidRPr="003422F8">
        <w:rPr>
          <w:rFonts w:ascii="Calibri" w:eastAsia="Calibri" w:hAnsi="Calibri" w:cs="Calibri"/>
        </w:rPr>
        <w:t xml:space="preserve">of </w:t>
      </w:r>
      <w:r w:rsidRPr="003422F8">
        <w:rPr>
          <w:rFonts w:ascii="Calibri" w:eastAsia="Calibri" w:hAnsi="Calibri" w:cs="Calibri"/>
        </w:rPr>
        <w:lastRenderedPageBreak/>
        <w:t>4mg/kg (</w:t>
      </w:r>
      <w:r w:rsidRPr="003422F8">
        <w:rPr>
          <w:rFonts w:ascii="Calibri" w:eastAsia="Calibri" w:hAnsi="Calibri" w:cs="Calibri"/>
          <w:lang w:val="en-US"/>
        </w:rPr>
        <w:t>rounded up to the nearest 50mg</w:t>
      </w:r>
      <w:r w:rsidRPr="003422F8">
        <w:rPr>
          <w:rFonts w:ascii="Calibri" w:eastAsia="Calibri" w:hAnsi="Calibri" w:cs="Calibri"/>
        </w:rPr>
        <w:t>,</w:t>
      </w:r>
      <w:r w:rsidRPr="003422F8">
        <w:rPr>
          <w:rFonts w:ascii="Calibri" w:eastAsia="Calibri" w:hAnsi="Calibri" w:cs="Calibri"/>
          <w:lang w:val="en-US"/>
        </w:rPr>
        <w:t xml:space="preserve"> with a maximum of 350mg) was given for</w:t>
      </w:r>
      <w:r>
        <w:rPr>
          <w:rFonts w:ascii="Calibri" w:eastAsia="Calibri" w:hAnsi="Calibri" w:cs="Calibri"/>
          <w:lang w:val="en-US"/>
        </w:rPr>
        <w:t xml:space="preserve"> 3 months</w:t>
      </w:r>
      <w:r w:rsidRPr="003422F8">
        <w:rPr>
          <w:rFonts w:ascii="Calibri" w:eastAsia="Calibri" w:hAnsi="Calibri" w:cs="Calibri"/>
          <w:lang w:val="en-US"/>
        </w:rPr>
        <w:t xml:space="preserve">, and </w:t>
      </w:r>
      <w:r w:rsidR="001627C4">
        <w:rPr>
          <w:rFonts w:ascii="Calibri" w:eastAsia="Calibri" w:hAnsi="Calibri" w:cs="Calibri"/>
          <w:lang w:val="en-US"/>
        </w:rPr>
        <w:t xml:space="preserve">was </w:t>
      </w:r>
      <w:r w:rsidRPr="003422F8">
        <w:rPr>
          <w:rFonts w:ascii="Calibri" w:eastAsia="Calibri" w:hAnsi="Calibri" w:cs="Calibri"/>
          <w:lang w:val="en-US"/>
        </w:rPr>
        <w:t>increased to 6 mg/kg from August 2013 at the recommendation of the D</w:t>
      </w:r>
      <w:r w:rsidR="004E4C27">
        <w:rPr>
          <w:rFonts w:ascii="Calibri" w:eastAsia="Calibri" w:hAnsi="Calibri" w:cs="Calibri"/>
          <w:lang w:val="en-US"/>
        </w:rPr>
        <w:t>ata Monitoring and Ethics Committee</w:t>
      </w:r>
      <w:r w:rsidR="00AA30DB">
        <w:rPr>
          <w:rFonts w:ascii="Calibri" w:eastAsia="Calibri" w:hAnsi="Calibri" w:cs="Calibri"/>
          <w:lang w:val="en-US"/>
        </w:rPr>
        <w:t xml:space="preserve"> to achieve higher serum drug concentrations</w:t>
      </w:r>
      <w:r w:rsidR="000207A3">
        <w:rPr>
          <w:rFonts w:ascii="Calibri" w:eastAsia="Calibri" w:hAnsi="Calibri" w:cs="Calibri"/>
          <w:lang w:val="en-US"/>
        </w:rPr>
        <w:t xml:space="preserve">, </w:t>
      </w:r>
      <w:r w:rsidR="00614877">
        <w:rPr>
          <w:rFonts w:ascii="Calibri" w:eastAsia="Calibri" w:hAnsi="Calibri" w:cs="Calibri"/>
          <w:lang w:val="en-US"/>
        </w:rPr>
        <w:t xml:space="preserve">as concentrations with the lower dose were considered to be </w:t>
      </w:r>
      <w:proofErr w:type="spellStart"/>
      <w:r w:rsidR="00614877">
        <w:rPr>
          <w:rFonts w:ascii="Calibri" w:eastAsia="Calibri" w:hAnsi="Calibri" w:cs="Calibri"/>
          <w:lang w:val="en-US"/>
        </w:rPr>
        <w:t>subtherapeutic</w:t>
      </w:r>
      <w:proofErr w:type="spellEnd"/>
      <w:r w:rsidRPr="003422F8">
        <w:rPr>
          <w:rFonts w:ascii="Calibri" w:eastAsia="Calibri" w:hAnsi="Calibri" w:cs="Calibri"/>
        </w:rPr>
        <w:t>; t</w:t>
      </w:r>
      <w:r w:rsidRPr="003422F8">
        <w:rPr>
          <w:rFonts w:ascii="Calibri" w:eastAsia="Calibri" w:hAnsi="Calibri" w:cs="Calibri"/>
          <w:lang w:val="en-US"/>
        </w:rPr>
        <w:t xml:space="preserve">he protocol was amended accordingly. </w:t>
      </w:r>
      <w:r w:rsidR="006A568E">
        <w:rPr>
          <w:rFonts w:ascii="Calibri" w:eastAsia="Calibri" w:hAnsi="Calibri" w:cs="Calibri"/>
          <w:lang w:val="en-US"/>
        </w:rPr>
        <w:t xml:space="preserve">58 participants were given the lower dose, and 28 the higher dose. </w:t>
      </w:r>
      <w:r w:rsidRPr="003422F8">
        <w:rPr>
          <w:rFonts w:ascii="Calibri" w:eastAsia="Calibri" w:hAnsi="Calibri" w:cs="Calibri"/>
          <w:lang w:val="en-US"/>
        </w:rPr>
        <w:t>Pa</w:t>
      </w:r>
      <w:r w:rsidR="00AA30DB">
        <w:rPr>
          <w:rFonts w:ascii="Calibri" w:eastAsia="Calibri" w:hAnsi="Calibri" w:cs="Calibri"/>
          <w:lang w:val="en-US"/>
        </w:rPr>
        <w:t>rticipants</w:t>
      </w:r>
      <w:r w:rsidRPr="003422F8">
        <w:rPr>
          <w:rFonts w:ascii="Calibri" w:eastAsia="Calibri" w:hAnsi="Calibri" w:cs="Calibri"/>
          <w:lang w:val="en-US"/>
        </w:rPr>
        <w:t xml:space="preserve"> were assessed by a treating physician after </w:t>
      </w:r>
      <w:r w:rsidR="00136525">
        <w:rPr>
          <w:rFonts w:ascii="Calibri" w:eastAsia="Calibri" w:hAnsi="Calibri" w:cs="Calibri"/>
          <w:lang w:val="en-US"/>
        </w:rPr>
        <w:t>one</w:t>
      </w:r>
      <w:r w:rsidRPr="003422F8">
        <w:rPr>
          <w:rFonts w:ascii="Calibri" w:eastAsia="Calibri" w:hAnsi="Calibri" w:cs="Calibri"/>
          <w:lang w:val="en-US"/>
        </w:rPr>
        <w:t xml:space="preserve"> and </w:t>
      </w:r>
      <w:r w:rsidR="00136525">
        <w:rPr>
          <w:rFonts w:ascii="Calibri" w:eastAsia="Calibri" w:hAnsi="Calibri" w:cs="Calibri"/>
          <w:lang w:val="en-US"/>
        </w:rPr>
        <w:t>three</w:t>
      </w:r>
      <w:r w:rsidR="00CA0A54">
        <w:rPr>
          <w:rFonts w:ascii="Calibri" w:eastAsia="Calibri" w:hAnsi="Calibri" w:cs="Calibri"/>
          <w:lang w:val="en-US"/>
        </w:rPr>
        <w:t xml:space="preserve"> </w:t>
      </w:r>
      <w:r>
        <w:rPr>
          <w:rFonts w:ascii="Calibri" w:eastAsia="Calibri" w:hAnsi="Calibri" w:cs="Calibri"/>
          <w:lang w:val="en-US"/>
        </w:rPr>
        <w:t>month</w:t>
      </w:r>
      <w:r w:rsidRPr="003422F8">
        <w:rPr>
          <w:rFonts w:ascii="Calibri" w:eastAsia="Calibri" w:hAnsi="Calibri" w:cs="Calibri"/>
          <w:lang w:val="en-US"/>
        </w:rPr>
        <w:t xml:space="preserve">s, </w:t>
      </w:r>
      <w:r>
        <w:rPr>
          <w:rFonts w:ascii="Calibri" w:eastAsia="Calibri" w:hAnsi="Calibri" w:cs="Calibri"/>
          <w:lang w:val="en-US"/>
        </w:rPr>
        <w:t>and</w:t>
      </w:r>
      <w:r w:rsidRPr="003422F8">
        <w:rPr>
          <w:rFonts w:ascii="Calibri" w:eastAsia="Calibri" w:hAnsi="Calibri" w:cs="Calibri"/>
          <w:lang w:val="en-US"/>
        </w:rPr>
        <w:t xml:space="preserve"> blood samples obtained to measure phenytoin concentration</w:t>
      </w:r>
      <w:r w:rsidR="008C4FC2">
        <w:rPr>
          <w:rFonts w:ascii="Calibri" w:eastAsia="Calibri" w:hAnsi="Calibri" w:cs="Calibri"/>
          <w:lang w:val="en-US"/>
        </w:rPr>
        <w:t>.</w:t>
      </w:r>
      <w:r w:rsidRPr="003422F8">
        <w:rPr>
          <w:rFonts w:ascii="Calibri" w:eastAsia="Calibri" w:hAnsi="Calibri" w:cs="Calibri"/>
          <w:lang w:val="en-US"/>
        </w:rPr>
        <w:t xml:space="preserve"> </w:t>
      </w:r>
    </w:p>
    <w:p w14:paraId="51437CA2" w14:textId="77777777" w:rsidR="004F6869" w:rsidRDefault="00B97655" w:rsidP="00412D99">
      <w:pPr>
        <w:pStyle w:val="Body"/>
        <w:jc w:val="both"/>
        <w:rPr>
          <w:rFonts w:ascii="Calibri" w:eastAsia="Calibri" w:hAnsi="Calibri" w:cs="Calibri"/>
          <w:bCs/>
          <w:u w:val="single"/>
        </w:rPr>
      </w:pPr>
      <w:r w:rsidRPr="0004641F">
        <w:rPr>
          <w:rFonts w:ascii="Calibri" w:eastAsia="Calibri" w:hAnsi="Calibri" w:cs="Calibri"/>
          <w:bCs/>
          <w:u w:val="single"/>
          <w:lang w:val="en-US"/>
        </w:rPr>
        <w:t>Outcomes</w:t>
      </w:r>
    </w:p>
    <w:p w14:paraId="45930D00" w14:textId="60327FC7" w:rsidR="00873B88" w:rsidRPr="003422F8" w:rsidRDefault="00573084" w:rsidP="00412D99">
      <w:pPr>
        <w:pStyle w:val="Body"/>
        <w:jc w:val="both"/>
        <w:rPr>
          <w:rFonts w:ascii="Calibri" w:eastAsia="Calibri" w:hAnsi="Calibri" w:cs="Calibri"/>
        </w:rPr>
      </w:pPr>
      <w:r w:rsidRPr="003422F8">
        <w:rPr>
          <w:rFonts w:ascii="Calibri" w:eastAsia="Calibri" w:hAnsi="Calibri" w:cs="Calibri"/>
          <w:lang w:val="en-US"/>
        </w:rPr>
        <w:t xml:space="preserve">The primary endpoint was mean RNFL thickness in the affected eye at </w:t>
      </w:r>
      <w:r w:rsidR="00136525">
        <w:rPr>
          <w:rFonts w:ascii="Calibri" w:eastAsia="Calibri" w:hAnsi="Calibri" w:cs="Calibri"/>
          <w:lang w:val="en-US"/>
        </w:rPr>
        <w:t>six</w:t>
      </w:r>
      <w:r w:rsidRPr="003422F8">
        <w:rPr>
          <w:rFonts w:ascii="Calibri" w:eastAsia="Calibri" w:hAnsi="Calibri" w:cs="Calibri"/>
          <w:lang w:val="en-US"/>
        </w:rPr>
        <w:t xml:space="preserve"> months, measured with OCT. </w:t>
      </w:r>
    </w:p>
    <w:p w14:paraId="356686B4" w14:textId="0E4F332D" w:rsidR="00873B88" w:rsidRDefault="00573084" w:rsidP="00412D99">
      <w:pPr>
        <w:pStyle w:val="Body"/>
        <w:jc w:val="both"/>
        <w:rPr>
          <w:rFonts w:ascii="Calibri" w:eastAsia="Calibri" w:hAnsi="Calibri" w:cs="Calibri"/>
        </w:rPr>
      </w:pPr>
      <w:r w:rsidRPr="003422F8">
        <w:rPr>
          <w:rFonts w:ascii="Calibri" w:eastAsia="Calibri" w:hAnsi="Calibri" w:cs="Calibri"/>
          <w:lang w:val="en-US"/>
        </w:rPr>
        <w:t xml:space="preserve">Secondary structural endpoints </w:t>
      </w:r>
      <w:r w:rsidR="004F6869">
        <w:rPr>
          <w:rFonts w:ascii="Calibri" w:eastAsia="Calibri" w:hAnsi="Calibri" w:cs="Calibri"/>
          <w:lang w:val="en-US"/>
        </w:rPr>
        <w:t>were</w:t>
      </w:r>
      <w:r w:rsidRPr="003422F8">
        <w:rPr>
          <w:rFonts w:ascii="Calibri" w:eastAsia="Calibri" w:hAnsi="Calibri" w:cs="Calibri"/>
          <w:lang w:val="en-US"/>
        </w:rPr>
        <w:t xml:space="preserve"> macular volume (MV)</w:t>
      </w:r>
      <w:r w:rsidR="00565A96">
        <w:rPr>
          <w:rFonts w:ascii="Calibri" w:eastAsia="Calibri" w:hAnsi="Calibri" w:cs="Calibri"/>
          <w:lang w:val="en-US"/>
        </w:rPr>
        <w:t>,</w:t>
      </w:r>
      <w:r w:rsidRPr="003422F8">
        <w:rPr>
          <w:rFonts w:ascii="Calibri" w:eastAsia="Calibri" w:hAnsi="Calibri" w:cs="Calibri"/>
          <w:lang w:val="en-US"/>
        </w:rPr>
        <w:t xml:space="preserve"> measured with OCT, and optic nerve cross-sectional area and lesion length</w:t>
      </w:r>
      <w:r w:rsidR="00565A96">
        <w:rPr>
          <w:rFonts w:ascii="Calibri" w:eastAsia="Calibri" w:hAnsi="Calibri" w:cs="Calibri"/>
          <w:lang w:val="en-US"/>
        </w:rPr>
        <w:t>,</w:t>
      </w:r>
      <w:r w:rsidRPr="003422F8">
        <w:rPr>
          <w:rFonts w:ascii="Calibri" w:eastAsia="Calibri" w:hAnsi="Calibri" w:cs="Calibri"/>
          <w:lang w:val="en-US"/>
        </w:rPr>
        <w:t xml:space="preserve"> measured with magnetic resonance imaging (MRI). Secondary clinical endpoints </w:t>
      </w:r>
      <w:r w:rsidR="004F6869">
        <w:rPr>
          <w:rFonts w:ascii="Calibri" w:eastAsia="Calibri" w:hAnsi="Calibri" w:cs="Calibri"/>
          <w:lang w:val="en-US"/>
        </w:rPr>
        <w:t>were</w:t>
      </w:r>
      <w:r w:rsidRPr="003422F8">
        <w:rPr>
          <w:rFonts w:ascii="Calibri" w:eastAsia="Calibri" w:hAnsi="Calibri" w:cs="Calibri"/>
          <w:lang w:val="en-US"/>
        </w:rPr>
        <w:t xml:space="preserve"> monocular high and low contrast letter visual acuities and </w:t>
      </w:r>
      <w:proofErr w:type="spellStart"/>
      <w:r w:rsidRPr="003422F8">
        <w:rPr>
          <w:rFonts w:ascii="Calibri" w:eastAsia="Calibri" w:hAnsi="Calibri" w:cs="Calibri"/>
          <w:lang w:val="en-US"/>
        </w:rPr>
        <w:t>colo</w:t>
      </w:r>
      <w:r w:rsidR="00122A17">
        <w:rPr>
          <w:rFonts w:ascii="Calibri" w:eastAsia="Calibri" w:hAnsi="Calibri" w:cs="Calibri"/>
          <w:lang w:val="en-US"/>
        </w:rPr>
        <w:t>u</w:t>
      </w:r>
      <w:r w:rsidRPr="003422F8">
        <w:rPr>
          <w:rFonts w:ascii="Calibri" w:eastAsia="Calibri" w:hAnsi="Calibri" w:cs="Calibri"/>
          <w:lang w:val="en-US"/>
        </w:rPr>
        <w:t>r</w:t>
      </w:r>
      <w:proofErr w:type="spellEnd"/>
      <w:r w:rsidRPr="003422F8">
        <w:rPr>
          <w:rFonts w:ascii="Calibri" w:eastAsia="Calibri" w:hAnsi="Calibri" w:cs="Calibri"/>
          <w:lang w:val="en-US"/>
        </w:rPr>
        <w:t xml:space="preserve"> per</w:t>
      </w:r>
      <w:r w:rsidR="00773353">
        <w:rPr>
          <w:rFonts w:ascii="Calibri" w:eastAsia="Calibri" w:hAnsi="Calibri" w:cs="Calibri"/>
          <w:lang w:val="en-US"/>
        </w:rPr>
        <w:t>ception. L</w:t>
      </w:r>
      <w:r w:rsidRPr="003422F8">
        <w:rPr>
          <w:rFonts w:ascii="Calibri" w:eastAsia="Calibri" w:hAnsi="Calibri" w:cs="Calibri"/>
          <w:lang w:val="en-US"/>
        </w:rPr>
        <w:t>atencies and amplitudes of the visual evoked potential (VEP) were also measured.</w:t>
      </w:r>
      <w:r>
        <w:rPr>
          <w:rFonts w:ascii="Calibri" w:eastAsia="Calibri" w:hAnsi="Calibri" w:cs="Calibri"/>
          <w:lang w:val="en-US"/>
        </w:rPr>
        <w:t xml:space="preserve"> </w:t>
      </w:r>
      <w:r w:rsidRPr="003422F8">
        <w:rPr>
          <w:rFonts w:ascii="Calibri" w:eastAsia="Calibri" w:hAnsi="Calibri" w:cs="Calibri"/>
          <w:lang w:val="en-US"/>
        </w:rPr>
        <w:t xml:space="preserve">Brain MRI </w:t>
      </w:r>
      <w:r>
        <w:rPr>
          <w:rFonts w:ascii="Calibri" w:eastAsia="Calibri" w:hAnsi="Calibri" w:cs="Calibri"/>
          <w:lang w:val="en-US"/>
        </w:rPr>
        <w:t>was</w:t>
      </w:r>
      <w:r w:rsidRPr="003422F8">
        <w:rPr>
          <w:rFonts w:ascii="Calibri" w:eastAsia="Calibri" w:hAnsi="Calibri" w:cs="Calibri"/>
          <w:lang w:val="en-US"/>
        </w:rPr>
        <w:t xml:space="preserve"> obtained at baseline for </w:t>
      </w:r>
      <w:r w:rsidR="00C14376">
        <w:rPr>
          <w:rFonts w:ascii="Calibri" w:eastAsia="Calibri" w:hAnsi="Calibri" w:cs="Calibri"/>
          <w:lang w:val="en-US"/>
        </w:rPr>
        <w:t>participant</w:t>
      </w:r>
      <w:r w:rsidRPr="003422F8">
        <w:rPr>
          <w:rFonts w:ascii="Calibri" w:eastAsia="Calibri" w:hAnsi="Calibri" w:cs="Calibri"/>
          <w:lang w:val="en-US"/>
        </w:rPr>
        <w:t>s without a prior diagnosis of MS</w:t>
      </w:r>
      <w:r w:rsidRPr="003422F8">
        <w:rPr>
          <w:rFonts w:ascii="Calibri" w:eastAsia="Calibri" w:hAnsi="Calibri" w:cs="Calibri"/>
        </w:rPr>
        <w:t>.</w:t>
      </w:r>
    </w:p>
    <w:p w14:paraId="394A68BB" w14:textId="430273A4" w:rsidR="00873B88" w:rsidRDefault="00573084" w:rsidP="00412D99">
      <w:pPr>
        <w:pStyle w:val="Body"/>
        <w:jc w:val="both"/>
        <w:rPr>
          <w:rFonts w:ascii="Calibri" w:eastAsia="Calibri" w:hAnsi="Calibri" w:cs="Calibri"/>
          <w:lang w:val="en-US"/>
        </w:rPr>
      </w:pPr>
      <w:r w:rsidRPr="003422F8">
        <w:rPr>
          <w:rFonts w:ascii="Calibri" w:eastAsia="Calibri" w:hAnsi="Calibri" w:cs="Calibri"/>
          <w:lang w:val="en-US"/>
        </w:rPr>
        <w:t xml:space="preserve">Primary and secondary endpoints were measured at baseline and </w:t>
      </w:r>
      <w:r w:rsidR="004F6869">
        <w:rPr>
          <w:rFonts w:ascii="Calibri" w:eastAsia="Calibri" w:hAnsi="Calibri" w:cs="Calibri"/>
          <w:lang w:val="en-US"/>
        </w:rPr>
        <w:t>six</w:t>
      </w:r>
      <w:r w:rsidRPr="003422F8">
        <w:rPr>
          <w:rFonts w:ascii="Calibri" w:eastAsia="Calibri" w:hAnsi="Calibri" w:cs="Calibri"/>
          <w:lang w:val="en-US"/>
        </w:rPr>
        <w:t xml:space="preserve"> months</w:t>
      </w:r>
      <w:r w:rsidR="00D025FC" w:rsidRPr="00D025FC">
        <w:rPr>
          <w:rFonts w:ascii="Calibri" w:eastAsia="Calibri" w:hAnsi="Calibri" w:cs="Calibri"/>
          <w:lang w:val="en-US"/>
        </w:rPr>
        <w:t xml:space="preserve"> </w:t>
      </w:r>
      <w:r w:rsidR="00D025FC" w:rsidRPr="003422F8">
        <w:rPr>
          <w:rFonts w:ascii="Calibri" w:eastAsia="Calibri" w:hAnsi="Calibri" w:cs="Calibri"/>
          <w:lang w:val="en-US"/>
        </w:rPr>
        <w:t xml:space="preserve">by trained staff blinded to treatment allocation. </w:t>
      </w:r>
      <w:r>
        <w:rPr>
          <w:rFonts w:ascii="Calibri" w:eastAsia="Calibri" w:hAnsi="Calibri" w:cs="Calibri"/>
          <w:lang w:val="en-US"/>
        </w:rPr>
        <w:t xml:space="preserve">The </w:t>
      </w:r>
      <w:r w:rsidR="004F6869">
        <w:rPr>
          <w:rFonts w:ascii="Calibri" w:eastAsia="Calibri" w:hAnsi="Calibri" w:cs="Calibri"/>
          <w:lang w:val="en-US"/>
        </w:rPr>
        <w:t>three</w:t>
      </w:r>
      <w:r>
        <w:rPr>
          <w:rFonts w:ascii="Calibri" w:eastAsia="Calibri" w:hAnsi="Calibri" w:cs="Calibri"/>
          <w:lang w:val="en-US"/>
        </w:rPr>
        <w:t>-month gap between cessation of treatment and th</w:t>
      </w:r>
      <w:r w:rsidR="00D025FC">
        <w:rPr>
          <w:rFonts w:ascii="Calibri" w:eastAsia="Calibri" w:hAnsi="Calibri" w:cs="Calibri"/>
          <w:lang w:val="en-US"/>
        </w:rPr>
        <w:t>e</w:t>
      </w:r>
      <w:r>
        <w:rPr>
          <w:rFonts w:ascii="Calibri" w:eastAsia="Calibri" w:hAnsi="Calibri" w:cs="Calibri"/>
          <w:lang w:val="en-US"/>
        </w:rPr>
        <w:t xml:space="preserve"> final assessment was desi</w:t>
      </w:r>
      <w:r w:rsidR="002D5312">
        <w:rPr>
          <w:rFonts w:ascii="Calibri" w:eastAsia="Calibri" w:hAnsi="Calibri" w:cs="Calibri"/>
          <w:lang w:val="en-US"/>
        </w:rPr>
        <w:t xml:space="preserve">gned to allow any </w:t>
      </w:r>
      <w:proofErr w:type="spellStart"/>
      <w:r w:rsidR="002D5312">
        <w:rPr>
          <w:rFonts w:ascii="Calibri" w:eastAsia="Calibri" w:hAnsi="Calibri" w:cs="Calibri"/>
          <w:lang w:val="en-US"/>
        </w:rPr>
        <w:t>artefactual</w:t>
      </w:r>
      <w:proofErr w:type="spellEnd"/>
      <w:r w:rsidR="002D5312">
        <w:rPr>
          <w:rFonts w:ascii="Calibri" w:eastAsia="Calibri" w:hAnsi="Calibri" w:cs="Calibri"/>
          <w:lang w:val="en-US"/>
        </w:rPr>
        <w:t xml:space="preserve"> effects of </w:t>
      </w:r>
      <w:r w:rsidR="00D533EA">
        <w:rPr>
          <w:rFonts w:ascii="Calibri" w:eastAsia="Calibri" w:hAnsi="Calibri" w:cs="Calibri"/>
          <w:lang w:val="en-US"/>
        </w:rPr>
        <w:t>sodium channel inhibition</w:t>
      </w:r>
      <w:r w:rsidR="002D5312">
        <w:rPr>
          <w:rFonts w:ascii="Calibri" w:eastAsia="Calibri" w:hAnsi="Calibri" w:cs="Calibri"/>
          <w:lang w:val="en-US"/>
        </w:rPr>
        <w:t xml:space="preserve"> (</w:t>
      </w:r>
      <w:proofErr w:type="spellStart"/>
      <w:r w:rsidR="00AA22E2">
        <w:rPr>
          <w:rFonts w:ascii="Calibri" w:eastAsia="Calibri" w:hAnsi="Calibri" w:cs="Calibri"/>
          <w:lang w:val="en-US"/>
        </w:rPr>
        <w:t>eg</w:t>
      </w:r>
      <w:proofErr w:type="spellEnd"/>
      <w:r w:rsidR="00AA22E2">
        <w:rPr>
          <w:rFonts w:ascii="Calibri" w:eastAsia="Calibri" w:hAnsi="Calibri" w:cs="Calibri"/>
          <w:lang w:val="en-US"/>
        </w:rPr>
        <w:t xml:space="preserve"> </w:t>
      </w:r>
      <w:proofErr w:type="spellStart"/>
      <w:r w:rsidR="002D5312">
        <w:rPr>
          <w:rFonts w:ascii="Calibri" w:eastAsia="Calibri" w:hAnsi="Calibri" w:cs="Calibri"/>
          <w:lang w:val="en-US"/>
        </w:rPr>
        <w:t>pseudoatrophy</w:t>
      </w:r>
      <w:proofErr w:type="spellEnd"/>
      <w:proofErr w:type="gramStart"/>
      <w:r w:rsidR="002D5312">
        <w:rPr>
          <w:rFonts w:ascii="Calibri" w:eastAsia="Calibri" w:hAnsi="Calibri" w:cs="Calibri"/>
          <w:lang w:val="en-US"/>
        </w:rPr>
        <w:t>)</w:t>
      </w:r>
      <w:r w:rsidR="00A062C0">
        <w:rPr>
          <w:rFonts w:ascii="Calibri" w:eastAsia="Calibri" w:hAnsi="Calibri" w:cs="Calibri"/>
          <w:vertAlign w:val="superscript"/>
          <w:lang w:val="en-US"/>
        </w:rPr>
        <w:t>1</w:t>
      </w:r>
      <w:r w:rsidR="00E44756">
        <w:rPr>
          <w:rFonts w:ascii="Calibri" w:eastAsia="Calibri" w:hAnsi="Calibri" w:cs="Calibri"/>
          <w:vertAlign w:val="superscript"/>
          <w:lang w:val="en-US"/>
        </w:rPr>
        <w:t>6</w:t>
      </w:r>
      <w:proofErr w:type="gramEnd"/>
      <w:r w:rsidR="002D5312">
        <w:rPr>
          <w:rFonts w:ascii="Calibri" w:eastAsia="Calibri" w:hAnsi="Calibri" w:cs="Calibri"/>
          <w:lang w:val="en-US"/>
        </w:rPr>
        <w:t xml:space="preserve"> to reverse </w:t>
      </w:r>
      <w:r w:rsidR="00AA22E2">
        <w:rPr>
          <w:rFonts w:ascii="Calibri" w:eastAsia="Calibri" w:hAnsi="Calibri" w:cs="Calibri"/>
          <w:lang w:val="en-US"/>
        </w:rPr>
        <w:t>before</w:t>
      </w:r>
      <w:r w:rsidR="002D5312">
        <w:rPr>
          <w:rFonts w:ascii="Calibri" w:eastAsia="Calibri" w:hAnsi="Calibri" w:cs="Calibri"/>
          <w:lang w:val="en-US"/>
        </w:rPr>
        <w:t xml:space="preserve"> the final readout</w:t>
      </w:r>
      <w:r>
        <w:rPr>
          <w:rFonts w:ascii="Calibri" w:eastAsia="Calibri" w:hAnsi="Calibri" w:cs="Calibri"/>
          <w:lang w:val="en-US"/>
        </w:rPr>
        <w:t xml:space="preserve">. </w:t>
      </w:r>
    </w:p>
    <w:p w14:paraId="76A09064" w14:textId="501B3025" w:rsidR="00873B88" w:rsidRDefault="00D025FC" w:rsidP="00412D99">
      <w:pPr>
        <w:pStyle w:val="Body"/>
        <w:jc w:val="both"/>
        <w:rPr>
          <w:rFonts w:ascii="Calibri" w:eastAsia="Calibri" w:hAnsi="Calibri" w:cs="Calibri"/>
        </w:rPr>
      </w:pPr>
      <w:r w:rsidRPr="00122A17">
        <w:rPr>
          <w:rFonts w:ascii="Calibri" w:eastAsia="Calibri" w:hAnsi="Calibri" w:cs="Calibri"/>
          <w:u w:val="single"/>
          <w:lang w:val="fr-FR"/>
        </w:rPr>
        <w:t>O</w:t>
      </w:r>
      <w:r w:rsidR="001B68CE">
        <w:rPr>
          <w:rFonts w:ascii="Calibri" w:eastAsia="Calibri" w:hAnsi="Calibri" w:cs="Calibri"/>
          <w:u w:val="single"/>
          <w:lang w:val="fr-FR"/>
        </w:rPr>
        <w:t xml:space="preserve">ptical </w:t>
      </w:r>
      <w:proofErr w:type="spellStart"/>
      <w:r w:rsidR="001B68CE">
        <w:rPr>
          <w:rFonts w:ascii="Calibri" w:eastAsia="Calibri" w:hAnsi="Calibri" w:cs="Calibri"/>
          <w:u w:val="single"/>
          <w:lang w:val="fr-FR"/>
        </w:rPr>
        <w:t>coherence</w:t>
      </w:r>
      <w:proofErr w:type="spellEnd"/>
      <w:r w:rsidR="001B68CE">
        <w:rPr>
          <w:rFonts w:ascii="Calibri" w:eastAsia="Calibri" w:hAnsi="Calibri" w:cs="Calibri"/>
          <w:u w:val="single"/>
          <w:lang w:val="fr-FR"/>
        </w:rPr>
        <w:t xml:space="preserve"> </w:t>
      </w:r>
      <w:proofErr w:type="spellStart"/>
      <w:r w:rsidR="001B68CE">
        <w:rPr>
          <w:rFonts w:ascii="Calibri" w:eastAsia="Calibri" w:hAnsi="Calibri" w:cs="Calibri"/>
          <w:u w:val="single"/>
          <w:lang w:val="fr-FR"/>
        </w:rPr>
        <w:t>tomography</w:t>
      </w:r>
      <w:proofErr w:type="spellEnd"/>
      <w:r>
        <w:rPr>
          <w:rFonts w:ascii="Calibri" w:eastAsia="Calibri" w:hAnsi="Calibri" w:cs="Calibri"/>
          <w:lang w:val="fr-FR"/>
        </w:rPr>
        <w:t xml:space="preserve">: </w:t>
      </w:r>
      <w:r w:rsidR="00494DC3">
        <w:rPr>
          <w:rFonts w:ascii="Calibri" w:eastAsia="Calibri" w:hAnsi="Calibri" w:cs="Calibri"/>
          <w:lang w:val="fr-FR"/>
        </w:rPr>
        <w:t xml:space="preserve">High </w:t>
      </w:r>
      <w:proofErr w:type="spellStart"/>
      <w:r w:rsidR="00494DC3">
        <w:rPr>
          <w:rFonts w:ascii="Calibri" w:eastAsia="Calibri" w:hAnsi="Calibri" w:cs="Calibri"/>
          <w:lang w:val="fr-FR"/>
        </w:rPr>
        <w:t>resolution</w:t>
      </w:r>
      <w:proofErr w:type="spellEnd"/>
      <w:r w:rsidR="00494DC3">
        <w:rPr>
          <w:rFonts w:ascii="Calibri" w:eastAsia="Calibri" w:hAnsi="Calibri" w:cs="Calibri"/>
          <w:lang w:val="fr-FR"/>
        </w:rPr>
        <w:t xml:space="preserve"> s</w:t>
      </w:r>
      <w:r w:rsidR="009F50BF">
        <w:rPr>
          <w:rFonts w:ascii="Calibri" w:eastAsia="Calibri" w:hAnsi="Calibri" w:cs="Calibri"/>
          <w:lang w:val="fr-FR"/>
        </w:rPr>
        <w:t xml:space="preserve">pectral </w:t>
      </w:r>
      <w:proofErr w:type="spellStart"/>
      <w:r w:rsidR="009F50BF">
        <w:rPr>
          <w:rFonts w:ascii="Calibri" w:eastAsia="Calibri" w:hAnsi="Calibri" w:cs="Calibri"/>
          <w:lang w:val="fr-FR"/>
        </w:rPr>
        <w:t>domain</w:t>
      </w:r>
      <w:proofErr w:type="spellEnd"/>
      <w:r w:rsidR="009F50BF">
        <w:rPr>
          <w:rFonts w:ascii="Calibri" w:eastAsia="Calibri" w:hAnsi="Calibri" w:cs="Calibri"/>
          <w:lang w:val="fr-FR"/>
        </w:rPr>
        <w:t xml:space="preserve"> OCT images (</w:t>
      </w:r>
      <w:proofErr w:type="spellStart"/>
      <w:r w:rsidR="009F50BF">
        <w:rPr>
          <w:rFonts w:ascii="Calibri" w:eastAsia="Calibri" w:hAnsi="Calibri" w:cs="Calibri"/>
          <w:lang w:val="fr-FR"/>
        </w:rPr>
        <w:t>Spectralis</w:t>
      </w:r>
      <w:proofErr w:type="spellEnd"/>
      <w:r w:rsidR="009F50BF">
        <w:rPr>
          <w:rFonts w:ascii="Calibri" w:eastAsia="Calibri" w:hAnsi="Calibri" w:cs="Calibri"/>
        </w:rPr>
        <w:t xml:space="preserve">, Heidelberg </w:t>
      </w:r>
      <w:r w:rsidR="009063F6">
        <w:rPr>
          <w:rFonts w:ascii="Calibri" w:eastAsia="Calibri" w:hAnsi="Calibri" w:cs="Calibri"/>
        </w:rPr>
        <w:t>E</w:t>
      </w:r>
      <w:r w:rsidR="009F50BF">
        <w:rPr>
          <w:rFonts w:ascii="Calibri" w:eastAsia="Calibri" w:hAnsi="Calibri" w:cs="Calibri"/>
        </w:rPr>
        <w:t>ngineering, Germany, Software V 5</w:t>
      </w:r>
      <w:r w:rsidR="00FD7C53">
        <w:rPr>
          <w:rFonts w:ascii="Calibri" w:eastAsia="Calibri" w:hAnsi="Calibri" w:cs="Calibri"/>
        </w:rPr>
        <w:t>·</w:t>
      </w:r>
      <w:r w:rsidR="009F50BF">
        <w:rPr>
          <w:rFonts w:ascii="Calibri" w:eastAsia="Calibri" w:hAnsi="Calibri" w:cs="Calibri"/>
        </w:rPr>
        <w:t>4B) were acquired using identical protocols at both sites. Appropriate quality assurance was undertaken to ensure comparability</w:t>
      </w:r>
      <w:r w:rsidR="001E3F14">
        <w:rPr>
          <w:rFonts w:ascii="Calibri" w:eastAsia="Calibri" w:hAnsi="Calibri" w:cs="Calibri"/>
        </w:rPr>
        <w:t xml:space="preserve">, </w:t>
      </w:r>
      <w:r w:rsidR="00C14BCC">
        <w:rPr>
          <w:rFonts w:ascii="Calibri" w:eastAsia="Calibri" w:hAnsi="Calibri" w:cs="Calibri"/>
        </w:rPr>
        <w:t>with</w:t>
      </w:r>
      <w:r w:rsidR="00C00F19">
        <w:rPr>
          <w:rFonts w:ascii="Calibri" w:eastAsia="Calibri" w:hAnsi="Calibri" w:cs="Calibri"/>
        </w:rPr>
        <w:t xml:space="preserve"> acceptable</w:t>
      </w:r>
      <w:r w:rsidR="00C14BCC">
        <w:rPr>
          <w:rFonts w:ascii="Calibri" w:eastAsia="Calibri" w:hAnsi="Calibri" w:cs="Calibri"/>
        </w:rPr>
        <w:t xml:space="preserve"> inter-</w:t>
      </w:r>
      <w:proofErr w:type="spellStart"/>
      <w:r w:rsidR="00C14BCC">
        <w:rPr>
          <w:rFonts w:ascii="Calibri" w:eastAsia="Calibri" w:hAnsi="Calibri" w:cs="Calibri"/>
        </w:rPr>
        <w:t>rater</w:t>
      </w:r>
      <w:proofErr w:type="spellEnd"/>
      <w:r w:rsidR="008F0CBE">
        <w:rPr>
          <w:rFonts w:ascii="Calibri" w:eastAsia="Calibri" w:hAnsi="Calibri" w:cs="Calibri"/>
        </w:rPr>
        <w:t xml:space="preserve"> </w:t>
      </w:r>
      <w:r w:rsidR="00C00F19">
        <w:rPr>
          <w:rFonts w:ascii="Calibri" w:eastAsia="Calibri" w:hAnsi="Calibri" w:cs="Calibri"/>
        </w:rPr>
        <w:t>coefficients of variation for measurements of the RNFL (0.51%) and MV (0.45%</w:t>
      </w:r>
      <w:proofErr w:type="gramStart"/>
      <w:r w:rsidR="00C00F19">
        <w:rPr>
          <w:rFonts w:ascii="Calibri" w:eastAsia="Calibri" w:hAnsi="Calibri" w:cs="Calibri"/>
        </w:rPr>
        <w:t>)</w:t>
      </w:r>
      <w:r w:rsidR="005658B2">
        <w:rPr>
          <w:rFonts w:ascii="Calibri" w:eastAsia="Calibri" w:hAnsi="Calibri" w:cs="Calibri"/>
        </w:rPr>
        <w:t xml:space="preserve"> </w:t>
      </w:r>
      <w:r w:rsidR="001E3F14">
        <w:rPr>
          <w:rFonts w:ascii="Calibri" w:eastAsia="Calibri" w:hAnsi="Calibri" w:cs="Calibri"/>
        </w:rPr>
        <w:t>.</w:t>
      </w:r>
      <w:proofErr w:type="gramEnd"/>
      <w:r w:rsidR="001E3F14">
        <w:rPr>
          <w:rFonts w:ascii="Calibri" w:eastAsia="Calibri" w:hAnsi="Calibri" w:cs="Calibri"/>
        </w:rPr>
        <w:t xml:space="preserve"> </w:t>
      </w:r>
      <w:r w:rsidR="009F50BF">
        <w:rPr>
          <w:rFonts w:ascii="Calibri" w:eastAsia="Calibri" w:hAnsi="Calibri" w:cs="Calibri"/>
        </w:rPr>
        <w:t>RNFL measurements used a 3</w:t>
      </w:r>
      <w:r w:rsidR="00FD7C53">
        <w:rPr>
          <w:rFonts w:ascii="Calibri" w:eastAsia="Calibri" w:hAnsi="Calibri" w:cs="Calibri"/>
        </w:rPr>
        <w:t>·</w:t>
      </w:r>
      <w:r w:rsidR="009F50BF">
        <w:rPr>
          <w:rFonts w:ascii="Calibri" w:eastAsia="Calibri" w:hAnsi="Calibri" w:cs="Calibri"/>
        </w:rPr>
        <w:t xml:space="preserve">45 mm diameter circle scan. A fast </w:t>
      </w:r>
      <w:r w:rsidR="00102205">
        <w:rPr>
          <w:rFonts w:ascii="Calibri" w:eastAsia="Calibri" w:hAnsi="Calibri" w:cs="Calibri"/>
        </w:rPr>
        <w:t>MV</w:t>
      </w:r>
      <w:r w:rsidR="009F50BF">
        <w:rPr>
          <w:rFonts w:ascii="Calibri" w:eastAsia="Calibri" w:hAnsi="Calibri" w:cs="Calibri"/>
        </w:rPr>
        <w:t xml:space="preserve"> scan (20 x20° field, 25 horizontal B scans, ART 9) was also performed. Scans were excluded if they had a signal strength of &lt;25 or violated international consensus quality control criteria</w:t>
      </w:r>
      <w:r w:rsidR="009F50BF">
        <w:rPr>
          <w:rFonts w:ascii="Calibri" w:eastAsia="Calibri" w:hAnsi="Calibri" w:cs="Calibri"/>
        </w:rPr>
        <w:fldChar w:fldCharType="begin"/>
      </w:r>
      <w:r w:rsidR="009F50BF">
        <w:rPr>
          <w:rFonts w:ascii="Calibri" w:eastAsia="Calibri" w:hAnsi="Calibri" w:cs="Calibri"/>
        </w:rPr>
        <w:instrText xml:space="preserve"> ADDIN EN.CITE &lt;EndNote&gt;&lt;Cite&gt;&lt;Author&gt;Schippling&lt;/Author&gt;&lt;Year&gt;2015&lt;/Year&gt;&lt;IDText&gt;Quality control for retinal OCT in multiple sclerosis: validation of the OSCAR-IB criteria&lt;/IDText&gt;&lt;DisplayText&gt;&lt;style face="superscript"&gt;1&lt;/style&gt;&lt;/DisplayText&gt;&lt;record&gt;&lt;dates&gt;&lt;pub-dates&gt;&lt;date&gt;Feb&lt;/date&gt;&lt;/pub-dates&gt;&lt;year&gt;2015&lt;/year&gt;&lt;/dates&gt;&lt;urls&gt;&lt;related-urls&gt;&lt;url&gt;http://www.ncbi.nlm.nih.gov/pubmed/24948688&lt;/url&gt;&lt;/related-urls&gt;&lt;/urls&gt;&lt;isbn&gt;1477-0970&lt;/isbn&gt;&lt;titles&gt;&lt;title&gt;Quality control for retinal OCT in multiple sclerosis: validation of the OSCAR-IB criteria&lt;/title&gt;&lt;secondary-title&gt;Mult Scler&lt;/secondary-title&gt;&lt;/titles&gt;&lt;pages&gt;163-70&lt;/pages&gt;&lt;number&gt;2&lt;/number&gt;&lt;contributors&gt;&lt;authors&gt;&lt;author&gt;Schippling, S.&lt;/author&gt;&lt;author&gt;Balk, L. J.&lt;/author&gt;&lt;author&gt;Costello, F.&lt;/author&gt;&lt;author&gt;Albrecht, P.&lt;/author&gt;&lt;author&gt;Balcer, L.&lt;/author&gt;&lt;author&gt;Calabresi, P. A.&lt;/author&gt;&lt;author&gt;Frederiksen, J. L.&lt;/author&gt;&lt;author&gt;Frohman, E.&lt;/author&gt;&lt;author&gt;Green, A. J.&lt;/author&gt;&lt;author&gt;Klistorner, A.&lt;/author&gt;&lt;author&gt;Outteryck, O.&lt;/author&gt;&lt;author&gt;Paul, F.&lt;/author&gt;&lt;author&gt;Plant, G. T.&lt;/author&gt;&lt;author&gt;Traber, G.&lt;/author&gt;&lt;author&gt;Vermersch, P.&lt;/author&gt;&lt;author&gt;Villoslada, P.&lt;/author&gt;&lt;author&gt;Wolf, S.&lt;/author&gt;&lt;author&gt;Petzold, A.&lt;/author&gt;&lt;/authors&gt;&lt;/contributors&gt;&lt;language&gt;eng&lt;/language&gt;&lt;added-date format="utc"&gt;1428343299&lt;/added-date&gt;&lt;ref-type name="Journal Article"&gt;17&lt;/ref-type&gt;&lt;rec-number&gt;447&lt;/rec-number&gt;&lt;last-updated-date format="utc"&gt;1428343299&lt;/last-updated-date&gt;&lt;accession-num&gt;24948688&lt;/accession-num&gt;&lt;electronic-resource-num&gt;10.1177/1352458514538110&lt;/electronic-resource-num&gt;&lt;volume&gt;21&lt;/volume&gt;&lt;/record&gt;&lt;/Cite&gt;&lt;/EndNote&gt;</w:instrText>
      </w:r>
      <w:r w:rsidR="009F50BF">
        <w:rPr>
          <w:rFonts w:ascii="Calibri" w:eastAsia="Calibri" w:hAnsi="Calibri" w:cs="Calibri"/>
        </w:rPr>
        <w:fldChar w:fldCharType="separate"/>
      </w:r>
      <w:r w:rsidR="009F50BF" w:rsidRPr="009E5370">
        <w:rPr>
          <w:rFonts w:ascii="Calibri" w:eastAsia="Calibri" w:hAnsi="Calibri" w:cs="Calibri"/>
          <w:noProof/>
          <w:vertAlign w:val="superscript"/>
        </w:rPr>
        <w:t>1</w:t>
      </w:r>
      <w:r w:rsidR="009F50BF">
        <w:rPr>
          <w:rFonts w:ascii="Calibri" w:eastAsia="Calibri" w:hAnsi="Calibri" w:cs="Calibri"/>
        </w:rPr>
        <w:fldChar w:fldCharType="end"/>
      </w:r>
      <w:r w:rsidR="00E44756">
        <w:rPr>
          <w:rFonts w:ascii="Calibri" w:eastAsia="Calibri" w:hAnsi="Calibri" w:cs="Calibri"/>
          <w:vertAlign w:val="superscript"/>
        </w:rPr>
        <w:t>7</w:t>
      </w:r>
      <w:r w:rsidR="009F50BF">
        <w:rPr>
          <w:rFonts w:ascii="Calibri" w:eastAsia="Calibri" w:hAnsi="Calibri" w:cs="Calibri"/>
        </w:rPr>
        <w:t>.</w:t>
      </w:r>
    </w:p>
    <w:p w14:paraId="35D668F8" w14:textId="5DCBA1E5" w:rsidR="002460D7" w:rsidRDefault="002460D7" w:rsidP="002460D7">
      <w:pPr>
        <w:pStyle w:val="Body"/>
        <w:jc w:val="both"/>
        <w:rPr>
          <w:rFonts w:ascii="Calibri" w:eastAsia="Calibri" w:hAnsi="Calibri" w:cs="Calibri"/>
        </w:rPr>
      </w:pPr>
      <w:r w:rsidRPr="00122A17">
        <w:rPr>
          <w:rFonts w:ascii="Calibri" w:eastAsia="Calibri" w:hAnsi="Calibri" w:cs="Calibri"/>
          <w:u w:val="single"/>
        </w:rPr>
        <w:t>M</w:t>
      </w:r>
      <w:r>
        <w:rPr>
          <w:rFonts w:ascii="Calibri" w:eastAsia="Calibri" w:hAnsi="Calibri" w:cs="Calibri"/>
          <w:u w:val="single"/>
        </w:rPr>
        <w:t>agnetic resonance imaging</w:t>
      </w:r>
      <w:r>
        <w:rPr>
          <w:rFonts w:ascii="Calibri" w:eastAsia="Calibri" w:hAnsi="Calibri" w:cs="Calibri"/>
        </w:rPr>
        <w:t>: MR images were obtained on two 3</w:t>
      </w:r>
      <w:r>
        <w:rPr>
          <w:rFonts w:ascii="Calibri" w:eastAsia="Calibri" w:hAnsi="Calibri" w:cs="Calibri"/>
          <w:lang w:val="it-IT"/>
        </w:rPr>
        <w:t>T scanner</w:t>
      </w:r>
      <w:r>
        <w:rPr>
          <w:rFonts w:ascii="Calibri" w:eastAsia="Calibri" w:hAnsi="Calibri" w:cs="Calibri"/>
        </w:rPr>
        <w:t>s with identical scanning protocols at both sites. Each optic nerve was imaged separately and for all acquisitions the imaging plane for the optic nerves was set orthogonal to the longitudinal axis of the nerve.</w:t>
      </w:r>
    </w:p>
    <w:p w14:paraId="3900E461" w14:textId="23DBFE22" w:rsidR="00BC3BC0" w:rsidRDefault="002460D7" w:rsidP="007A26D6">
      <w:pPr>
        <w:pStyle w:val="Body"/>
        <w:jc w:val="both"/>
        <w:rPr>
          <w:rFonts w:ascii="Calibri" w:hAnsi="Calibri"/>
        </w:rPr>
      </w:pPr>
      <w:r>
        <w:rPr>
          <w:rFonts w:ascii="Calibri" w:eastAsia="Calibri" w:hAnsi="Calibri" w:cs="Calibri"/>
        </w:rPr>
        <w:t>The following sequences were performed: 1) A multi-dynamic fat-suppressed heavily T2-weighted multi-slice “single-shot” two-dimensional (2D) turbo spin echo (TSE</w:t>
      </w:r>
      <w:proofErr w:type="gramStart"/>
      <w:r>
        <w:rPr>
          <w:rFonts w:ascii="Calibri" w:eastAsia="Calibri" w:hAnsi="Calibri" w:cs="Calibri"/>
        </w:rPr>
        <w:t>)</w:t>
      </w:r>
      <w:r w:rsidRPr="005E29B0">
        <w:rPr>
          <w:rFonts w:ascii="Calibri" w:eastAsia="Calibri" w:hAnsi="Calibri" w:cs="Calibri"/>
          <w:vertAlign w:val="superscript"/>
        </w:rPr>
        <w:t>1</w:t>
      </w:r>
      <w:r w:rsidR="00E44756">
        <w:rPr>
          <w:rFonts w:ascii="Calibri" w:eastAsia="Calibri" w:hAnsi="Calibri" w:cs="Calibri"/>
          <w:vertAlign w:val="superscript"/>
        </w:rPr>
        <w:t>8</w:t>
      </w:r>
      <w:proofErr w:type="gramEnd"/>
      <w:r w:rsidR="001F2F8C">
        <w:rPr>
          <w:rFonts w:ascii="Calibri" w:eastAsia="Calibri" w:hAnsi="Calibri" w:cs="Calibri"/>
        </w:rPr>
        <w:t>;</w:t>
      </w:r>
      <w:r>
        <w:rPr>
          <w:rFonts w:ascii="Calibri" w:eastAsia="Calibri" w:hAnsi="Calibri" w:cs="Calibri"/>
        </w:rPr>
        <w:t xml:space="preserve"> 2) </w:t>
      </w:r>
      <w:r w:rsidR="001F2F8C">
        <w:rPr>
          <w:rFonts w:ascii="Calibri" w:eastAsia="Calibri" w:hAnsi="Calibri" w:cs="Calibri"/>
        </w:rPr>
        <w:t>a</w:t>
      </w:r>
      <w:r>
        <w:rPr>
          <w:rFonts w:ascii="Calibri" w:eastAsia="Calibri" w:hAnsi="Calibri" w:cs="Calibri"/>
        </w:rPr>
        <w:t xml:space="preserve"> conventional fat-suppressed T2-weighted 2D-TSE</w:t>
      </w:r>
      <w:r w:rsidR="001F2F8C">
        <w:rPr>
          <w:rFonts w:ascii="Calibri" w:eastAsia="Calibri" w:hAnsi="Calibri" w:cs="Calibri"/>
        </w:rPr>
        <w:t>;</w:t>
      </w:r>
      <w:r w:rsidR="004519A4">
        <w:rPr>
          <w:rFonts w:ascii="Calibri" w:eastAsia="Calibri" w:hAnsi="Calibri" w:cs="Calibri"/>
        </w:rPr>
        <w:t xml:space="preserve"> </w:t>
      </w:r>
      <w:r>
        <w:rPr>
          <w:rFonts w:ascii="Calibri" w:eastAsia="Calibri" w:hAnsi="Calibri" w:cs="Calibri"/>
        </w:rPr>
        <w:t xml:space="preserve">3) </w:t>
      </w:r>
      <w:r w:rsidR="004519A4">
        <w:rPr>
          <w:rFonts w:ascii="Calibri" w:eastAsia="Calibri" w:hAnsi="Calibri" w:cs="Calibri"/>
        </w:rPr>
        <w:t>a</w:t>
      </w:r>
      <w:r>
        <w:rPr>
          <w:rFonts w:ascii="Calibri" w:eastAsia="Calibri" w:hAnsi="Calibri" w:cs="Calibri"/>
        </w:rPr>
        <w:t xml:space="preserve"> T1-weighted fluid attenuated inversion recovery (FLAIR) 2D-TSE.</w:t>
      </w:r>
      <w:r w:rsidR="001F2F8C">
        <w:rPr>
          <w:rFonts w:ascii="Calibri" w:eastAsia="Calibri" w:hAnsi="Calibri" w:cs="Calibri"/>
        </w:rPr>
        <w:t xml:space="preserve"> </w:t>
      </w:r>
      <w:r>
        <w:rPr>
          <w:rFonts w:ascii="Calibri" w:eastAsia="Calibri" w:hAnsi="Calibri" w:cs="Calibri"/>
        </w:rPr>
        <w:t>Lesion length and position w</w:t>
      </w:r>
      <w:r w:rsidR="004519A4">
        <w:rPr>
          <w:rFonts w:ascii="Calibri" w:eastAsia="Calibri" w:hAnsi="Calibri" w:cs="Calibri"/>
        </w:rPr>
        <w:t>ere</w:t>
      </w:r>
      <w:r>
        <w:rPr>
          <w:rFonts w:ascii="Calibri" w:eastAsia="Calibri" w:hAnsi="Calibri" w:cs="Calibri"/>
        </w:rPr>
        <w:t xml:space="preserve"> </w:t>
      </w:r>
      <w:r w:rsidR="004519A4">
        <w:rPr>
          <w:rFonts w:ascii="Calibri" w:eastAsia="Calibri" w:hAnsi="Calibri" w:cs="Calibri"/>
        </w:rPr>
        <w:t>measured</w:t>
      </w:r>
      <w:r>
        <w:rPr>
          <w:rFonts w:ascii="Calibri" w:eastAsia="Calibri" w:hAnsi="Calibri" w:cs="Calibri"/>
        </w:rPr>
        <w:t xml:space="preserve"> by three </w:t>
      </w:r>
      <w:r w:rsidR="001F2F8C">
        <w:rPr>
          <w:rFonts w:ascii="Calibri" w:eastAsia="Calibri" w:hAnsi="Calibri" w:cs="Calibri"/>
        </w:rPr>
        <w:t xml:space="preserve">independent </w:t>
      </w:r>
      <w:r>
        <w:rPr>
          <w:rFonts w:ascii="Calibri" w:eastAsia="Calibri" w:hAnsi="Calibri" w:cs="Calibri"/>
        </w:rPr>
        <w:t xml:space="preserve">assessors </w:t>
      </w:r>
      <w:r w:rsidR="004D59AA">
        <w:rPr>
          <w:rFonts w:ascii="Calibri" w:eastAsia="Calibri" w:hAnsi="Calibri" w:cs="Calibri"/>
        </w:rPr>
        <w:t xml:space="preserve">(RR, AT, MY) </w:t>
      </w:r>
      <w:r w:rsidR="001F2F8C">
        <w:rPr>
          <w:rFonts w:ascii="Calibri" w:eastAsia="Calibri" w:hAnsi="Calibri" w:cs="Calibri"/>
        </w:rPr>
        <w:t>masked</w:t>
      </w:r>
      <w:r>
        <w:rPr>
          <w:rFonts w:ascii="Calibri" w:eastAsia="Calibri" w:hAnsi="Calibri" w:cs="Calibri"/>
        </w:rPr>
        <w:t xml:space="preserve"> to treatment allocation and participant identity</w:t>
      </w:r>
      <w:r w:rsidR="007A26D6">
        <w:rPr>
          <w:rFonts w:ascii="Calibri" w:eastAsia="Calibri" w:hAnsi="Calibri" w:cs="Calibri"/>
        </w:rPr>
        <w:t>,</w:t>
      </w:r>
      <w:r>
        <w:rPr>
          <w:rFonts w:ascii="Calibri" w:eastAsia="Calibri" w:hAnsi="Calibri" w:cs="Calibri"/>
        </w:rPr>
        <w:t xml:space="preserve"> using a combination of the conventional and </w:t>
      </w:r>
      <w:proofErr w:type="spellStart"/>
      <w:r>
        <w:rPr>
          <w:rFonts w:ascii="Calibri" w:eastAsia="Calibri" w:hAnsi="Calibri" w:cs="Calibri"/>
        </w:rPr>
        <w:t>multidynamic</w:t>
      </w:r>
      <w:proofErr w:type="spellEnd"/>
      <w:r>
        <w:rPr>
          <w:rFonts w:ascii="Calibri" w:eastAsia="Calibri" w:hAnsi="Calibri" w:cs="Calibri"/>
        </w:rPr>
        <w:t xml:space="preserve"> T2 weighted sequences</w:t>
      </w:r>
      <w:r w:rsidR="004D59AA">
        <w:rPr>
          <w:rFonts w:ascii="Calibri" w:eastAsia="Calibri" w:hAnsi="Calibri" w:cs="Calibri"/>
        </w:rPr>
        <w:t>, and</w:t>
      </w:r>
      <w:r w:rsidR="008F7072">
        <w:rPr>
          <w:rFonts w:ascii="Calibri" w:eastAsia="Calibri" w:hAnsi="Calibri" w:cs="Calibri"/>
        </w:rPr>
        <w:t xml:space="preserve"> rare discrepancies </w:t>
      </w:r>
      <w:r w:rsidR="00CB52A1">
        <w:rPr>
          <w:rFonts w:ascii="Calibri" w:eastAsia="Calibri" w:hAnsi="Calibri" w:cs="Calibri"/>
        </w:rPr>
        <w:t>were resolved by consensus, still based on</w:t>
      </w:r>
      <w:r w:rsidR="008F7072">
        <w:rPr>
          <w:rFonts w:ascii="Calibri" w:eastAsia="Calibri" w:hAnsi="Calibri" w:cs="Calibri"/>
        </w:rPr>
        <w:t xml:space="preserve">  the blinded data.</w:t>
      </w:r>
      <w:r>
        <w:rPr>
          <w:rFonts w:ascii="Calibri" w:eastAsia="Calibri" w:hAnsi="Calibri" w:cs="Calibri"/>
        </w:rPr>
        <w:t xml:space="preserve"> </w:t>
      </w:r>
      <w:r w:rsidR="009F50BF" w:rsidRPr="00873B88">
        <w:rPr>
          <w:rFonts w:ascii="Calibri" w:hAnsi="Calibri"/>
        </w:rPr>
        <w:t xml:space="preserve">Mean optic nerve cross-sectional area was </w:t>
      </w:r>
      <w:r w:rsidR="00AF1351" w:rsidRPr="00873B88">
        <w:rPr>
          <w:rFonts w:ascii="Calibri" w:hAnsi="Calibri"/>
        </w:rPr>
        <w:t>measured</w:t>
      </w:r>
      <w:r w:rsidR="009F50BF" w:rsidRPr="00873B88">
        <w:rPr>
          <w:rFonts w:ascii="Calibri" w:hAnsi="Calibri"/>
        </w:rPr>
        <w:t xml:space="preserve"> by a blinded assessor using </w:t>
      </w:r>
      <w:r w:rsidR="006359DE">
        <w:rPr>
          <w:rFonts w:ascii="Calibri" w:hAnsi="Calibri"/>
        </w:rPr>
        <w:t xml:space="preserve">a </w:t>
      </w:r>
      <w:r w:rsidR="009F50BF" w:rsidRPr="00873B88">
        <w:rPr>
          <w:rFonts w:ascii="Calibri" w:hAnsi="Calibri"/>
        </w:rPr>
        <w:t>semi</w:t>
      </w:r>
      <w:r w:rsidR="009063F6">
        <w:rPr>
          <w:rFonts w:ascii="Calibri" w:hAnsi="Calibri"/>
        </w:rPr>
        <w:t>-</w:t>
      </w:r>
      <w:r w:rsidR="009F50BF" w:rsidRPr="00873B88">
        <w:rPr>
          <w:rFonts w:ascii="Calibri" w:hAnsi="Calibri"/>
        </w:rPr>
        <w:t xml:space="preserve">automated contouring technique on the baseline and </w:t>
      </w:r>
      <w:r w:rsidR="00997795">
        <w:rPr>
          <w:rFonts w:ascii="Calibri" w:hAnsi="Calibri"/>
        </w:rPr>
        <w:t>six</w:t>
      </w:r>
      <w:r w:rsidR="00136525">
        <w:rPr>
          <w:rFonts w:ascii="Calibri" w:hAnsi="Calibri"/>
        </w:rPr>
        <w:t>-</w:t>
      </w:r>
      <w:r w:rsidR="009F50BF" w:rsidRPr="00873B88">
        <w:rPr>
          <w:rFonts w:ascii="Calibri" w:hAnsi="Calibri"/>
        </w:rPr>
        <w:t xml:space="preserve">month T1 weighted images. </w:t>
      </w:r>
      <w:r w:rsidR="00997795">
        <w:rPr>
          <w:rFonts w:ascii="Calibri" w:hAnsi="Calibri"/>
        </w:rPr>
        <w:t xml:space="preserve">Mean </w:t>
      </w:r>
      <w:proofErr w:type="spellStart"/>
      <w:r w:rsidR="00997795">
        <w:rPr>
          <w:rFonts w:ascii="Calibri" w:hAnsi="Calibri"/>
        </w:rPr>
        <w:t>lesional</w:t>
      </w:r>
      <w:proofErr w:type="spellEnd"/>
      <w:r w:rsidR="00997795">
        <w:rPr>
          <w:rFonts w:ascii="Calibri" w:hAnsi="Calibri"/>
        </w:rPr>
        <w:t xml:space="preserve"> baseline and six-month cross-sectional areas were calculated by registering a baseline T2 lesion mask to the six-month T1 scan</w:t>
      </w:r>
      <w:r w:rsidR="007A26D6">
        <w:rPr>
          <w:rFonts w:ascii="Calibri" w:hAnsi="Calibri"/>
        </w:rPr>
        <w:t xml:space="preserve">. </w:t>
      </w:r>
      <w:r w:rsidR="009F50BF" w:rsidRPr="00873B88">
        <w:rPr>
          <w:rFonts w:ascii="Calibri" w:hAnsi="Calibri"/>
        </w:rPr>
        <w:t xml:space="preserve">Measurements were corrected for the corresponding </w:t>
      </w:r>
      <w:r w:rsidR="009F50BF" w:rsidRPr="00873B88">
        <w:rPr>
          <w:rFonts w:ascii="Calibri" w:hAnsi="Calibri"/>
        </w:rPr>
        <w:lastRenderedPageBreak/>
        <w:t>baseline mean ‘non–</w:t>
      </w:r>
      <w:proofErr w:type="spellStart"/>
      <w:r w:rsidR="009F50BF" w:rsidRPr="00873B88">
        <w:rPr>
          <w:rFonts w:ascii="Calibri" w:hAnsi="Calibri"/>
        </w:rPr>
        <w:t>lesional</w:t>
      </w:r>
      <w:proofErr w:type="spellEnd"/>
      <w:r w:rsidR="009F50BF" w:rsidRPr="00873B88">
        <w:rPr>
          <w:rFonts w:ascii="Calibri" w:hAnsi="Calibri"/>
        </w:rPr>
        <w:t>’ cross-sectional area in the unaffected eye by applying the T2 lesion mask to baseline unaffected eye T1 images</w:t>
      </w:r>
      <w:r w:rsidR="00BC3BC0">
        <w:rPr>
          <w:rFonts w:ascii="Calibri" w:hAnsi="Calibri"/>
        </w:rPr>
        <w:t>.</w:t>
      </w:r>
    </w:p>
    <w:p w14:paraId="0348690B" w14:textId="77777777" w:rsidR="00B6584E" w:rsidRDefault="00D025FC" w:rsidP="001607D9">
      <w:pPr>
        <w:pStyle w:val="Body"/>
        <w:widowControl w:val="0"/>
        <w:jc w:val="both"/>
        <w:rPr>
          <w:rFonts w:ascii="Calibri" w:eastAsia="Calibri" w:hAnsi="Calibri" w:cs="Calibri"/>
        </w:rPr>
      </w:pPr>
      <w:r w:rsidRPr="00122A17">
        <w:rPr>
          <w:rFonts w:ascii="Calibri" w:eastAsia="Calibri" w:hAnsi="Calibri" w:cs="Calibri"/>
          <w:u w:val="single"/>
        </w:rPr>
        <w:t>Vision</w:t>
      </w:r>
      <w:r>
        <w:rPr>
          <w:rFonts w:ascii="Calibri" w:eastAsia="Calibri" w:hAnsi="Calibri" w:cs="Calibri"/>
        </w:rPr>
        <w:t xml:space="preserve">: </w:t>
      </w:r>
      <w:r w:rsidR="009F50BF">
        <w:rPr>
          <w:rFonts w:ascii="Calibri" w:eastAsia="Calibri" w:hAnsi="Calibri" w:cs="Calibri"/>
        </w:rPr>
        <w:t>Low contrast letter scores were measured using retro-illuminated 1</w:t>
      </w:r>
      <w:r w:rsidR="00FD7C53">
        <w:rPr>
          <w:rFonts w:ascii="Calibri" w:eastAsia="Calibri" w:hAnsi="Calibri" w:cs="Calibri"/>
        </w:rPr>
        <w:t>·</w:t>
      </w:r>
      <w:r w:rsidR="009F50BF">
        <w:rPr>
          <w:rFonts w:ascii="Calibri" w:eastAsia="Calibri" w:hAnsi="Calibri" w:cs="Calibri"/>
        </w:rPr>
        <w:t>25% and 2</w:t>
      </w:r>
      <w:r w:rsidR="00FD7C53">
        <w:rPr>
          <w:rFonts w:ascii="Calibri" w:eastAsia="Calibri" w:hAnsi="Calibri" w:cs="Calibri"/>
        </w:rPr>
        <w:t>·</w:t>
      </w:r>
      <w:r w:rsidR="009F50BF">
        <w:rPr>
          <w:rFonts w:ascii="Calibri" w:eastAsia="Calibri" w:hAnsi="Calibri" w:cs="Calibri"/>
        </w:rPr>
        <w:t xml:space="preserve">5% Sloan charts (Precision Vision, La Salle, IL) using best refractive correction for each eye at </w:t>
      </w:r>
      <w:r w:rsidR="00122A17">
        <w:rPr>
          <w:rFonts w:ascii="Calibri" w:eastAsia="Calibri" w:hAnsi="Calibri" w:cs="Calibri"/>
        </w:rPr>
        <w:t>two metres</w:t>
      </w:r>
      <w:r w:rsidR="009F50BF">
        <w:rPr>
          <w:rFonts w:ascii="Calibri" w:eastAsia="Calibri" w:hAnsi="Calibri" w:cs="Calibri"/>
        </w:rPr>
        <w:t xml:space="preserve">. Best corrected high contrast </w:t>
      </w:r>
      <w:proofErr w:type="spellStart"/>
      <w:r w:rsidR="009F50BF">
        <w:rPr>
          <w:rFonts w:ascii="Calibri" w:eastAsia="Calibri" w:hAnsi="Calibri" w:cs="Calibri"/>
        </w:rPr>
        <w:t>logMAR</w:t>
      </w:r>
      <w:proofErr w:type="spellEnd"/>
      <w:r w:rsidR="009F50BF">
        <w:rPr>
          <w:rFonts w:ascii="Calibri" w:eastAsia="Calibri" w:hAnsi="Calibri" w:cs="Calibri"/>
        </w:rPr>
        <w:t xml:space="preserve"> visual acuity was measured using retro-illuminated </w:t>
      </w:r>
      <w:r w:rsidR="009F50BF" w:rsidRPr="00D7351D">
        <w:rPr>
          <w:rFonts w:ascii="Calibri" w:eastAsia="Calibri" w:hAnsi="Calibri" w:cs="Calibri"/>
        </w:rPr>
        <w:t>Early Treatment Diabetic Retinopathy Study</w:t>
      </w:r>
      <w:r w:rsidR="009F50BF">
        <w:rPr>
          <w:rFonts w:ascii="Calibri" w:eastAsia="Calibri" w:hAnsi="Calibri" w:cs="Calibri"/>
        </w:rPr>
        <w:t xml:space="preserve"> charts at 4m. When no letters could be correctly identified a score of 1</w:t>
      </w:r>
      <w:r w:rsidR="00FD7C53">
        <w:rPr>
          <w:rFonts w:ascii="Calibri" w:eastAsia="Calibri" w:hAnsi="Calibri" w:cs="Calibri"/>
        </w:rPr>
        <w:t>·</w:t>
      </w:r>
      <w:r w:rsidR="009F50BF">
        <w:rPr>
          <w:rFonts w:ascii="Calibri" w:eastAsia="Calibri" w:hAnsi="Calibri" w:cs="Calibri"/>
        </w:rPr>
        <w:t>7 was assigned. Colo</w:t>
      </w:r>
      <w:r w:rsidR="00122A17">
        <w:rPr>
          <w:rFonts w:ascii="Calibri" w:eastAsia="Calibri" w:hAnsi="Calibri" w:cs="Calibri"/>
        </w:rPr>
        <w:t>u</w:t>
      </w:r>
      <w:r w:rsidR="009F50BF">
        <w:rPr>
          <w:rFonts w:ascii="Calibri" w:eastAsia="Calibri" w:hAnsi="Calibri" w:cs="Calibri"/>
        </w:rPr>
        <w:t xml:space="preserve">r vision was assessed using the Farnsworth </w:t>
      </w:r>
      <w:proofErr w:type="spellStart"/>
      <w:r w:rsidR="009F50BF">
        <w:rPr>
          <w:rFonts w:ascii="Calibri" w:eastAsia="Calibri" w:hAnsi="Calibri" w:cs="Calibri"/>
        </w:rPr>
        <w:t>Munsell</w:t>
      </w:r>
      <w:proofErr w:type="spellEnd"/>
      <w:r w:rsidR="009F50BF">
        <w:rPr>
          <w:rFonts w:ascii="Calibri" w:eastAsia="Calibri" w:hAnsi="Calibri" w:cs="Calibri"/>
        </w:rPr>
        <w:t xml:space="preserve"> 100 Hue test and recorded as the total error score.  This was assessed under standard daylight conditions using daylight linear full spectrum bulbs with a colour temperature of 6,500K in </w:t>
      </w:r>
      <w:r w:rsidR="00C14376">
        <w:rPr>
          <w:rFonts w:ascii="Calibri" w:eastAsia="Calibri" w:hAnsi="Calibri" w:cs="Calibri"/>
        </w:rPr>
        <w:t>participant</w:t>
      </w:r>
      <w:r w:rsidR="009F50BF">
        <w:rPr>
          <w:rFonts w:ascii="Calibri" w:eastAsia="Calibri" w:hAnsi="Calibri" w:cs="Calibri"/>
        </w:rPr>
        <w:t xml:space="preserve">s with a </w:t>
      </w:r>
      <w:proofErr w:type="spellStart"/>
      <w:r w:rsidR="009F50BF">
        <w:rPr>
          <w:rFonts w:ascii="Calibri" w:eastAsia="Calibri" w:hAnsi="Calibri" w:cs="Calibri"/>
        </w:rPr>
        <w:t>logMAR</w:t>
      </w:r>
      <w:proofErr w:type="spellEnd"/>
      <w:r w:rsidR="009F50BF">
        <w:rPr>
          <w:rFonts w:ascii="Calibri" w:eastAsia="Calibri" w:hAnsi="Calibri" w:cs="Calibri"/>
        </w:rPr>
        <w:t xml:space="preserve"> visual acuity better than 1</w:t>
      </w:r>
      <w:r w:rsidR="00FD7C53" w:rsidRPr="00494DC3">
        <w:rPr>
          <w:rFonts w:ascii="Calibri" w:eastAsia="Calibri" w:hAnsi="Calibri" w:cs="Calibri"/>
        </w:rPr>
        <w:t>·</w:t>
      </w:r>
      <w:r w:rsidR="009F50BF" w:rsidRPr="00494DC3">
        <w:rPr>
          <w:rFonts w:ascii="Calibri" w:eastAsia="Calibri" w:hAnsi="Calibri" w:cs="Calibri"/>
        </w:rPr>
        <w:t>0</w:t>
      </w:r>
      <w:r w:rsidR="00494DC3" w:rsidRPr="00494DC3">
        <w:rPr>
          <w:rFonts w:ascii="Calibri" w:eastAsia="Calibri" w:hAnsi="Calibri" w:cs="Calibri"/>
        </w:rPr>
        <w:t>.</w:t>
      </w:r>
    </w:p>
    <w:p w14:paraId="660C658D" w14:textId="1F50B7C9" w:rsidR="001607D9" w:rsidRPr="003D6F74" w:rsidRDefault="00D025FC" w:rsidP="001607D9">
      <w:pPr>
        <w:pStyle w:val="Body"/>
        <w:widowControl w:val="0"/>
        <w:jc w:val="both"/>
        <w:rPr>
          <w:rFonts w:ascii="Calibri" w:eastAsia="Calibri" w:hAnsi="Calibri" w:cs="Calibri"/>
          <w:u w:val="single"/>
          <w:lang w:val="en-US"/>
        </w:rPr>
      </w:pPr>
      <w:r w:rsidRPr="00122A17">
        <w:rPr>
          <w:rFonts w:ascii="Calibri" w:eastAsia="Calibri" w:hAnsi="Calibri" w:cs="Calibri"/>
          <w:u w:val="single"/>
        </w:rPr>
        <w:t>V</w:t>
      </w:r>
      <w:r w:rsidR="001B68CE">
        <w:rPr>
          <w:rFonts w:ascii="Calibri" w:eastAsia="Calibri" w:hAnsi="Calibri" w:cs="Calibri"/>
          <w:u w:val="single"/>
        </w:rPr>
        <w:t>isual evoked potential</w:t>
      </w:r>
      <w:r w:rsidR="001B68CE">
        <w:rPr>
          <w:rFonts w:ascii="Calibri" w:eastAsia="Calibri" w:hAnsi="Calibri" w:cs="Calibri"/>
        </w:rPr>
        <w:t xml:space="preserve">: </w:t>
      </w:r>
      <w:r w:rsidR="009F50BF">
        <w:rPr>
          <w:rFonts w:ascii="Calibri" w:eastAsia="Calibri" w:hAnsi="Calibri" w:cs="Calibri"/>
        </w:rPr>
        <w:t xml:space="preserve">VEPs </w:t>
      </w:r>
      <w:r w:rsidR="00DF49C2">
        <w:rPr>
          <w:rFonts w:ascii="Calibri" w:eastAsia="Calibri" w:hAnsi="Calibri" w:cs="Calibri"/>
        </w:rPr>
        <w:t xml:space="preserve">to reversal achromatic checks (subtending 15 </w:t>
      </w:r>
      <w:proofErr w:type="spellStart"/>
      <w:r w:rsidR="00DF49C2">
        <w:rPr>
          <w:rFonts w:ascii="Calibri" w:eastAsia="Calibri" w:hAnsi="Calibri" w:cs="Calibri"/>
        </w:rPr>
        <w:t>mins</w:t>
      </w:r>
      <w:proofErr w:type="spellEnd"/>
      <w:r w:rsidR="00DF49C2">
        <w:rPr>
          <w:rFonts w:ascii="Calibri" w:eastAsia="Calibri" w:hAnsi="Calibri" w:cs="Calibri"/>
        </w:rPr>
        <w:t xml:space="preserve"> of arc visual angle) were recorded at</w:t>
      </w:r>
      <w:r w:rsidR="009F50BF">
        <w:rPr>
          <w:rFonts w:ascii="Calibri" w:eastAsia="Calibri" w:hAnsi="Calibri" w:cs="Calibri"/>
        </w:rPr>
        <w:t xml:space="preserve"> both sites </w:t>
      </w:r>
      <w:r w:rsidR="00DF49C2">
        <w:rPr>
          <w:rFonts w:ascii="Calibri" w:eastAsia="Calibri" w:hAnsi="Calibri" w:cs="Calibri"/>
        </w:rPr>
        <w:t xml:space="preserve">according to </w:t>
      </w:r>
      <w:r w:rsidR="009F50BF">
        <w:rPr>
          <w:rFonts w:ascii="Calibri" w:eastAsia="Calibri" w:hAnsi="Calibri" w:cs="Calibri"/>
        </w:rPr>
        <w:t>International Federation of Neurophysiology guidelines on a Synergy system</w:t>
      </w:r>
      <w:r w:rsidR="00DF49C2">
        <w:rPr>
          <w:rFonts w:ascii="Calibri" w:eastAsia="Calibri" w:hAnsi="Calibri" w:cs="Calibri"/>
        </w:rPr>
        <w:t xml:space="preserve"> </w:t>
      </w:r>
      <w:r w:rsidR="009F50BF">
        <w:rPr>
          <w:rFonts w:ascii="Calibri" w:eastAsia="Calibri" w:hAnsi="Calibri" w:cs="Calibri"/>
        </w:rPr>
        <w:t xml:space="preserve">in standard background office lighting. Responses were recorded from Oz using </w:t>
      </w:r>
      <w:proofErr w:type="spellStart"/>
      <w:r w:rsidR="009F50BF">
        <w:rPr>
          <w:rFonts w:ascii="Calibri" w:eastAsia="Calibri" w:hAnsi="Calibri" w:cs="Calibri"/>
        </w:rPr>
        <w:t>Fz</w:t>
      </w:r>
      <w:proofErr w:type="spellEnd"/>
      <w:r w:rsidR="009F50BF">
        <w:rPr>
          <w:rFonts w:ascii="Calibri" w:eastAsia="Calibri" w:hAnsi="Calibri" w:cs="Calibri"/>
        </w:rPr>
        <w:t xml:space="preserve"> as </w:t>
      </w:r>
      <w:r w:rsidR="009F50BF" w:rsidRPr="002C1FE7">
        <w:rPr>
          <w:rFonts w:ascii="Calibri" w:eastAsia="Calibri" w:hAnsi="Calibri" w:cs="Calibri"/>
        </w:rPr>
        <w:t xml:space="preserve">reference and </w:t>
      </w:r>
      <w:proofErr w:type="spellStart"/>
      <w:proofErr w:type="gramStart"/>
      <w:r w:rsidR="009F50BF" w:rsidRPr="002C1FE7">
        <w:rPr>
          <w:rFonts w:ascii="Calibri" w:eastAsia="Calibri" w:hAnsi="Calibri" w:cs="Calibri"/>
        </w:rPr>
        <w:t>Cz</w:t>
      </w:r>
      <w:proofErr w:type="spellEnd"/>
      <w:proofErr w:type="gramEnd"/>
      <w:r w:rsidR="009F50BF" w:rsidRPr="002C1FE7">
        <w:rPr>
          <w:rFonts w:ascii="Calibri" w:eastAsia="Calibri" w:hAnsi="Calibri" w:cs="Calibri"/>
        </w:rPr>
        <w:t xml:space="preserve"> </w:t>
      </w:r>
      <w:r w:rsidR="009F50BF">
        <w:rPr>
          <w:rFonts w:ascii="Calibri" w:eastAsia="Calibri" w:hAnsi="Calibri" w:cs="Calibri"/>
        </w:rPr>
        <w:t>as ground</w:t>
      </w:r>
      <w:r w:rsidR="00DF49C2">
        <w:rPr>
          <w:rFonts w:ascii="Calibri" w:eastAsia="Calibri" w:hAnsi="Calibri" w:cs="Calibri"/>
        </w:rPr>
        <w:t>.</w:t>
      </w:r>
      <w:r w:rsidR="009F50BF">
        <w:rPr>
          <w:rFonts w:ascii="Calibri" w:eastAsia="Calibri" w:hAnsi="Calibri" w:cs="Calibri"/>
        </w:rPr>
        <w:t xml:space="preserve"> </w:t>
      </w:r>
      <w:r w:rsidR="001E09DF">
        <w:rPr>
          <w:rFonts w:ascii="Calibri" w:eastAsia="Calibri" w:hAnsi="Calibri" w:cs="Calibri"/>
        </w:rPr>
        <w:t>Latency and amplitude of the P100 component were measured to one decimal place in the replicates.</w:t>
      </w:r>
      <w:r w:rsidR="009F50BF">
        <w:rPr>
          <w:rFonts w:ascii="Calibri" w:eastAsia="Calibri" w:hAnsi="Calibri" w:cs="Calibri"/>
        </w:rPr>
        <w:t xml:space="preserve"> </w:t>
      </w:r>
      <w:r w:rsidR="0008238D">
        <w:rPr>
          <w:rFonts w:asciiTheme="majorHAnsi" w:hAnsiTheme="majorHAnsi"/>
        </w:rPr>
        <w:t>Participants</w:t>
      </w:r>
      <w:r w:rsidR="009F50BF" w:rsidRPr="00870373">
        <w:rPr>
          <w:rFonts w:asciiTheme="majorHAnsi" w:hAnsiTheme="majorHAnsi"/>
        </w:rPr>
        <w:t xml:space="preserve"> with</w:t>
      </w:r>
      <w:r w:rsidR="009F50BF">
        <w:rPr>
          <w:rFonts w:asciiTheme="majorHAnsi" w:hAnsiTheme="majorHAnsi"/>
        </w:rPr>
        <w:t xml:space="preserve"> absent VEP</w:t>
      </w:r>
      <w:r w:rsidR="009F50BF" w:rsidRPr="00870373">
        <w:rPr>
          <w:rFonts w:asciiTheme="majorHAnsi" w:hAnsiTheme="majorHAnsi"/>
        </w:rPr>
        <w:t xml:space="preserve"> </w:t>
      </w:r>
      <w:r w:rsidR="009F50BF">
        <w:rPr>
          <w:rFonts w:asciiTheme="majorHAnsi" w:hAnsiTheme="majorHAnsi"/>
        </w:rPr>
        <w:t xml:space="preserve">latencies or amplitudes </w:t>
      </w:r>
      <w:r w:rsidR="009F50BF" w:rsidRPr="00870373">
        <w:rPr>
          <w:rFonts w:asciiTheme="majorHAnsi" w:hAnsiTheme="majorHAnsi"/>
        </w:rPr>
        <w:t xml:space="preserve">were assigned </w:t>
      </w:r>
      <w:r w:rsidR="009F50BF">
        <w:rPr>
          <w:rFonts w:asciiTheme="majorHAnsi" w:hAnsiTheme="majorHAnsi"/>
        </w:rPr>
        <w:t xml:space="preserve">a value of 200 and 0 respectively. At baseline </w:t>
      </w:r>
      <w:r w:rsidR="009F50BF" w:rsidRPr="00077453">
        <w:rPr>
          <w:rFonts w:ascii="Calibri" w:eastAsia="Calibri" w:hAnsi="Calibri" w:cs="Calibri"/>
        </w:rPr>
        <w:t xml:space="preserve">20 </w:t>
      </w:r>
      <w:r w:rsidR="009F50BF">
        <w:rPr>
          <w:rFonts w:ascii="Calibri" w:eastAsia="Calibri" w:hAnsi="Calibri" w:cs="Calibri"/>
        </w:rPr>
        <w:t xml:space="preserve">affected eyes </w:t>
      </w:r>
      <w:r w:rsidR="009F50BF" w:rsidRPr="00077453">
        <w:rPr>
          <w:rFonts w:ascii="Calibri" w:eastAsia="Calibri" w:hAnsi="Calibri" w:cs="Calibri"/>
        </w:rPr>
        <w:t xml:space="preserve">in each group had their </w:t>
      </w:r>
      <w:r w:rsidR="009F50BF">
        <w:rPr>
          <w:rFonts w:ascii="Calibri" w:eastAsia="Calibri" w:hAnsi="Calibri" w:cs="Calibri"/>
        </w:rPr>
        <w:t xml:space="preserve">absent </w:t>
      </w:r>
      <w:r w:rsidR="009F50BF" w:rsidRPr="00077453">
        <w:rPr>
          <w:rFonts w:ascii="Calibri" w:eastAsia="Calibri" w:hAnsi="Calibri" w:cs="Calibri"/>
        </w:rPr>
        <w:t>VEP latenc</w:t>
      </w:r>
      <w:r w:rsidR="009F50BF">
        <w:rPr>
          <w:rFonts w:ascii="Calibri" w:eastAsia="Calibri" w:hAnsi="Calibri" w:cs="Calibri"/>
        </w:rPr>
        <w:t>ies</w:t>
      </w:r>
      <w:r w:rsidR="009F50BF" w:rsidRPr="00077453">
        <w:rPr>
          <w:rFonts w:ascii="Calibri" w:eastAsia="Calibri" w:hAnsi="Calibri" w:cs="Calibri"/>
        </w:rPr>
        <w:t xml:space="preserve"> and amplitude</w:t>
      </w:r>
      <w:r w:rsidR="009F50BF">
        <w:rPr>
          <w:rFonts w:ascii="Calibri" w:eastAsia="Calibri" w:hAnsi="Calibri" w:cs="Calibri"/>
        </w:rPr>
        <w:t>s</w:t>
      </w:r>
      <w:r w:rsidR="009F50BF" w:rsidRPr="00077453">
        <w:rPr>
          <w:rFonts w:ascii="Calibri" w:eastAsia="Calibri" w:hAnsi="Calibri" w:cs="Calibri"/>
        </w:rPr>
        <w:t xml:space="preserve"> replaced this way</w:t>
      </w:r>
      <w:r w:rsidR="009F50BF">
        <w:rPr>
          <w:rFonts w:ascii="Calibri" w:eastAsia="Calibri" w:hAnsi="Calibri" w:cs="Calibri"/>
        </w:rPr>
        <w:t xml:space="preserve"> and </w:t>
      </w:r>
      <w:r w:rsidR="009F50BF" w:rsidRPr="00077453">
        <w:rPr>
          <w:rFonts w:ascii="Calibri" w:eastAsia="Calibri" w:hAnsi="Calibri" w:cs="Calibri"/>
        </w:rPr>
        <w:t xml:space="preserve">none </w:t>
      </w:r>
      <w:r w:rsidR="001607D9">
        <w:rPr>
          <w:rFonts w:ascii="Calibri" w:eastAsia="Calibri" w:hAnsi="Calibri" w:cs="Calibri"/>
        </w:rPr>
        <w:t xml:space="preserve">in the </w:t>
      </w:r>
      <w:r w:rsidR="009F50BF" w:rsidRPr="00077453">
        <w:rPr>
          <w:rFonts w:ascii="Calibri" w:eastAsia="Calibri" w:hAnsi="Calibri" w:cs="Calibri"/>
        </w:rPr>
        <w:t xml:space="preserve">baseline unaffected eye. At </w:t>
      </w:r>
      <w:r w:rsidR="009F50BF">
        <w:rPr>
          <w:rFonts w:ascii="Calibri" w:eastAsia="Calibri" w:hAnsi="Calibri" w:cs="Calibri"/>
        </w:rPr>
        <w:t>6</w:t>
      </w:r>
      <w:r w:rsidR="009F50BF" w:rsidRPr="00077453">
        <w:rPr>
          <w:rFonts w:ascii="Calibri" w:eastAsia="Calibri" w:hAnsi="Calibri" w:cs="Calibri"/>
        </w:rPr>
        <w:t xml:space="preserve"> months this replacement was made in three </w:t>
      </w:r>
      <w:r w:rsidR="00C14376">
        <w:rPr>
          <w:rFonts w:ascii="Calibri" w:eastAsia="Calibri" w:hAnsi="Calibri" w:cs="Calibri"/>
        </w:rPr>
        <w:t>participant</w:t>
      </w:r>
      <w:r w:rsidR="009F50BF" w:rsidRPr="00077453">
        <w:rPr>
          <w:rFonts w:ascii="Calibri" w:eastAsia="Calibri" w:hAnsi="Calibri" w:cs="Calibri"/>
        </w:rPr>
        <w:t>s, all in the active group. Although the 200 value is arbitrary</w:t>
      </w:r>
      <w:r w:rsidR="009F50BF">
        <w:rPr>
          <w:rFonts w:ascii="Calibri" w:eastAsia="Calibri" w:hAnsi="Calibri" w:cs="Calibri"/>
        </w:rPr>
        <w:t>, it is higher than the highest measured value in the study – 188. I</w:t>
      </w:r>
      <w:r w:rsidR="009F50BF" w:rsidRPr="00077453">
        <w:rPr>
          <w:rFonts w:ascii="Calibri" w:eastAsia="Calibri" w:hAnsi="Calibri" w:cs="Calibri"/>
        </w:rPr>
        <w:t xml:space="preserve">t is </w:t>
      </w:r>
      <w:r w:rsidR="009F50BF">
        <w:rPr>
          <w:rFonts w:ascii="Calibri" w:eastAsia="Calibri" w:hAnsi="Calibri" w:cs="Calibri"/>
        </w:rPr>
        <w:t xml:space="preserve">therefore </w:t>
      </w:r>
      <w:r w:rsidR="009F50BF" w:rsidRPr="00077453">
        <w:rPr>
          <w:rFonts w:ascii="Calibri" w:eastAsia="Calibri" w:hAnsi="Calibri" w:cs="Calibri"/>
        </w:rPr>
        <w:t xml:space="preserve">conservative to </w:t>
      </w:r>
      <w:r w:rsidR="009F50BF">
        <w:rPr>
          <w:rFonts w:ascii="Calibri" w:eastAsia="Calibri" w:hAnsi="Calibri" w:cs="Calibri"/>
        </w:rPr>
        <w:t xml:space="preserve">include these values at 6 months rather than to exclude them which would have </w:t>
      </w:r>
      <w:r w:rsidR="009F50BF" w:rsidRPr="003D6F74">
        <w:rPr>
          <w:rFonts w:ascii="Calibri" w:eastAsia="Calibri" w:hAnsi="Calibri" w:cs="Calibri"/>
        </w:rPr>
        <w:t xml:space="preserve">reduced the mean latency of the active group. </w:t>
      </w:r>
    </w:p>
    <w:p w14:paraId="5795D074" w14:textId="04A0C039" w:rsidR="00873B88" w:rsidRPr="003D6F74" w:rsidRDefault="00674ADD" w:rsidP="001607D9">
      <w:pPr>
        <w:pStyle w:val="Body"/>
        <w:widowControl w:val="0"/>
        <w:jc w:val="both"/>
        <w:rPr>
          <w:rFonts w:ascii="Calibri" w:eastAsia="Calibri" w:hAnsi="Calibri" w:cs="Calibri"/>
        </w:rPr>
      </w:pPr>
      <w:r w:rsidRPr="003D6F74">
        <w:rPr>
          <w:rFonts w:ascii="Calibri" w:eastAsia="Calibri" w:hAnsi="Calibri" w:cs="Calibri"/>
          <w:u w:val="single"/>
          <w:lang w:val="en-US"/>
        </w:rPr>
        <w:t>Adverse events</w:t>
      </w:r>
      <w:r w:rsidRPr="003D6F74">
        <w:rPr>
          <w:rFonts w:ascii="Calibri" w:eastAsia="Calibri" w:hAnsi="Calibri" w:cs="Calibri"/>
          <w:lang w:val="en-US"/>
        </w:rPr>
        <w:t xml:space="preserve"> were recorded</w:t>
      </w:r>
      <w:r w:rsidR="00D025FC" w:rsidRPr="003D6F74">
        <w:rPr>
          <w:rFonts w:ascii="Calibri" w:eastAsia="Calibri" w:hAnsi="Calibri" w:cs="Calibri"/>
          <w:lang w:val="en-US"/>
        </w:rPr>
        <w:t>,</w:t>
      </w:r>
      <w:r w:rsidRPr="003D6F74">
        <w:rPr>
          <w:rFonts w:ascii="Calibri" w:eastAsia="Calibri" w:hAnsi="Calibri" w:cs="Calibri"/>
          <w:lang w:val="en-US"/>
        </w:rPr>
        <w:t xml:space="preserve"> </w:t>
      </w:r>
      <w:r w:rsidR="00DA4AC1" w:rsidRPr="003D6F74">
        <w:rPr>
          <w:rFonts w:ascii="Calibri" w:eastAsia="Calibri" w:hAnsi="Calibri" w:cs="Calibri"/>
          <w:lang w:val="en-US"/>
        </w:rPr>
        <w:t>and blood samples taken</w:t>
      </w:r>
      <w:r w:rsidR="001B68CE" w:rsidRPr="003D6F74">
        <w:rPr>
          <w:rFonts w:ascii="Calibri" w:eastAsia="Calibri" w:hAnsi="Calibri" w:cs="Calibri"/>
          <w:lang w:val="en-US"/>
        </w:rPr>
        <w:t xml:space="preserve"> at each study visit</w:t>
      </w:r>
      <w:r w:rsidR="00DA4AC1" w:rsidRPr="003D6F74">
        <w:rPr>
          <w:rFonts w:ascii="Calibri" w:eastAsia="Calibri" w:hAnsi="Calibri" w:cs="Calibri"/>
          <w:lang w:val="en-US"/>
        </w:rPr>
        <w:t xml:space="preserve"> </w:t>
      </w:r>
      <w:r w:rsidR="001B68CE" w:rsidRPr="003D6F74">
        <w:rPr>
          <w:rFonts w:ascii="Calibri" w:eastAsia="Calibri" w:hAnsi="Calibri" w:cs="Calibri"/>
          <w:lang w:val="en-US"/>
        </w:rPr>
        <w:t>to measure</w:t>
      </w:r>
      <w:r w:rsidR="00DA4AC1" w:rsidRPr="003D6F74">
        <w:rPr>
          <w:rFonts w:ascii="Calibri" w:eastAsia="Calibri" w:hAnsi="Calibri" w:cs="Calibri"/>
          <w:lang w:val="en-US"/>
        </w:rPr>
        <w:t xml:space="preserve"> full blood count, liver and renal function.</w:t>
      </w:r>
      <w:r w:rsidR="008C4FC2" w:rsidRPr="003D6F74">
        <w:rPr>
          <w:rFonts w:ascii="Calibri" w:eastAsia="Calibri" w:hAnsi="Calibri" w:cs="Calibri"/>
          <w:lang w:val="en-US"/>
        </w:rPr>
        <w:t xml:space="preserve"> </w:t>
      </w:r>
      <w:r w:rsidR="00DA4AC1" w:rsidRPr="003D6F74">
        <w:rPr>
          <w:rFonts w:ascii="Calibri" w:eastAsia="Calibri" w:hAnsi="Calibri" w:cs="Calibri"/>
          <w:lang w:val="en-US"/>
        </w:rPr>
        <w:t xml:space="preserve"> </w:t>
      </w:r>
    </w:p>
    <w:p w14:paraId="08B13324" w14:textId="77777777" w:rsidR="00573084" w:rsidRPr="003D6F74" w:rsidRDefault="00573084" w:rsidP="0050008E">
      <w:pPr>
        <w:pStyle w:val="Body"/>
        <w:jc w:val="both"/>
        <w:rPr>
          <w:rFonts w:asciiTheme="majorHAnsi" w:eastAsia="Calibri" w:hAnsiTheme="majorHAnsi" w:cs="Calibri"/>
          <w:bCs/>
          <w:u w:val="single"/>
        </w:rPr>
      </w:pPr>
      <w:r w:rsidRPr="003D6F74">
        <w:rPr>
          <w:rFonts w:asciiTheme="majorHAnsi" w:eastAsia="Calibri" w:hAnsiTheme="majorHAnsi" w:cs="Calibri"/>
          <w:bCs/>
          <w:u w:val="single"/>
          <w:lang w:val="en-US"/>
        </w:rPr>
        <w:t>Statistical analysis</w:t>
      </w:r>
    </w:p>
    <w:p w14:paraId="02B4A90E" w14:textId="0B85B09D" w:rsidR="003D6F74" w:rsidRPr="005658B2" w:rsidRDefault="00573084" w:rsidP="003D6F74">
      <w:pPr>
        <w:pStyle w:val="CommentText"/>
        <w:rPr>
          <w:rFonts w:asciiTheme="majorHAnsi" w:hAnsiTheme="majorHAnsi"/>
          <w:sz w:val="24"/>
          <w:szCs w:val="24"/>
        </w:rPr>
      </w:pPr>
      <w:r w:rsidRPr="001256AC">
        <w:rPr>
          <w:rFonts w:asciiTheme="majorHAnsi" w:eastAsia="Calibri" w:hAnsiTheme="majorHAnsi" w:cs="Calibri"/>
          <w:sz w:val="24"/>
          <w:szCs w:val="24"/>
        </w:rPr>
        <w:t xml:space="preserve">The target sample size of 45 per arm was chosen to give 80% power to detect a treatment effect </w:t>
      </w:r>
      <w:r w:rsidR="00CF19B7" w:rsidRPr="001256AC">
        <w:rPr>
          <w:rFonts w:asciiTheme="majorHAnsi" w:eastAsia="Calibri" w:hAnsiTheme="majorHAnsi" w:cs="Calibri"/>
          <w:sz w:val="24"/>
          <w:szCs w:val="24"/>
        </w:rPr>
        <w:t xml:space="preserve">(reduction of </w:t>
      </w:r>
      <w:r w:rsidR="00C3752C" w:rsidRPr="001256AC">
        <w:rPr>
          <w:rFonts w:asciiTheme="majorHAnsi" w:eastAsia="Calibri" w:hAnsiTheme="majorHAnsi" w:cs="Calibri"/>
          <w:sz w:val="24"/>
          <w:szCs w:val="24"/>
        </w:rPr>
        <w:t xml:space="preserve">the extent of </w:t>
      </w:r>
      <w:r w:rsidR="00CF19B7" w:rsidRPr="001256AC">
        <w:rPr>
          <w:rFonts w:asciiTheme="majorHAnsi" w:eastAsia="Calibri" w:hAnsiTheme="majorHAnsi" w:cs="Calibri"/>
          <w:sz w:val="24"/>
          <w:szCs w:val="24"/>
        </w:rPr>
        <w:t>loss of</w:t>
      </w:r>
      <w:r w:rsidRPr="001256AC">
        <w:rPr>
          <w:rFonts w:asciiTheme="majorHAnsi" w:eastAsia="Calibri" w:hAnsiTheme="majorHAnsi" w:cs="Calibri"/>
          <w:sz w:val="24"/>
          <w:szCs w:val="24"/>
        </w:rPr>
        <w:t xml:space="preserve"> RNFL thickness</w:t>
      </w:r>
      <w:r w:rsidR="00CF19B7" w:rsidRPr="001256AC">
        <w:rPr>
          <w:rFonts w:asciiTheme="majorHAnsi" w:eastAsia="Calibri" w:hAnsiTheme="majorHAnsi" w:cs="Calibri"/>
          <w:sz w:val="24"/>
          <w:szCs w:val="24"/>
        </w:rPr>
        <w:t>)</w:t>
      </w:r>
      <w:r w:rsidRPr="001256AC">
        <w:rPr>
          <w:rFonts w:asciiTheme="majorHAnsi" w:eastAsia="Calibri" w:hAnsiTheme="majorHAnsi" w:cs="Calibri"/>
          <w:sz w:val="24"/>
          <w:szCs w:val="24"/>
        </w:rPr>
        <w:t xml:space="preserve"> of 50% at 5% significance level, whilst allowing for a 20% combined rate of loss to follow-up and non-adherence</w:t>
      </w:r>
      <w:r w:rsidR="00565A96" w:rsidRPr="001256AC">
        <w:rPr>
          <w:rFonts w:asciiTheme="majorHAnsi" w:eastAsia="Calibri" w:hAnsiTheme="majorHAnsi" w:cs="Calibri"/>
          <w:sz w:val="24"/>
          <w:szCs w:val="24"/>
        </w:rPr>
        <w:t>. T</w:t>
      </w:r>
      <w:r w:rsidRPr="001256AC">
        <w:rPr>
          <w:rFonts w:asciiTheme="majorHAnsi" w:eastAsia="Calibri" w:hAnsiTheme="majorHAnsi" w:cs="Calibri"/>
          <w:sz w:val="24"/>
          <w:szCs w:val="24"/>
        </w:rPr>
        <w:t xml:space="preserve">his was based on 35 per arm calculated from longitudinal OCT data on </w:t>
      </w:r>
      <w:r w:rsidR="00C14376" w:rsidRPr="001256AC">
        <w:rPr>
          <w:rFonts w:asciiTheme="majorHAnsi" w:eastAsia="Calibri" w:hAnsiTheme="majorHAnsi" w:cs="Calibri"/>
          <w:sz w:val="24"/>
          <w:szCs w:val="24"/>
        </w:rPr>
        <w:t>participant</w:t>
      </w:r>
      <w:r w:rsidRPr="001256AC">
        <w:rPr>
          <w:rFonts w:asciiTheme="majorHAnsi" w:eastAsia="Calibri" w:hAnsiTheme="majorHAnsi" w:cs="Calibri"/>
          <w:sz w:val="24"/>
          <w:szCs w:val="24"/>
        </w:rPr>
        <w:t>s with acute demyelinating optic neuritis</w:t>
      </w:r>
      <w:r w:rsidR="00CF19B7" w:rsidRPr="001256AC">
        <w:rPr>
          <w:rFonts w:asciiTheme="majorHAnsi" w:eastAsia="Calibri" w:hAnsiTheme="majorHAnsi" w:cs="Calibri"/>
          <w:sz w:val="24"/>
          <w:szCs w:val="24"/>
        </w:rPr>
        <w:t xml:space="preserve">, as detailed in </w:t>
      </w:r>
      <w:r w:rsidR="005C767A" w:rsidRPr="001256AC">
        <w:rPr>
          <w:rFonts w:asciiTheme="majorHAnsi" w:eastAsia="Calibri" w:hAnsiTheme="majorHAnsi" w:cs="Calibri"/>
          <w:sz w:val="24"/>
          <w:szCs w:val="24"/>
        </w:rPr>
        <w:t xml:space="preserve">sample size </w:t>
      </w:r>
      <w:r w:rsidR="00CF19B7" w:rsidRPr="001256AC">
        <w:rPr>
          <w:rFonts w:asciiTheme="majorHAnsi" w:eastAsia="Calibri" w:hAnsiTheme="majorHAnsi" w:cs="Calibri"/>
          <w:sz w:val="24"/>
          <w:szCs w:val="24"/>
        </w:rPr>
        <w:t>calculations published previously</w:t>
      </w:r>
      <w:r w:rsidR="00AA62E8" w:rsidRPr="001256AC">
        <w:rPr>
          <w:rFonts w:asciiTheme="majorHAnsi" w:eastAsia="Calibri" w:hAnsiTheme="majorHAnsi" w:cs="Calibri"/>
          <w:sz w:val="24"/>
          <w:szCs w:val="24"/>
          <w:vertAlign w:val="superscript"/>
        </w:rPr>
        <w:t>18</w:t>
      </w:r>
      <w:r w:rsidRPr="001256AC">
        <w:rPr>
          <w:rFonts w:asciiTheme="majorHAnsi" w:eastAsia="Calibri" w:hAnsiTheme="majorHAnsi" w:cs="Calibri"/>
          <w:sz w:val="24"/>
          <w:szCs w:val="24"/>
        </w:rPr>
        <w:t xml:space="preserve">.  This sample size calculation maximized power by assuming an active vs placebo comparison of follow-up affected eye RNFL thickness, adjusted for baseline fellow eye RNFL thickness.  The fellow eye was chosen because acute swelling in the affected eye makes this eye a poor predictor of follow-up thickness, and makes affected eye change uninterpretable.  </w:t>
      </w:r>
      <w:r w:rsidR="00F53D85" w:rsidRPr="001256AC">
        <w:rPr>
          <w:rFonts w:asciiTheme="majorHAnsi" w:eastAsia="Calibri" w:hAnsiTheme="majorHAnsi" w:cs="Calibri"/>
          <w:sz w:val="24"/>
          <w:szCs w:val="24"/>
        </w:rPr>
        <w:t>Normal individuals have very similar RNFL thickness in both eyes, so the baseline fellow eye thickness provides a reliable estimate of affected eye RNFL thickness prior to AON</w:t>
      </w:r>
      <w:r w:rsidR="003D6F74" w:rsidRPr="003D6F74">
        <w:rPr>
          <w:rFonts w:asciiTheme="majorHAnsi" w:eastAsia="Calibri" w:hAnsiTheme="majorHAnsi" w:cs="Calibri"/>
          <w:sz w:val="24"/>
          <w:szCs w:val="24"/>
        </w:rPr>
        <w:t>.</w:t>
      </w:r>
      <w:r w:rsidR="00F53D85" w:rsidRPr="001256AC">
        <w:rPr>
          <w:rFonts w:asciiTheme="majorHAnsi" w:eastAsia="Calibri" w:hAnsiTheme="majorHAnsi" w:cs="Calibri"/>
          <w:sz w:val="24"/>
          <w:szCs w:val="24"/>
        </w:rPr>
        <w:t xml:space="preserve"> </w:t>
      </w:r>
      <w:r w:rsidR="003D6F74" w:rsidRPr="003D6F74">
        <w:rPr>
          <w:rFonts w:asciiTheme="majorHAnsi" w:hAnsiTheme="majorHAnsi"/>
          <w:sz w:val="24"/>
          <w:szCs w:val="24"/>
        </w:rPr>
        <w:t xml:space="preserve">Henderson </w:t>
      </w:r>
      <w:proofErr w:type="gramStart"/>
      <w:r w:rsidR="003D6F74" w:rsidRPr="003D6F74">
        <w:rPr>
          <w:rFonts w:asciiTheme="majorHAnsi" w:hAnsiTheme="majorHAnsi"/>
          <w:sz w:val="24"/>
          <w:szCs w:val="24"/>
        </w:rPr>
        <w:t>et</w:t>
      </w:r>
      <w:proofErr w:type="gramEnd"/>
      <w:r w:rsidR="003D6F74" w:rsidRPr="003D6F74">
        <w:rPr>
          <w:rFonts w:asciiTheme="majorHAnsi" w:hAnsiTheme="majorHAnsi"/>
          <w:sz w:val="24"/>
          <w:szCs w:val="24"/>
        </w:rPr>
        <w:t xml:space="preserve"> al</w:t>
      </w:r>
      <w:r w:rsidR="003D6F74" w:rsidRPr="006D038B">
        <w:rPr>
          <w:rFonts w:asciiTheme="majorHAnsi" w:eastAsia="Calibri" w:hAnsiTheme="majorHAnsi" w:cs="Calibri"/>
          <w:sz w:val="24"/>
          <w:szCs w:val="24"/>
          <w:vertAlign w:val="superscript"/>
        </w:rPr>
        <w:t>1</w:t>
      </w:r>
      <w:r w:rsidR="00E44756">
        <w:rPr>
          <w:rFonts w:asciiTheme="majorHAnsi" w:eastAsia="Calibri" w:hAnsiTheme="majorHAnsi" w:cs="Calibri"/>
          <w:sz w:val="24"/>
          <w:szCs w:val="24"/>
          <w:vertAlign w:val="superscript"/>
        </w:rPr>
        <w:t>9</w:t>
      </w:r>
      <w:r w:rsidR="003D6F74" w:rsidRPr="003D6F74">
        <w:rPr>
          <w:rFonts w:asciiTheme="majorHAnsi" w:hAnsiTheme="majorHAnsi"/>
          <w:sz w:val="24"/>
          <w:szCs w:val="24"/>
        </w:rPr>
        <w:t xml:space="preserve"> </w:t>
      </w:r>
      <w:r w:rsidR="003D6F74" w:rsidRPr="001256AC">
        <w:rPr>
          <w:rFonts w:asciiTheme="majorHAnsi" w:hAnsiTheme="majorHAnsi"/>
          <w:sz w:val="24"/>
          <w:szCs w:val="24"/>
        </w:rPr>
        <w:t>found a correlation of r=0.63 (p=0.007) between the baseline fellow eye RNFL and the six-month affected RNFL.</w:t>
      </w:r>
    </w:p>
    <w:p w14:paraId="5215A761" w14:textId="22D530CF" w:rsidR="00573084" w:rsidRPr="0008238D" w:rsidRDefault="00573084" w:rsidP="0050008E">
      <w:pPr>
        <w:pStyle w:val="Body"/>
        <w:jc w:val="both"/>
        <w:rPr>
          <w:rFonts w:ascii="Calibri" w:eastAsia="Calibri" w:hAnsi="Calibri" w:cs="Calibri"/>
        </w:rPr>
      </w:pPr>
      <w:r w:rsidRPr="0008238D">
        <w:rPr>
          <w:rFonts w:asciiTheme="majorHAnsi" w:eastAsia="Calibri" w:hAnsiTheme="majorHAnsi" w:cs="Calibri"/>
          <w:lang w:val="en-US"/>
        </w:rPr>
        <w:t xml:space="preserve">Accordingly, an ANCOVA analysis method was used, using multiple linear regression of the follow-up affected eye RNFL on a trial arm indicator with the following pre-specified covariates: baseline fellow eye value, </w:t>
      </w:r>
      <w:proofErr w:type="spellStart"/>
      <w:r w:rsidR="004B50B6">
        <w:rPr>
          <w:rFonts w:asciiTheme="majorHAnsi" w:eastAsia="Calibri" w:hAnsiTheme="majorHAnsi" w:cs="Calibri"/>
          <w:lang w:val="en-US"/>
        </w:rPr>
        <w:t>centre</w:t>
      </w:r>
      <w:proofErr w:type="spellEnd"/>
      <w:r w:rsidRPr="0008238D">
        <w:rPr>
          <w:rFonts w:asciiTheme="majorHAnsi" w:eastAsia="Calibri" w:hAnsiTheme="majorHAnsi" w:cs="Calibri"/>
          <w:lang w:val="en-US"/>
        </w:rPr>
        <w:t xml:space="preserve"> (binary), days between onset and baseline assessment, and whether the </w:t>
      </w:r>
      <w:r w:rsidR="00C14376">
        <w:rPr>
          <w:rFonts w:asciiTheme="majorHAnsi" w:eastAsia="Calibri" w:hAnsiTheme="majorHAnsi" w:cs="Calibri"/>
          <w:lang w:val="en-US"/>
        </w:rPr>
        <w:t>participant</w:t>
      </w:r>
      <w:r w:rsidRPr="0008238D">
        <w:rPr>
          <w:rFonts w:asciiTheme="majorHAnsi" w:eastAsia="Calibri" w:hAnsiTheme="majorHAnsi" w:cs="Calibri"/>
          <w:lang w:val="en-US"/>
        </w:rPr>
        <w:t xml:space="preserve"> was prescribed corticosteroids at the time of baseline assessment (</w:t>
      </w:r>
      <w:r w:rsidR="00122A17" w:rsidRPr="0008238D">
        <w:rPr>
          <w:rFonts w:asciiTheme="majorHAnsi" w:eastAsia="Calibri" w:hAnsiTheme="majorHAnsi" w:cs="Calibri"/>
          <w:lang w:val="en-US"/>
        </w:rPr>
        <w:t>three</w:t>
      </w:r>
      <w:r w:rsidRPr="0008238D">
        <w:rPr>
          <w:rFonts w:asciiTheme="majorHAnsi" w:eastAsia="Calibri" w:hAnsiTheme="majorHAnsi" w:cs="Calibri"/>
          <w:lang w:val="en-US"/>
        </w:rPr>
        <w:t xml:space="preserve"> categories: no/1-5 days prior to assessment/6-30 days prior).  Two planned binary covariates</w:t>
      </w:r>
      <w:r w:rsidRPr="0008238D">
        <w:rPr>
          <w:rFonts w:ascii="Calibri" w:eastAsia="Calibri" w:hAnsi="Calibri" w:cs="Calibri"/>
          <w:lang w:val="en-US"/>
        </w:rPr>
        <w:t xml:space="preserve"> were not used </w:t>
      </w:r>
      <w:r w:rsidRPr="0008238D">
        <w:rPr>
          <w:rFonts w:ascii="Calibri" w:eastAsia="Calibri" w:hAnsi="Calibri" w:cs="Calibri"/>
          <w:lang w:val="en-US"/>
        </w:rPr>
        <w:lastRenderedPageBreak/>
        <w:t xml:space="preserve">because of a pre-specified minimum of 10 for their smallest category: </w:t>
      </w:r>
      <w:r w:rsidRPr="0008238D">
        <w:rPr>
          <w:rFonts w:ascii="Calibri" w:eastAsia="Calibri" w:hAnsi="Calibri" w:cs="Calibri"/>
        </w:rPr>
        <w:t>“</w:t>
      </w:r>
      <w:r w:rsidRPr="0008238D">
        <w:rPr>
          <w:rFonts w:ascii="Calibri" w:eastAsia="Calibri" w:hAnsi="Calibri" w:cs="Calibri"/>
          <w:lang w:val="es-ES_tradnl"/>
        </w:rPr>
        <w:t>Prior MS</w:t>
      </w:r>
      <w:r w:rsidRPr="0008238D">
        <w:rPr>
          <w:rFonts w:ascii="Calibri" w:eastAsia="Calibri" w:hAnsi="Calibri" w:cs="Calibri"/>
        </w:rPr>
        <w:t xml:space="preserve">” </w:t>
      </w:r>
      <w:r w:rsidRPr="0008238D">
        <w:rPr>
          <w:rFonts w:ascii="Calibri" w:eastAsia="Calibri" w:hAnsi="Calibri" w:cs="Calibri"/>
          <w:lang w:val="en-US"/>
        </w:rPr>
        <w:t xml:space="preserve">(4 yes, 82 no) and </w:t>
      </w:r>
      <w:r w:rsidRPr="0008238D">
        <w:rPr>
          <w:rFonts w:ascii="Calibri" w:eastAsia="Calibri" w:hAnsi="Calibri" w:cs="Calibri"/>
        </w:rPr>
        <w:t>“</w:t>
      </w:r>
      <w:r w:rsidRPr="0008238D">
        <w:rPr>
          <w:rFonts w:ascii="Calibri" w:eastAsia="Calibri" w:hAnsi="Calibri" w:cs="Calibri"/>
          <w:lang w:val="en-US"/>
        </w:rPr>
        <w:t>Prescribed disease-modifying treatment</w:t>
      </w:r>
      <w:r w:rsidRPr="0008238D">
        <w:rPr>
          <w:rFonts w:ascii="Calibri" w:eastAsia="Calibri" w:hAnsi="Calibri" w:cs="Calibri"/>
        </w:rPr>
        <w:t xml:space="preserve">” </w:t>
      </w:r>
      <w:r w:rsidRPr="0008238D">
        <w:rPr>
          <w:rFonts w:ascii="Calibri" w:eastAsia="Calibri" w:hAnsi="Calibri" w:cs="Calibri"/>
          <w:lang w:val="en-US"/>
        </w:rPr>
        <w:t>(1 yes, 85 no).  Secondary outcomes were analyzed similarly, with the corresponding baseline fellow-eye value and the same pre-specified covariates. An exception was lesion length, for which the baseline fellow eye was not specified as covariate; also,</w:t>
      </w:r>
      <w:r w:rsidR="00936F9E">
        <w:rPr>
          <w:rFonts w:ascii="Calibri" w:eastAsia="Calibri" w:hAnsi="Calibri" w:cs="Calibri"/>
          <w:lang w:val="en-US"/>
        </w:rPr>
        <w:t xml:space="preserve"> for imaging outcomes only, </w:t>
      </w:r>
      <w:proofErr w:type="spellStart"/>
      <w:r w:rsidR="00936F9E">
        <w:rPr>
          <w:rFonts w:ascii="Calibri" w:eastAsia="Calibri" w:hAnsi="Calibri" w:cs="Calibri"/>
          <w:lang w:val="en-US"/>
        </w:rPr>
        <w:t>centre</w:t>
      </w:r>
      <w:proofErr w:type="spellEnd"/>
      <w:r w:rsidR="00936F9E">
        <w:rPr>
          <w:rFonts w:ascii="Calibri" w:eastAsia="Calibri" w:hAnsi="Calibri" w:cs="Calibri"/>
          <w:lang w:val="en-US"/>
        </w:rPr>
        <w:t xml:space="preserve"> was not used as a covariate </w:t>
      </w:r>
      <w:r w:rsidRPr="0008238D">
        <w:rPr>
          <w:rFonts w:ascii="Calibri" w:eastAsia="Calibri" w:hAnsi="Calibri" w:cs="Calibri"/>
          <w:lang w:val="en-US"/>
        </w:rPr>
        <w:t xml:space="preserve">due to only </w:t>
      </w:r>
      <w:r w:rsidR="00136525">
        <w:rPr>
          <w:rFonts w:ascii="Calibri" w:eastAsia="Calibri" w:hAnsi="Calibri" w:cs="Calibri"/>
          <w:lang w:val="en-US"/>
        </w:rPr>
        <w:t>three</w:t>
      </w:r>
      <w:r w:rsidRPr="0008238D">
        <w:rPr>
          <w:rFonts w:ascii="Calibri" w:eastAsia="Calibri" w:hAnsi="Calibri" w:cs="Calibri"/>
          <w:lang w:val="en-US"/>
        </w:rPr>
        <w:t xml:space="preserve"> </w:t>
      </w:r>
      <w:r w:rsidR="00C14376">
        <w:rPr>
          <w:rFonts w:ascii="Calibri" w:eastAsia="Calibri" w:hAnsi="Calibri" w:cs="Calibri"/>
          <w:lang w:val="en-US"/>
        </w:rPr>
        <w:t>participant</w:t>
      </w:r>
      <w:r w:rsidRPr="0008238D">
        <w:rPr>
          <w:rFonts w:ascii="Calibri" w:eastAsia="Calibri" w:hAnsi="Calibri" w:cs="Calibri"/>
          <w:lang w:val="en-US"/>
        </w:rPr>
        <w:t xml:space="preserve">s </w:t>
      </w:r>
      <w:r w:rsidR="00F53D85">
        <w:rPr>
          <w:rFonts w:ascii="Calibri" w:eastAsia="Calibri" w:hAnsi="Calibri" w:cs="Calibri"/>
          <w:lang w:val="en-US"/>
        </w:rPr>
        <w:t>undergoing</w:t>
      </w:r>
      <w:r w:rsidR="003D27E8">
        <w:rPr>
          <w:rFonts w:ascii="Calibri" w:eastAsia="Calibri" w:hAnsi="Calibri" w:cs="Calibri"/>
          <w:lang w:val="en-US"/>
        </w:rPr>
        <w:t xml:space="preserve"> MRI </w:t>
      </w:r>
      <w:r w:rsidRPr="0008238D">
        <w:rPr>
          <w:rFonts w:ascii="Calibri" w:eastAsia="Calibri" w:hAnsi="Calibri" w:cs="Calibri"/>
          <w:lang w:val="en-US"/>
        </w:rPr>
        <w:t xml:space="preserve">at one </w:t>
      </w:r>
      <w:r w:rsidR="00F53D85">
        <w:rPr>
          <w:rFonts w:ascii="Calibri" w:eastAsia="Calibri" w:hAnsi="Calibri" w:cs="Calibri"/>
          <w:lang w:val="en-US"/>
        </w:rPr>
        <w:t>of the</w:t>
      </w:r>
      <w:r w:rsidRPr="0008238D">
        <w:rPr>
          <w:rFonts w:ascii="Calibri" w:eastAsia="Calibri" w:hAnsi="Calibri" w:cs="Calibri"/>
          <w:lang w:val="en-US"/>
        </w:rPr>
        <w:t xml:space="preserve"> site</w:t>
      </w:r>
      <w:r w:rsidR="00F53D85">
        <w:rPr>
          <w:rFonts w:ascii="Calibri" w:eastAsia="Calibri" w:hAnsi="Calibri" w:cs="Calibri"/>
          <w:lang w:val="en-US"/>
        </w:rPr>
        <w:t>s</w:t>
      </w:r>
      <w:r w:rsidRPr="0008238D">
        <w:rPr>
          <w:rFonts w:ascii="Calibri" w:eastAsia="Calibri" w:hAnsi="Calibri" w:cs="Calibri"/>
          <w:lang w:val="en-US"/>
        </w:rPr>
        <w:t xml:space="preserve"> (Sheffield)</w:t>
      </w:r>
      <w:r w:rsidRPr="0008238D">
        <w:rPr>
          <w:rFonts w:ascii="Calibri" w:eastAsia="Calibri" w:hAnsi="Calibri" w:cs="Calibri"/>
        </w:rPr>
        <w:t xml:space="preserve">.     </w:t>
      </w:r>
    </w:p>
    <w:p w14:paraId="0E4D57F0" w14:textId="67BE2A65" w:rsidR="00573084" w:rsidRPr="003422F8" w:rsidRDefault="00573084" w:rsidP="0050008E">
      <w:pPr>
        <w:pStyle w:val="Body"/>
        <w:jc w:val="both"/>
        <w:rPr>
          <w:rFonts w:ascii="Calibri" w:eastAsia="Calibri" w:hAnsi="Calibri" w:cs="Calibri"/>
        </w:rPr>
      </w:pPr>
      <w:r w:rsidRPr="0008238D">
        <w:rPr>
          <w:rFonts w:ascii="Calibri" w:eastAsia="Calibri" w:hAnsi="Calibri" w:cs="Calibri"/>
          <w:lang w:val="en-US"/>
        </w:rPr>
        <w:t xml:space="preserve">The primary intention-to-treat (ITT) analyses included all randomized </w:t>
      </w:r>
      <w:r w:rsidR="00C14376">
        <w:rPr>
          <w:rFonts w:ascii="Calibri" w:eastAsia="Calibri" w:hAnsi="Calibri" w:cs="Calibri"/>
          <w:lang w:val="en-US"/>
        </w:rPr>
        <w:t>participant</w:t>
      </w:r>
      <w:r w:rsidRPr="0008238D">
        <w:rPr>
          <w:rFonts w:ascii="Calibri" w:eastAsia="Calibri" w:hAnsi="Calibri" w:cs="Calibri"/>
          <w:lang w:val="en-US"/>
        </w:rPr>
        <w:t>s</w:t>
      </w:r>
      <w:r w:rsidRPr="003422F8">
        <w:rPr>
          <w:rFonts w:ascii="Calibri" w:eastAsia="Calibri" w:hAnsi="Calibri" w:cs="Calibri"/>
          <w:lang w:val="en-US"/>
        </w:rPr>
        <w:t xml:space="preserve"> who were followed up.  Secondary per protocol (PP) analyses, after excluding </w:t>
      </w:r>
      <w:r w:rsidR="00C14376">
        <w:rPr>
          <w:rFonts w:ascii="Calibri" w:eastAsia="Calibri" w:hAnsi="Calibri" w:cs="Calibri"/>
          <w:lang w:val="en-US"/>
        </w:rPr>
        <w:t>participant</w:t>
      </w:r>
      <w:r w:rsidRPr="003422F8">
        <w:rPr>
          <w:rFonts w:ascii="Calibri" w:eastAsia="Calibri" w:hAnsi="Calibri" w:cs="Calibri"/>
          <w:lang w:val="en-US"/>
        </w:rPr>
        <w:t xml:space="preserve">s with a subsequent further episode of optic neuritis, compared all placebo </w:t>
      </w:r>
      <w:r w:rsidR="00C14376">
        <w:rPr>
          <w:rFonts w:ascii="Calibri" w:eastAsia="Calibri" w:hAnsi="Calibri" w:cs="Calibri"/>
          <w:lang w:val="en-US"/>
        </w:rPr>
        <w:t>participant</w:t>
      </w:r>
      <w:r w:rsidRPr="003422F8">
        <w:rPr>
          <w:rFonts w:ascii="Calibri" w:eastAsia="Calibri" w:hAnsi="Calibri" w:cs="Calibri"/>
          <w:lang w:val="en-US"/>
        </w:rPr>
        <w:t xml:space="preserve">s with just adherent active </w:t>
      </w:r>
      <w:r w:rsidR="00C14376">
        <w:rPr>
          <w:rFonts w:ascii="Calibri" w:eastAsia="Calibri" w:hAnsi="Calibri" w:cs="Calibri"/>
          <w:lang w:val="en-US"/>
        </w:rPr>
        <w:t>participant</w:t>
      </w:r>
      <w:r w:rsidRPr="003422F8">
        <w:rPr>
          <w:rFonts w:ascii="Calibri" w:eastAsia="Calibri" w:hAnsi="Calibri" w:cs="Calibri"/>
          <w:lang w:val="en-US"/>
        </w:rPr>
        <w:t>s, defined as having phenytoin present in their one-month blood</w:t>
      </w:r>
      <w:r w:rsidR="00321A29">
        <w:rPr>
          <w:rFonts w:ascii="Calibri" w:eastAsia="Calibri" w:hAnsi="Calibri" w:cs="Calibri"/>
          <w:lang w:val="en-US"/>
        </w:rPr>
        <w:t>;</w:t>
      </w:r>
      <w:r w:rsidR="00321A29" w:rsidRPr="00321A29">
        <w:rPr>
          <w:rFonts w:ascii="Calibri" w:eastAsia="Calibri" w:hAnsi="Calibri" w:cs="Calibri"/>
        </w:rPr>
        <w:t xml:space="preserve"> </w:t>
      </w:r>
      <w:r w:rsidR="00321A29">
        <w:rPr>
          <w:rFonts w:ascii="Calibri" w:eastAsia="Calibri" w:hAnsi="Calibri" w:cs="Calibri"/>
        </w:rPr>
        <w:t>however, this PP comparison has the potential for bias since there is no placebo subset corresponding to the adherent active subset.</w:t>
      </w:r>
      <w:r w:rsidRPr="003422F8">
        <w:rPr>
          <w:rFonts w:ascii="Calibri" w:eastAsia="Calibri" w:hAnsi="Calibri" w:cs="Calibri"/>
          <w:lang w:val="en-US"/>
        </w:rPr>
        <w:t xml:space="preserve"> </w:t>
      </w:r>
    </w:p>
    <w:p w14:paraId="216979D7" w14:textId="5090B931" w:rsidR="001607D9" w:rsidRPr="003422F8" w:rsidRDefault="00573084" w:rsidP="0050008E">
      <w:pPr>
        <w:pStyle w:val="Body"/>
        <w:jc w:val="both"/>
        <w:rPr>
          <w:rFonts w:ascii="Calibri" w:eastAsia="Calibri" w:hAnsi="Calibri" w:cs="Calibri"/>
        </w:rPr>
      </w:pPr>
      <w:r w:rsidRPr="003422F8">
        <w:rPr>
          <w:rFonts w:ascii="Calibri" w:eastAsia="Calibri" w:hAnsi="Calibri" w:cs="Calibri"/>
          <w:lang w:val="en-US"/>
        </w:rPr>
        <w:t xml:space="preserve">Where regression residuals showed signs of non-normality and/or </w:t>
      </w:r>
      <w:proofErr w:type="spellStart"/>
      <w:r w:rsidRPr="003422F8">
        <w:rPr>
          <w:rFonts w:ascii="Calibri" w:eastAsia="Calibri" w:hAnsi="Calibri" w:cs="Calibri"/>
          <w:lang w:val="en-US"/>
        </w:rPr>
        <w:t>heteroscedasticity</w:t>
      </w:r>
      <w:proofErr w:type="spellEnd"/>
      <w:r w:rsidRPr="003422F8">
        <w:rPr>
          <w:rFonts w:ascii="Calibri" w:eastAsia="Calibri" w:hAnsi="Calibri" w:cs="Calibri"/>
          <w:lang w:val="en-US"/>
        </w:rPr>
        <w:t>, p-values were c</w:t>
      </w:r>
      <w:r w:rsidR="00EC7967">
        <w:rPr>
          <w:rFonts w:ascii="Calibri" w:eastAsia="Calibri" w:hAnsi="Calibri" w:cs="Calibri"/>
          <w:lang w:val="en-US"/>
        </w:rPr>
        <w:t>hecked using</w:t>
      </w:r>
      <w:r w:rsidRPr="003422F8">
        <w:rPr>
          <w:rFonts w:ascii="Calibri" w:eastAsia="Calibri" w:hAnsi="Calibri" w:cs="Calibri"/>
          <w:lang w:val="en-US"/>
        </w:rPr>
        <w:t xml:space="preserve"> a permutation test</w:t>
      </w:r>
      <w:r w:rsidR="00EC7967">
        <w:rPr>
          <w:rFonts w:ascii="Calibri" w:eastAsia="Calibri" w:hAnsi="Calibri" w:cs="Calibri"/>
          <w:lang w:val="en-US"/>
        </w:rPr>
        <w:t>, but none of the reported p-values required correction</w:t>
      </w:r>
      <w:r w:rsidRPr="003422F8">
        <w:rPr>
          <w:rFonts w:ascii="Calibri" w:eastAsia="Calibri" w:hAnsi="Calibri" w:cs="Calibri"/>
          <w:lang w:val="en-US"/>
        </w:rPr>
        <w:t>.  Statistical significance, where referred to, indicates p</w:t>
      </w:r>
      <w:r w:rsidRPr="003422F8">
        <w:rPr>
          <w:rFonts w:ascii="Calibri" w:eastAsia="Calibri" w:hAnsi="Calibri" w:cs="Calibri"/>
        </w:rPr>
        <w:t>&lt;0</w:t>
      </w:r>
      <w:r w:rsidR="00FD7C53">
        <w:rPr>
          <w:rFonts w:ascii="Calibri" w:eastAsia="Calibri" w:hAnsi="Calibri" w:cs="Calibri"/>
        </w:rPr>
        <w:t>·</w:t>
      </w:r>
      <w:r w:rsidRPr="003422F8">
        <w:rPr>
          <w:rFonts w:ascii="Calibri" w:eastAsia="Calibri" w:hAnsi="Calibri" w:cs="Calibri"/>
        </w:rPr>
        <w:t>05</w:t>
      </w:r>
      <w:r>
        <w:rPr>
          <w:rFonts w:ascii="Calibri" w:eastAsia="Calibri" w:hAnsi="Calibri" w:cs="Calibri"/>
        </w:rPr>
        <w:t xml:space="preserve"> and all p-values refer to two-tailed tests</w:t>
      </w:r>
      <w:r w:rsidRPr="003422F8">
        <w:rPr>
          <w:rFonts w:ascii="Calibri" w:eastAsia="Calibri" w:hAnsi="Calibri" w:cs="Calibri"/>
        </w:rPr>
        <w:t>.</w:t>
      </w:r>
      <w:r w:rsidR="00AA12CB">
        <w:rPr>
          <w:rFonts w:ascii="Calibri" w:eastAsia="Calibri" w:hAnsi="Calibri" w:cs="Calibri"/>
        </w:rPr>
        <w:t xml:space="preserve"> Analyses were conducted in Stata 13.1 (Stata Corporation, College Station, Texas, USA)</w:t>
      </w:r>
      <w:r w:rsidR="001607D9">
        <w:rPr>
          <w:rFonts w:ascii="Calibri" w:eastAsia="Calibri" w:hAnsi="Calibri" w:cs="Calibri"/>
          <w:lang w:val="en-US"/>
        </w:rPr>
        <w:t>.</w:t>
      </w:r>
    </w:p>
    <w:p w14:paraId="296AC756" w14:textId="1184786D" w:rsidR="00873B88" w:rsidRPr="003422F8" w:rsidRDefault="008C4FC2" w:rsidP="0050008E">
      <w:pPr>
        <w:pStyle w:val="Body"/>
        <w:jc w:val="both"/>
        <w:rPr>
          <w:rFonts w:ascii="Calibri" w:eastAsia="Calibri" w:hAnsi="Calibri" w:cs="Calibri"/>
        </w:rPr>
      </w:pPr>
      <w:r>
        <w:rPr>
          <w:rFonts w:ascii="Calibri" w:eastAsia="Calibri" w:hAnsi="Calibri" w:cs="Calibri"/>
          <w:lang w:val="en-US"/>
        </w:rPr>
        <w:t>The</w:t>
      </w:r>
      <w:r w:rsidR="00F53D85">
        <w:rPr>
          <w:rFonts w:ascii="Calibri" w:eastAsia="Calibri" w:hAnsi="Calibri" w:cs="Calibri"/>
          <w:lang w:val="en-US"/>
        </w:rPr>
        <w:t xml:space="preserve"> study was overseen</w:t>
      </w:r>
      <w:r w:rsidRPr="003422F8">
        <w:rPr>
          <w:rFonts w:ascii="Calibri" w:eastAsia="Calibri" w:hAnsi="Calibri" w:cs="Calibri"/>
          <w:lang w:val="en-US"/>
        </w:rPr>
        <w:t xml:space="preserve"> by a</w:t>
      </w:r>
      <w:r w:rsidR="003779EF">
        <w:rPr>
          <w:rFonts w:ascii="Calibri" w:eastAsia="Calibri" w:hAnsi="Calibri" w:cs="Calibri"/>
          <w:lang w:val="en-US"/>
        </w:rPr>
        <w:t xml:space="preserve"> </w:t>
      </w:r>
      <w:r w:rsidRPr="003422F8">
        <w:rPr>
          <w:rFonts w:ascii="Calibri" w:eastAsia="Calibri" w:hAnsi="Calibri" w:cs="Calibri"/>
          <w:lang w:val="en-US"/>
        </w:rPr>
        <w:t>Data Monitoring and Ethics Committee</w:t>
      </w:r>
      <w:r w:rsidR="003779EF">
        <w:rPr>
          <w:rFonts w:ascii="Calibri" w:eastAsia="Calibri" w:hAnsi="Calibri" w:cs="Calibri"/>
          <w:lang w:val="en-US"/>
        </w:rPr>
        <w:t xml:space="preserve"> </w:t>
      </w:r>
      <w:r w:rsidR="00F53D85">
        <w:rPr>
          <w:rFonts w:ascii="Calibri" w:eastAsia="Calibri" w:hAnsi="Calibri" w:cs="Calibri"/>
          <w:lang w:val="en-US"/>
        </w:rPr>
        <w:t>independent of the study</w:t>
      </w:r>
      <w:r w:rsidR="00652DDD">
        <w:rPr>
          <w:rFonts w:ascii="Calibri" w:eastAsia="Calibri" w:hAnsi="Calibri" w:cs="Calibri"/>
          <w:lang w:val="en-US"/>
        </w:rPr>
        <w:t xml:space="preserve"> group</w:t>
      </w:r>
      <w:r w:rsidR="00F53D85">
        <w:rPr>
          <w:rFonts w:ascii="Calibri" w:eastAsia="Calibri" w:hAnsi="Calibri" w:cs="Calibri"/>
          <w:lang w:val="en-US"/>
        </w:rPr>
        <w:t xml:space="preserve"> </w:t>
      </w:r>
      <w:r w:rsidR="004E4C27">
        <w:rPr>
          <w:rFonts w:ascii="Calibri" w:eastAsia="Calibri" w:hAnsi="Calibri" w:cs="Calibri"/>
          <w:lang w:val="en-US"/>
        </w:rPr>
        <w:t xml:space="preserve">(Dr Zoe Fox, Prof Richard Hughes, Dr Brennan </w:t>
      </w:r>
      <w:proofErr w:type="spellStart"/>
      <w:r w:rsidR="004E4C27">
        <w:rPr>
          <w:rFonts w:ascii="Calibri" w:eastAsia="Calibri" w:hAnsi="Calibri" w:cs="Calibri"/>
          <w:lang w:val="en-US"/>
        </w:rPr>
        <w:t>Kahan</w:t>
      </w:r>
      <w:proofErr w:type="spellEnd"/>
      <w:r w:rsidR="004E4C27">
        <w:rPr>
          <w:rFonts w:ascii="Calibri" w:eastAsia="Calibri" w:hAnsi="Calibri" w:cs="Calibri"/>
          <w:lang w:val="en-US"/>
        </w:rPr>
        <w:t>, and Prof Christopher Kennard)</w:t>
      </w:r>
      <w:r w:rsidR="00A2771E">
        <w:rPr>
          <w:rFonts w:ascii="Calibri" w:eastAsia="Calibri" w:hAnsi="Calibri" w:cs="Calibri"/>
          <w:lang w:val="en-US"/>
        </w:rPr>
        <w:t xml:space="preserve">, and </w:t>
      </w:r>
      <w:r>
        <w:rPr>
          <w:rFonts w:ascii="Calibri" w:eastAsia="Calibri" w:hAnsi="Calibri" w:cs="Calibri"/>
          <w:lang w:val="en-US"/>
        </w:rPr>
        <w:t xml:space="preserve">is registered with </w:t>
      </w:r>
      <w:r w:rsidRPr="003422F8">
        <w:rPr>
          <w:rFonts w:ascii="Calibri" w:eastAsia="Calibri" w:hAnsi="Calibri" w:cs="Calibri"/>
          <w:lang w:val="en-US"/>
        </w:rPr>
        <w:t>ClinicalTrials.gov</w:t>
      </w:r>
      <w:r>
        <w:rPr>
          <w:rFonts w:ascii="Calibri" w:eastAsia="Calibri" w:hAnsi="Calibri" w:cs="Calibri"/>
          <w:lang w:val="en-US"/>
        </w:rPr>
        <w:t xml:space="preserve"> </w:t>
      </w:r>
      <w:r w:rsidRPr="003422F8">
        <w:rPr>
          <w:rFonts w:ascii="Calibri" w:eastAsia="Calibri" w:hAnsi="Calibri" w:cs="Calibri"/>
          <w:lang w:val="en-US"/>
        </w:rPr>
        <w:t xml:space="preserve"> (NCT 01451593)</w:t>
      </w:r>
      <w:r>
        <w:rPr>
          <w:rFonts w:ascii="Calibri" w:eastAsia="Calibri" w:hAnsi="Calibri" w:cs="Calibri"/>
          <w:lang w:val="en-US"/>
        </w:rPr>
        <w:t>.</w:t>
      </w:r>
    </w:p>
    <w:p w14:paraId="7395B046" w14:textId="77777777" w:rsidR="00A2771E" w:rsidRDefault="005F194B" w:rsidP="00A2771E">
      <w:pPr>
        <w:pStyle w:val="Body"/>
        <w:jc w:val="both"/>
        <w:rPr>
          <w:rFonts w:asciiTheme="majorHAnsi" w:eastAsia="Calibri" w:hAnsiTheme="majorHAnsi" w:cs="Calibri"/>
          <w:bCs/>
          <w:u w:val="single"/>
        </w:rPr>
      </w:pPr>
      <w:r w:rsidRPr="00A2771E">
        <w:rPr>
          <w:rFonts w:asciiTheme="majorHAnsi" w:eastAsia="Calibri" w:hAnsiTheme="majorHAnsi" w:cs="Calibri"/>
          <w:bCs/>
          <w:u w:val="single"/>
        </w:rPr>
        <w:t>Role of Funding Source</w:t>
      </w:r>
    </w:p>
    <w:p w14:paraId="17F2E4E5" w14:textId="07F9ABA4" w:rsidR="0050008E" w:rsidRPr="00A2771E" w:rsidRDefault="00C36D8A" w:rsidP="00A2771E">
      <w:pPr>
        <w:pStyle w:val="Body"/>
        <w:jc w:val="both"/>
        <w:rPr>
          <w:rFonts w:asciiTheme="majorHAnsi" w:hAnsiTheme="majorHAnsi"/>
        </w:rPr>
      </w:pPr>
      <w:r>
        <w:rPr>
          <w:rFonts w:asciiTheme="majorHAnsi" w:hAnsiTheme="majorHAnsi"/>
        </w:rPr>
        <w:t>Neither t</w:t>
      </w:r>
      <w:r w:rsidR="00ED44E1" w:rsidRPr="00A2771E">
        <w:rPr>
          <w:rFonts w:asciiTheme="majorHAnsi" w:hAnsiTheme="majorHAnsi"/>
        </w:rPr>
        <w:t>he funder</w:t>
      </w:r>
      <w:r w:rsidR="001B68CE">
        <w:rPr>
          <w:rFonts w:asciiTheme="majorHAnsi" w:hAnsiTheme="majorHAnsi"/>
        </w:rPr>
        <w:t>s</w:t>
      </w:r>
      <w:r w:rsidR="00ED44E1" w:rsidRPr="00A2771E">
        <w:rPr>
          <w:rFonts w:asciiTheme="majorHAnsi" w:hAnsiTheme="majorHAnsi"/>
        </w:rPr>
        <w:t xml:space="preserve"> of the study</w:t>
      </w:r>
      <w:r>
        <w:rPr>
          <w:rFonts w:asciiTheme="majorHAnsi" w:hAnsiTheme="majorHAnsi"/>
        </w:rPr>
        <w:t>, nor the Sponsor (University College London),</w:t>
      </w:r>
      <w:r w:rsidR="00ED44E1" w:rsidRPr="00A2771E">
        <w:rPr>
          <w:rFonts w:asciiTheme="majorHAnsi" w:hAnsiTheme="majorHAnsi"/>
        </w:rPr>
        <w:t xml:space="preserve"> had </w:t>
      </w:r>
      <w:r>
        <w:rPr>
          <w:rFonts w:asciiTheme="majorHAnsi" w:hAnsiTheme="majorHAnsi"/>
        </w:rPr>
        <w:t>a</w:t>
      </w:r>
      <w:r w:rsidR="00ED44E1" w:rsidRPr="00A2771E">
        <w:rPr>
          <w:rFonts w:asciiTheme="majorHAnsi" w:hAnsiTheme="majorHAnsi"/>
        </w:rPr>
        <w:t xml:space="preserve"> role in study design, data collection, data analysis, data interpretation, or writing of the report. The corresponding author had full access to all the data in the study and had final responsibility for the decision to submit for publication</w:t>
      </w:r>
      <w:r w:rsidR="00A2771E">
        <w:rPr>
          <w:rFonts w:asciiTheme="majorHAnsi" w:hAnsiTheme="majorHAnsi"/>
        </w:rPr>
        <w:t>.</w:t>
      </w:r>
      <w:r w:rsidR="00ED44E1" w:rsidRPr="00A2771E">
        <w:rPr>
          <w:rFonts w:asciiTheme="majorHAnsi" w:hAnsiTheme="majorHAnsi"/>
        </w:rPr>
        <w:t xml:space="preserve"> </w:t>
      </w:r>
    </w:p>
    <w:p w14:paraId="4ABD9DF6" w14:textId="77777777" w:rsidR="003538F9" w:rsidRDefault="003538F9">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heme="minorEastAsia" w:hAnsiTheme="majorHAnsi"/>
          <w:u w:val="single"/>
          <w:bdr w:val="none" w:sz="0" w:space="0" w:color="auto"/>
          <w:lang w:val="en-GB"/>
        </w:rPr>
      </w:pPr>
      <w:r>
        <w:rPr>
          <w:rFonts w:asciiTheme="majorHAnsi" w:hAnsiTheme="majorHAnsi"/>
          <w:u w:val="single"/>
        </w:rPr>
        <w:br w:type="page"/>
      </w:r>
    </w:p>
    <w:p w14:paraId="29AC25E4" w14:textId="1B70A02D" w:rsidR="00573084" w:rsidRPr="0004641F" w:rsidRDefault="00573084" w:rsidP="0004641F">
      <w:pPr>
        <w:pStyle w:val="NormalWeb"/>
        <w:rPr>
          <w:rFonts w:asciiTheme="majorHAnsi" w:hAnsiTheme="majorHAnsi"/>
          <w:sz w:val="24"/>
          <w:szCs w:val="24"/>
          <w:u w:val="single"/>
        </w:rPr>
      </w:pPr>
      <w:r w:rsidRPr="0004641F">
        <w:rPr>
          <w:rFonts w:asciiTheme="majorHAnsi" w:hAnsiTheme="majorHAnsi"/>
          <w:sz w:val="24"/>
          <w:szCs w:val="24"/>
          <w:u w:val="single"/>
        </w:rPr>
        <w:lastRenderedPageBreak/>
        <w:t>Results</w:t>
      </w:r>
    </w:p>
    <w:p w14:paraId="09FE147A" w14:textId="29B6D28C" w:rsidR="00BC3BC0" w:rsidRPr="003422F8" w:rsidRDefault="00C14376" w:rsidP="0004641F">
      <w:pPr>
        <w:pStyle w:val="Body"/>
        <w:jc w:val="both"/>
        <w:rPr>
          <w:rFonts w:ascii="Calibri" w:eastAsia="Calibri" w:hAnsi="Calibri" w:cs="Calibri"/>
        </w:rPr>
      </w:pPr>
      <w:r>
        <w:rPr>
          <w:rFonts w:ascii="Calibri" w:eastAsia="Calibri" w:hAnsi="Calibri" w:cs="Calibri"/>
          <w:lang w:val="en-US"/>
        </w:rPr>
        <w:t>Participant</w:t>
      </w:r>
      <w:r w:rsidR="00573084" w:rsidRPr="003422F8">
        <w:rPr>
          <w:rFonts w:ascii="Calibri" w:eastAsia="Calibri" w:hAnsi="Calibri" w:cs="Calibri"/>
          <w:lang w:val="en-US"/>
        </w:rPr>
        <w:t xml:space="preserve">s were recruited between February 2012 and May 2014, and final assessments were performed in December 2014. </w:t>
      </w:r>
      <w:r w:rsidR="006C1809">
        <w:rPr>
          <w:rFonts w:ascii="Calibri" w:eastAsia="Calibri" w:hAnsi="Calibri" w:cs="Calibri"/>
          <w:lang w:val="en-US"/>
        </w:rPr>
        <w:t xml:space="preserve">None of the eligible participants had antibodies to aquaporin-4; exclusions for other reasons are detailed in figure 1. </w:t>
      </w:r>
      <w:r w:rsidR="00573084" w:rsidRPr="003422F8">
        <w:rPr>
          <w:rFonts w:ascii="Calibri" w:eastAsia="Calibri" w:hAnsi="Calibri" w:cs="Calibri"/>
          <w:lang w:val="en-US"/>
        </w:rPr>
        <w:t xml:space="preserve">86 </w:t>
      </w:r>
      <w:r>
        <w:rPr>
          <w:rFonts w:ascii="Calibri" w:eastAsia="Calibri" w:hAnsi="Calibri" w:cs="Calibri"/>
          <w:lang w:val="en-US"/>
        </w:rPr>
        <w:t>participant</w:t>
      </w:r>
      <w:r w:rsidR="00573084" w:rsidRPr="003422F8">
        <w:rPr>
          <w:rFonts w:ascii="Calibri" w:eastAsia="Calibri" w:hAnsi="Calibri" w:cs="Calibri"/>
          <w:lang w:val="en-US"/>
        </w:rPr>
        <w:t xml:space="preserve">s </w:t>
      </w:r>
      <w:r w:rsidR="001C02B6">
        <w:rPr>
          <w:rFonts w:ascii="Calibri" w:eastAsia="Calibri" w:hAnsi="Calibri" w:cs="Calibri"/>
          <w:lang w:val="en-US"/>
        </w:rPr>
        <w:t>(</w:t>
      </w:r>
      <w:r w:rsidR="001113C7">
        <w:rPr>
          <w:rFonts w:ascii="Calibri" w:eastAsia="Calibri" w:hAnsi="Calibri" w:cs="Calibri"/>
          <w:lang w:val="en-US"/>
        </w:rPr>
        <w:t>70</w:t>
      </w:r>
      <w:r w:rsidR="001C02B6">
        <w:rPr>
          <w:rFonts w:ascii="Calibri" w:eastAsia="Calibri" w:hAnsi="Calibri" w:cs="Calibri"/>
          <w:lang w:val="en-US"/>
        </w:rPr>
        <w:t xml:space="preserve"> L</w:t>
      </w:r>
      <w:r w:rsidR="001113C7">
        <w:rPr>
          <w:rFonts w:ascii="Calibri" w:eastAsia="Calibri" w:hAnsi="Calibri" w:cs="Calibri"/>
          <w:lang w:val="en-US"/>
        </w:rPr>
        <w:t>ondon</w:t>
      </w:r>
      <w:r w:rsidR="001C02B6">
        <w:rPr>
          <w:rFonts w:ascii="Calibri" w:eastAsia="Calibri" w:hAnsi="Calibri" w:cs="Calibri"/>
          <w:lang w:val="en-US"/>
        </w:rPr>
        <w:t xml:space="preserve">, </w:t>
      </w:r>
      <w:r w:rsidR="001113C7">
        <w:rPr>
          <w:rFonts w:ascii="Calibri" w:eastAsia="Calibri" w:hAnsi="Calibri" w:cs="Calibri"/>
          <w:lang w:val="en-US"/>
        </w:rPr>
        <w:t>16</w:t>
      </w:r>
      <w:r w:rsidR="001C02B6">
        <w:rPr>
          <w:rFonts w:ascii="Calibri" w:eastAsia="Calibri" w:hAnsi="Calibri" w:cs="Calibri"/>
          <w:lang w:val="en-US"/>
        </w:rPr>
        <w:t xml:space="preserve"> S</w:t>
      </w:r>
      <w:r w:rsidR="001113C7">
        <w:rPr>
          <w:rFonts w:ascii="Calibri" w:eastAsia="Calibri" w:hAnsi="Calibri" w:cs="Calibri"/>
          <w:lang w:val="en-US"/>
        </w:rPr>
        <w:t>heffield</w:t>
      </w:r>
      <w:r w:rsidR="001C02B6">
        <w:rPr>
          <w:rFonts w:ascii="Calibri" w:eastAsia="Calibri" w:hAnsi="Calibri" w:cs="Calibri"/>
          <w:lang w:val="en-US"/>
        </w:rPr>
        <w:t xml:space="preserve">) </w:t>
      </w:r>
      <w:r w:rsidR="00573084" w:rsidRPr="003422F8">
        <w:rPr>
          <w:rFonts w:ascii="Calibri" w:eastAsia="Calibri" w:hAnsi="Calibri" w:cs="Calibri"/>
          <w:lang w:val="en-US"/>
        </w:rPr>
        <w:t xml:space="preserve">were randomly assigned to receive phenytoin (n=42) or placebo (n=44, Figure 1). The </w:t>
      </w:r>
      <w:r w:rsidR="003E1BBA">
        <w:rPr>
          <w:rFonts w:ascii="Calibri" w:eastAsia="Calibri" w:hAnsi="Calibri" w:cs="Calibri"/>
          <w:lang w:val="en-US"/>
        </w:rPr>
        <w:t xml:space="preserve">two </w:t>
      </w:r>
      <w:r w:rsidR="00573084" w:rsidRPr="003422F8">
        <w:rPr>
          <w:rFonts w:ascii="Calibri" w:eastAsia="Calibri" w:hAnsi="Calibri" w:cs="Calibri"/>
          <w:lang w:val="en-US"/>
        </w:rPr>
        <w:t>groups had similar baseline characteristics (Table 1).</w:t>
      </w:r>
      <w:r w:rsidR="00237950">
        <w:rPr>
          <w:rFonts w:ascii="Calibri" w:eastAsia="Calibri" w:hAnsi="Calibri" w:cs="Calibri"/>
          <w:lang w:val="en-US"/>
        </w:rPr>
        <w:t xml:space="preserve"> 28 participants </w:t>
      </w:r>
      <w:r w:rsidR="00FC3AB5">
        <w:rPr>
          <w:rFonts w:ascii="Calibri" w:eastAsia="Calibri" w:hAnsi="Calibri" w:cs="Calibri"/>
          <w:lang w:val="en-US"/>
        </w:rPr>
        <w:t>(33%)</w:t>
      </w:r>
      <w:r w:rsidR="00237950">
        <w:rPr>
          <w:rFonts w:ascii="Calibri" w:eastAsia="Calibri" w:hAnsi="Calibri" w:cs="Calibri"/>
          <w:lang w:val="en-US"/>
        </w:rPr>
        <w:t xml:space="preserve"> either had a prior diagnosis of MS, or were diagnosed with MS upon presentation, while 68 </w:t>
      </w:r>
      <w:r w:rsidR="00FC3AB5">
        <w:rPr>
          <w:rFonts w:ascii="Calibri" w:eastAsia="Calibri" w:hAnsi="Calibri" w:cs="Calibri"/>
          <w:lang w:val="en-US"/>
        </w:rPr>
        <w:t xml:space="preserve">(79%) </w:t>
      </w:r>
      <w:r w:rsidR="00237950">
        <w:rPr>
          <w:rFonts w:ascii="Calibri" w:eastAsia="Calibri" w:hAnsi="Calibri" w:cs="Calibri"/>
          <w:lang w:val="en-US"/>
        </w:rPr>
        <w:t>had brain lesions on MRI.</w:t>
      </w:r>
      <w:r w:rsidR="00573084" w:rsidRPr="003422F8">
        <w:rPr>
          <w:rFonts w:ascii="Calibri" w:eastAsia="Calibri" w:hAnsi="Calibri" w:cs="Calibri"/>
          <w:lang w:val="en-US"/>
        </w:rPr>
        <w:t xml:space="preserve"> </w:t>
      </w:r>
    </w:p>
    <w:p w14:paraId="736442CA" w14:textId="696CECF8" w:rsidR="00BC3BC0" w:rsidRDefault="00573084" w:rsidP="0004641F">
      <w:pPr>
        <w:pStyle w:val="Body"/>
        <w:jc w:val="both"/>
        <w:rPr>
          <w:rFonts w:ascii="Calibri" w:eastAsia="Calibri" w:hAnsi="Calibri" w:cs="Calibri"/>
          <w:color w:val="FF0000"/>
          <w:u w:color="FF0000"/>
        </w:rPr>
      </w:pPr>
      <w:r>
        <w:rPr>
          <w:rFonts w:ascii="Calibri" w:eastAsia="Calibri" w:hAnsi="Calibri" w:cs="Calibri"/>
          <w:lang w:val="en-US"/>
        </w:rPr>
        <w:t>Five</w:t>
      </w:r>
      <w:r w:rsidRPr="003422F8">
        <w:rPr>
          <w:rFonts w:ascii="Calibri" w:eastAsia="Calibri" w:hAnsi="Calibri" w:cs="Calibri"/>
          <w:lang w:val="en-US"/>
        </w:rPr>
        <w:t xml:space="preserve"> </w:t>
      </w:r>
      <w:r w:rsidR="00C14376">
        <w:rPr>
          <w:rFonts w:ascii="Calibri" w:eastAsia="Calibri" w:hAnsi="Calibri" w:cs="Calibri"/>
          <w:lang w:val="en-US"/>
        </w:rPr>
        <w:t>participant</w:t>
      </w:r>
      <w:r w:rsidRPr="003422F8">
        <w:rPr>
          <w:rFonts w:ascii="Calibri" w:eastAsia="Calibri" w:hAnsi="Calibri" w:cs="Calibri"/>
          <w:lang w:val="en-US"/>
        </w:rPr>
        <w:t xml:space="preserve">s were lost to follow up, leaving 81 who attended for assessment of the primary outcome at </w:t>
      </w:r>
      <w:r w:rsidR="00136525">
        <w:rPr>
          <w:rFonts w:ascii="Calibri" w:eastAsia="Calibri" w:hAnsi="Calibri" w:cs="Calibri"/>
          <w:lang w:val="en-US"/>
        </w:rPr>
        <w:t>six</w:t>
      </w:r>
      <w:r w:rsidRPr="003422F8">
        <w:rPr>
          <w:rFonts w:ascii="Calibri" w:eastAsia="Calibri" w:hAnsi="Calibri" w:cs="Calibri"/>
          <w:lang w:val="en-US"/>
        </w:rPr>
        <w:t xml:space="preserve"> months (39 phenytoin, 42 </w:t>
      </w:r>
      <w:proofErr w:type="gramStart"/>
      <w:r w:rsidRPr="003422F8">
        <w:rPr>
          <w:rFonts w:ascii="Calibri" w:eastAsia="Calibri" w:hAnsi="Calibri" w:cs="Calibri"/>
          <w:lang w:val="en-US"/>
        </w:rPr>
        <w:t>placebo</w:t>
      </w:r>
      <w:proofErr w:type="gramEnd"/>
      <w:r w:rsidRPr="003422F8">
        <w:rPr>
          <w:rFonts w:ascii="Calibri" w:eastAsia="Calibri" w:hAnsi="Calibri" w:cs="Calibri"/>
          <w:lang w:val="en-US"/>
        </w:rPr>
        <w:t xml:space="preserve">). Of these, 10 in the phenytoin group were withdrawn from treatment due to </w:t>
      </w:r>
      <w:r>
        <w:rPr>
          <w:rFonts w:ascii="Calibri" w:eastAsia="Calibri" w:hAnsi="Calibri" w:cs="Calibri"/>
          <w:lang w:val="en-US"/>
        </w:rPr>
        <w:t xml:space="preserve">skin </w:t>
      </w:r>
      <w:r w:rsidRPr="003422F8">
        <w:rPr>
          <w:rFonts w:ascii="Calibri" w:eastAsia="Calibri" w:hAnsi="Calibri" w:cs="Calibri"/>
          <w:lang w:val="en-US"/>
        </w:rPr>
        <w:t>rash after a mean of 18</w:t>
      </w:r>
      <w:r w:rsidR="00FD7C53">
        <w:rPr>
          <w:rFonts w:ascii="Calibri" w:eastAsia="Calibri" w:hAnsi="Calibri" w:cs="Calibri"/>
          <w:lang w:val="en-US"/>
        </w:rPr>
        <w:t>·</w:t>
      </w:r>
      <w:r w:rsidRPr="003422F8">
        <w:rPr>
          <w:rFonts w:ascii="Calibri" w:eastAsia="Calibri" w:hAnsi="Calibri" w:cs="Calibri"/>
          <w:lang w:val="en-US"/>
        </w:rPr>
        <w:t>4 days</w:t>
      </w:r>
      <w:r>
        <w:rPr>
          <w:rFonts w:ascii="Calibri" w:eastAsia="Calibri" w:hAnsi="Calibri" w:cs="Calibri"/>
          <w:lang w:val="en-US"/>
        </w:rPr>
        <w:t xml:space="preserve"> from starting treatment</w:t>
      </w:r>
      <w:r w:rsidRPr="003422F8">
        <w:rPr>
          <w:rFonts w:ascii="Calibri" w:eastAsia="Calibri" w:hAnsi="Calibri" w:cs="Calibri"/>
          <w:lang w:val="en-US"/>
        </w:rPr>
        <w:t>, but continued to be followed up. The remaining 29 in the phenytoin group were serum adherent (mean serum phenytoin concentration 7</w:t>
      </w:r>
      <w:r w:rsidR="00136525">
        <w:rPr>
          <w:rFonts w:ascii="Calibri" w:eastAsia="Calibri" w:hAnsi="Calibri" w:cs="Calibri"/>
          <w:lang w:val="en-US"/>
        </w:rPr>
        <w:t xml:space="preserve"> </w:t>
      </w:r>
      <w:r w:rsidRPr="003422F8">
        <w:rPr>
          <w:rFonts w:ascii="Calibri" w:eastAsia="Calibri" w:hAnsi="Calibri" w:cs="Calibri"/>
          <w:lang w:val="en-US"/>
        </w:rPr>
        <w:t>mg/L). The combined overall rate of loss to follow-up, withdrawal from treatment and non-adherence was 1</w:t>
      </w:r>
      <w:r>
        <w:rPr>
          <w:rFonts w:ascii="Calibri" w:eastAsia="Calibri" w:hAnsi="Calibri" w:cs="Calibri"/>
          <w:lang w:val="en-US"/>
        </w:rPr>
        <w:t>9</w:t>
      </w:r>
      <w:r w:rsidRPr="003422F8">
        <w:rPr>
          <w:rFonts w:ascii="Calibri" w:eastAsia="Calibri" w:hAnsi="Calibri" w:cs="Calibri"/>
          <w:lang w:val="en-US"/>
        </w:rPr>
        <w:t>%.</w:t>
      </w:r>
      <w:r w:rsidRPr="003422F8">
        <w:rPr>
          <w:rFonts w:ascii="Calibri" w:eastAsia="Calibri" w:hAnsi="Calibri" w:cs="Calibri"/>
          <w:color w:val="FF0000"/>
          <w:u w:color="FF0000"/>
        </w:rPr>
        <w:t xml:space="preserve"> </w:t>
      </w:r>
    </w:p>
    <w:p w14:paraId="6863419B" w14:textId="08C1A0E1" w:rsidR="00BC3BC0" w:rsidRDefault="00D85A28" w:rsidP="00D85A28">
      <w:pPr>
        <w:jc w:val="both"/>
        <w:rPr>
          <w:rFonts w:ascii="Calibri" w:hAnsi="Calibri"/>
        </w:rPr>
      </w:pPr>
      <w:r w:rsidRPr="0041575F">
        <w:rPr>
          <w:rFonts w:ascii="Calibri" w:hAnsi="Calibri"/>
        </w:rPr>
        <w:t xml:space="preserve">RNFL thickness and macular volume remained stable in the unaffected eye, with </w:t>
      </w:r>
      <w:r>
        <w:rPr>
          <w:rFonts w:ascii="Calibri" w:hAnsi="Calibri"/>
        </w:rPr>
        <w:t>insignificant change</w:t>
      </w:r>
      <w:r w:rsidRPr="0041575F">
        <w:rPr>
          <w:rFonts w:ascii="Calibri" w:hAnsi="Calibri"/>
        </w:rPr>
        <w:t xml:space="preserve"> between baseline and </w:t>
      </w:r>
      <w:r w:rsidR="00136525">
        <w:rPr>
          <w:rFonts w:ascii="Calibri" w:hAnsi="Calibri"/>
        </w:rPr>
        <w:t>six</w:t>
      </w:r>
      <w:r w:rsidRPr="0041575F">
        <w:rPr>
          <w:rFonts w:ascii="Calibri" w:hAnsi="Calibri"/>
        </w:rPr>
        <w:t xml:space="preserve"> months (</w:t>
      </w:r>
      <w:r>
        <w:rPr>
          <w:rFonts w:ascii="Calibri" w:hAnsi="Calibri"/>
        </w:rPr>
        <w:t>T</w:t>
      </w:r>
      <w:r w:rsidRPr="0041575F">
        <w:rPr>
          <w:rFonts w:ascii="Calibri" w:hAnsi="Calibri"/>
        </w:rPr>
        <w:t xml:space="preserve">able </w:t>
      </w:r>
      <w:r>
        <w:rPr>
          <w:rFonts w:ascii="Calibri" w:hAnsi="Calibri"/>
        </w:rPr>
        <w:t>2</w:t>
      </w:r>
      <w:r w:rsidRPr="0041575F">
        <w:rPr>
          <w:rFonts w:ascii="Calibri" w:hAnsi="Calibri"/>
        </w:rPr>
        <w:t>).</w:t>
      </w:r>
      <w:r w:rsidR="00746D19" w:rsidRPr="00746D19">
        <w:rPr>
          <w:rFonts w:ascii="Calibri" w:hAnsi="Calibri"/>
        </w:rPr>
        <w:t xml:space="preserve"> </w:t>
      </w:r>
      <w:r w:rsidR="00746D19" w:rsidRPr="00385498">
        <w:rPr>
          <w:rFonts w:ascii="Calibri" w:hAnsi="Calibri"/>
        </w:rPr>
        <w:t>Six-month affected RNFL was significantly correlated with baseline unaffected RNFL (r=</w:t>
      </w:r>
      <w:r w:rsidR="00B56243">
        <w:rPr>
          <w:rFonts w:ascii="Calibri" w:eastAsia="Calibri" w:hAnsi="Calibri" w:cs="Calibri"/>
        </w:rPr>
        <w:t>0·50</w:t>
      </w:r>
      <w:r w:rsidR="00746D19" w:rsidRPr="00385498">
        <w:rPr>
          <w:rFonts w:ascii="Calibri" w:hAnsi="Calibri"/>
        </w:rPr>
        <w:t>, p&lt;0</w:t>
      </w:r>
      <w:r w:rsidR="00B56243">
        <w:rPr>
          <w:rFonts w:ascii="Calibri" w:eastAsia="Calibri" w:hAnsi="Calibri" w:cs="Calibri"/>
        </w:rPr>
        <w:t>·001</w:t>
      </w:r>
      <w:r w:rsidR="00746D19" w:rsidRPr="00385498">
        <w:rPr>
          <w:rFonts w:ascii="Calibri" w:hAnsi="Calibri"/>
        </w:rPr>
        <w:t>) but not with baseline affected RNFL (r=</w:t>
      </w:r>
      <w:r w:rsidR="00B56243">
        <w:rPr>
          <w:rFonts w:ascii="Calibri" w:eastAsia="Calibri" w:hAnsi="Calibri" w:cs="Calibri"/>
        </w:rPr>
        <w:t>0·13</w:t>
      </w:r>
      <w:r w:rsidR="00746D19" w:rsidRPr="00385498">
        <w:rPr>
          <w:rFonts w:ascii="Calibri" w:hAnsi="Calibri"/>
        </w:rPr>
        <w:t>, p=</w:t>
      </w:r>
      <w:r w:rsidR="00FB2E0E">
        <w:rPr>
          <w:rFonts w:ascii="Calibri" w:eastAsia="Calibri" w:hAnsi="Calibri" w:cs="Calibri"/>
        </w:rPr>
        <w:t>0</w:t>
      </w:r>
      <w:r w:rsidR="00B56243">
        <w:rPr>
          <w:rFonts w:ascii="Calibri" w:eastAsia="Calibri" w:hAnsi="Calibri" w:cs="Calibri"/>
        </w:rPr>
        <w:t>·253</w:t>
      </w:r>
      <w:r w:rsidR="00746D19" w:rsidRPr="00385498">
        <w:rPr>
          <w:rFonts w:ascii="Calibri" w:hAnsi="Calibri"/>
        </w:rPr>
        <w:t>).</w:t>
      </w:r>
    </w:p>
    <w:p w14:paraId="2FBB4C09" w14:textId="0745873F" w:rsidR="00AA12CB" w:rsidRDefault="00AA12CB" w:rsidP="00AA12CB">
      <w:pPr>
        <w:pStyle w:val="Body"/>
        <w:jc w:val="both"/>
        <w:rPr>
          <w:rFonts w:ascii="Calibri" w:eastAsia="Calibri" w:hAnsi="Calibri" w:cs="Calibri"/>
          <w:lang w:val="en-US"/>
        </w:rPr>
      </w:pPr>
      <w:r w:rsidRPr="0041575F">
        <w:rPr>
          <w:rFonts w:ascii="Calibri" w:hAnsi="Calibri"/>
        </w:rPr>
        <w:t>The mean</w:t>
      </w:r>
      <w:r>
        <w:rPr>
          <w:rFonts w:ascii="Calibri" w:hAnsi="Calibri"/>
        </w:rPr>
        <w:t xml:space="preserve"> RNFL</w:t>
      </w:r>
      <w:r w:rsidRPr="0041575F">
        <w:rPr>
          <w:rFonts w:ascii="Calibri" w:hAnsi="Calibri"/>
        </w:rPr>
        <w:t xml:space="preserve"> thickness </w:t>
      </w:r>
      <w:r>
        <w:rPr>
          <w:rFonts w:ascii="Calibri" w:hAnsi="Calibri"/>
        </w:rPr>
        <w:t xml:space="preserve">in the affected eye </w:t>
      </w:r>
      <w:r w:rsidRPr="0041575F">
        <w:rPr>
          <w:rFonts w:ascii="Calibri" w:hAnsi="Calibri"/>
        </w:rPr>
        <w:t>fell after 6 months compared with the baseline unaffected eye by 23</w:t>
      </w:r>
      <w:r>
        <w:rPr>
          <w:rFonts w:ascii="Calibri" w:hAnsi="Calibri"/>
        </w:rPr>
        <w:t>·</w:t>
      </w:r>
      <w:r w:rsidRPr="0041575F">
        <w:rPr>
          <w:rFonts w:ascii="Calibri" w:hAnsi="Calibri"/>
        </w:rPr>
        <w:t>79</w:t>
      </w:r>
      <w:r>
        <w:rPr>
          <w:rFonts w:ascii="Calibri" w:hAnsi="Calibri"/>
        </w:rPr>
        <w:t xml:space="preserve"> </w:t>
      </w:r>
      <w:proofErr w:type="spellStart"/>
      <w:r w:rsidRPr="00565A96">
        <w:rPr>
          <w:rFonts w:ascii="Calibri" w:hAnsi="Calibri"/>
        </w:rPr>
        <w:t>μm</w:t>
      </w:r>
      <w:proofErr w:type="spellEnd"/>
      <w:r w:rsidRPr="0041575F">
        <w:rPr>
          <w:rFonts w:ascii="Calibri" w:hAnsi="Calibri"/>
        </w:rPr>
        <w:t xml:space="preserve"> (24%)</w:t>
      </w:r>
      <w:r>
        <w:rPr>
          <w:rFonts w:ascii="Calibri" w:hAnsi="Calibri"/>
        </w:rPr>
        <w:t xml:space="preserve"> in the placebo group, </w:t>
      </w:r>
      <w:r w:rsidRPr="0041575F">
        <w:rPr>
          <w:rFonts w:ascii="Calibri" w:hAnsi="Calibri"/>
        </w:rPr>
        <w:t>and 16</w:t>
      </w:r>
      <w:r>
        <w:rPr>
          <w:rFonts w:ascii="Calibri" w:hAnsi="Calibri"/>
        </w:rPr>
        <w:t>·</w:t>
      </w:r>
      <w:r w:rsidRPr="0041575F">
        <w:rPr>
          <w:rFonts w:ascii="Calibri" w:hAnsi="Calibri"/>
        </w:rPr>
        <w:t>69</w:t>
      </w:r>
      <w:r>
        <w:rPr>
          <w:rFonts w:ascii="Calibri" w:hAnsi="Calibri"/>
        </w:rPr>
        <w:t xml:space="preserve"> </w:t>
      </w:r>
      <w:r w:rsidRPr="0041575F">
        <w:rPr>
          <w:rFonts w:ascii="Calibri" w:eastAsia="Calibri" w:hAnsi="Calibri" w:cs="Calibri"/>
        </w:rPr>
        <w:t>μ</w:t>
      </w:r>
      <w:r w:rsidRPr="0041575F">
        <w:rPr>
          <w:rFonts w:ascii="Calibri" w:eastAsia="Calibri" w:hAnsi="Calibri" w:cs="Calibri"/>
          <w:lang w:val="en-US"/>
        </w:rPr>
        <w:t>m</w:t>
      </w:r>
      <w:r w:rsidRPr="0041575F">
        <w:rPr>
          <w:rFonts w:ascii="Calibri" w:hAnsi="Calibri"/>
        </w:rPr>
        <w:t xml:space="preserve"> (17%) in </w:t>
      </w:r>
      <w:r>
        <w:rPr>
          <w:rFonts w:ascii="Calibri" w:hAnsi="Calibri"/>
        </w:rPr>
        <w:t xml:space="preserve">the </w:t>
      </w:r>
      <w:r w:rsidRPr="0041575F">
        <w:rPr>
          <w:rFonts w:ascii="Calibri" w:hAnsi="Calibri"/>
        </w:rPr>
        <w:t>phenytoin group, giving a significantly higher mean 6-month affected eye RNFL thickness in the phenytoin group compared to placebo (Figure 2).  The ITT adjusted phenytoin-placebo mean 6-month affected eye RNFL difference was 7</w:t>
      </w:r>
      <w:r>
        <w:rPr>
          <w:rFonts w:ascii="Calibri" w:hAnsi="Calibri"/>
        </w:rPr>
        <w:t>·</w:t>
      </w:r>
      <w:r w:rsidRPr="0041575F">
        <w:rPr>
          <w:rFonts w:ascii="Calibri" w:hAnsi="Calibri"/>
        </w:rPr>
        <w:t xml:space="preserve">15 </w:t>
      </w:r>
      <w:r w:rsidRPr="0041575F">
        <w:rPr>
          <w:rFonts w:ascii="Calibri" w:eastAsia="Calibri" w:hAnsi="Calibri" w:cs="Calibri"/>
        </w:rPr>
        <w:t>μ</w:t>
      </w:r>
      <w:r w:rsidRPr="0041575F">
        <w:rPr>
          <w:rFonts w:ascii="Calibri" w:eastAsia="Calibri" w:hAnsi="Calibri" w:cs="Calibri"/>
          <w:lang w:val="en-US"/>
        </w:rPr>
        <w:t>m (95% CI 1</w:t>
      </w:r>
      <w:r>
        <w:rPr>
          <w:rFonts w:ascii="Calibri" w:eastAsia="Calibri" w:hAnsi="Calibri" w:cs="Calibri"/>
          <w:lang w:val="en-US"/>
        </w:rPr>
        <w:t>·</w:t>
      </w:r>
      <w:r w:rsidRPr="0041575F">
        <w:rPr>
          <w:rFonts w:ascii="Calibri" w:eastAsia="Calibri" w:hAnsi="Calibri" w:cs="Calibri"/>
          <w:lang w:val="en-US"/>
        </w:rPr>
        <w:t>08, 13</w:t>
      </w:r>
      <w:r>
        <w:rPr>
          <w:rFonts w:ascii="Calibri" w:eastAsia="Calibri" w:hAnsi="Calibri" w:cs="Calibri"/>
          <w:lang w:val="en-US"/>
        </w:rPr>
        <w:t>·</w:t>
      </w:r>
      <w:r w:rsidRPr="0041575F">
        <w:rPr>
          <w:rFonts w:ascii="Calibri" w:eastAsia="Calibri" w:hAnsi="Calibri" w:cs="Calibri"/>
          <w:lang w:val="en-US"/>
        </w:rPr>
        <w:t>22; p=0</w:t>
      </w:r>
      <w:r>
        <w:rPr>
          <w:rFonts w:ascii="Calibri" w:eastAsia="Calibri" w:hAnsi="Calibri" w:cs="Calibri"/>
          <w:lang w:val="en-US"/>
        </w:rPr>
        <w:t>·</w:t>
      </w:r>
      <w:r w:rsidRPr="0041575F">
        <w:rPr>
          <w:rFonts w:ascii="Calibri" w:eastAsia="Calibri" w:hAnsi="Calibri" w:cs="Calibri"/>
          <w:lang w:val="en-US"/>
        </w:rPr>
        <w:t>021), indicating a 30% beneficial treatment effect; the corresponding PP adjusted difference was similar, 7</w:t>
      </w:r>
      <w:r>
        <w:rPr>
          <w:rFonts w:ascii="Calibri" w:eastAsia="Calibri" w:hAnsi="Calibri" w:cs="Calibri"/>
          <w:lang w:val="en-US"/>
        </w:rPr>
        <w:t>·</w:t>
      </w:r>
      <w:r w:rsidRPr="0041575F">
        <w:rPr>
          <w:rFonts w:ascii="Calibri" w:eastAsia="Calibri" w:hAnsi="Calibri" w:cs="Calibri"/>
          <w:lang w:val="en-US"/>
        </w:rPr>
        <w:t>40</w:t>
      </w:r>
      <w:r>
        <w:rPr>
          <w:rFonts w:ascii="Calibri" w:eastAsia="Calibri" w:hAnsi="Calibri" w:cs="Calibri"/>
          <w:lang w:val="en-US"/>
        </w:rPr>
        <w:t xml:space="preserve"> </w:t>
      </w:r>
      <w:r w:rsidRPr="0041575F">
        <w:rPr>
          <w:rFonts w:ascii="Calibri" w:eastAsia="Calibri" w:hAnsi="Calibri" w:cs="Calibri"/>
        </w:rPr>
        <w:t>μ</w:t>
      </w:r>
      <w:r w:rsidRPr="0041575F">
        <w:rPr>
          <w:rFonts w:ascii="Calibri" w:eastAsia="Calibri" w:hAnsi="Calibri" w:cs="Calibri"/>
          <w:lang w:val="en-US"/>
        </w:rPr>
        <w:t xml:space="preserve">m (95% CI </w:t>
      </w:r>
      <w:r>
        <w:rPr>
          <w:rFonts w:ascii="Calibri" w:eastAsia="Calibri" w:hAnsi="Calibri" w:cs="Calibri"/>
          <w:lang w:val="en-US"/>
        </w:rPr>
        <w:t>0</w:t>
      </w:r>
      <w:r w:rsidR="00CB5CE6">
        <w:rPr>
          <w:rFonts w:ascii="Calibri" w:eastAsia="Calibri" w:hAnsi="Calibri" w:cs="Calibri"/>
          <w:lang w:val="en-US"/>
        </w:rPr>
        <w:t>·</w:t>
      </w:r>
      <w:r>
        <w:rPr>
          <w:rFonts w:ascii="Calibri" w:eastAsia="Calibri" w:hAnsi="Calibri" w:cs="Calibri"/>
          <w:lang w:val="en-US"/>
        </w:rPr>
        <w:t>76</w:t>
      </w:r>
      <w:r w:rsidRPr="0041575F">
        <w:rPr>
          <w:rFonts w:ascii="Calibri" w:eastAsia="Calibri" w:hAnsi="Calibri" w:cs="Calibri"/>
          <w:lang w:val="en-US"/>
        </w:rPr>
        <w:t xml:space="preserve">, </w:t>
      </w:r>
      <w:r>
        <w:rPr>
          <w:rFonts w:ascii="Calibri" w:eastAsia="Calibri" w:hAnsi="Calibri" w:cs="Calibri"/>
          <w:lang w:val="en-US"/>
        </w:rPr>
        <w:t>14</w:t>
      </w:r>
      <w:r w:rsidR="00CB5CE6">
        <w:rPr>
          <w:rFonts w:ascii="Calibri" w:eastAsia="Calibri" w:hAnsi="Calibri" w:cs="Calibri"/>
          <w:lang w:val="en-US"/>
        </w:rPr>
        <w:t>·</w:t>
      </w:r>
      <w:r>
        <w:rPr>
          <w:rFonts w:ascii="Calibri" w:eastAsia="Calibri" w:hAnsi="Calibri" w:cs="Calibri"/>
          <w:lang w:val="en-US"/>
        </w:rPr>
        <w:t>04</w:t>
      </w:r>
      <w:r w:rsidRPr="0041575F">
        <w:rPr>
          <w:rFonts w:ascii="Calibri" w:eastAsia="Calibri" w:hAnsi="Calibri" w:cs="Calibri"/>
          <w:lang w:val="en-US"/>
        </w:rPr>
        <w:t>; p=0</w:t>
      </w:r>
      <w:r>
        <w:rPr>
          <w:rFonts w:ascii="Calibri" w:eastAsia="Calibri" w:hAnsi="Calibri" w:cs="Calibri"/>
          <w:lang w:val="en-US"/>
        </w:rPr>
        <w:t>·029</w:t>
      </w:r>
      <w:r w:rsidRPr="0041575F">
        <w:rPr>
          <w:rFonts w:ascii="Calibri" w:eastAsia="Calibri" w:hAnsi="Calibri" w:cs="Calibri"/>
          <w:lang w:val="en-US"/>
        </w:rPr>
        <w:t>).</w:t>
      </w:r>
    </w:p>
    <w:p w14:paraId="3F60C418" w14:textId="11623582" w:rsidR="00AA12CB" w:rsidRDefault="00AA12CB" w:rsidP="00AA12CB">
      <w:pPr>
        <w:jc w:val="both"/>
        <w:rPr>
          <w:rFonts w:ascii="Calibri" w:eastAsia="Calibri" w:hAnsi="Calibri" w:cs="Calibri"/>
        </w:rPr>
      </w:pPr>
      <w:r>
        <w:rPr>
          <w:rFonts w:ascii="Calibri" w:hAnsi="Calibri"/>
        </w:rPr>
        <w:t>The m</w:t>
      </w:r>
      <w:r w:rsidRPr="0041575F">
        <w:rPr>
          <w:rFonts w:ascii="Calibri" w:hAnsi="Calibri"/>
        </w:rPr>
        <w:t xml:space="preserve">ean </w:t>
      </w:r>
      <w:r>
        <w:rPr>
          <w:rFonts w:ascii="Calibri" w:hAnsi="Calibri"/>
        </w:rPr>
        <w:t xml:space="preserve">macular volume in the affected eye fell after six months compared with </w:t>
      </w:r>
      <w:r w:rsidRPr="0041575F">
        <w:rPr>
          <w:rFonts w:ascii="Calibri" w:hAnsi="Calibri"/>
        </w:rPr>
        <w:t>the baseline unaffected eye by 0</w:t>
      </w:r>
      <w:r>
        <w:rPr>
          <w:rFonts w:ascii="Calibri" w:hAnsi="Calibri"/>
        </w:rPr>
        <w:t>·</w:t>
      </w:r>
      <w:r w:rsidRPr="0041575F">
        <w:rPr>
          <w:rFonts w:ascii="Calibri" w:hAnsi="Calibri"/>
        </w:rPr>
        <w:t>59</w:t>
      </w:r>
      <w:r w:rsidRPr="0041575F">
        <w:rPr>
          <w:rFonts w:ascii="Calibri" w:eastAsia="Calibri" w:hAnsi="Calibri" w:cs="Calibri"/>
        </w:rPr>
        <w:t>mm</w:t>
      </w:r>
      <w:r w:rsidRPr="0041575F">
        <w:rPr>
          <w:rFonts w:ascii="Calibri" w:eastAsia="Calibri" w:hAnsi="Calibri" w:cs="Calibri"/>
          <w:vertAlign w:val="superscript"/>
        </w:rPr>
        <w:t>3</w:t>
      </w:r>
      <w:r w:rsidRPr="0041575F">
        <w:rPr>
          <w:rFonts w:ascii="Calibri" w:hAnsi="Calibri"/>
        </w:rPr>
        <w:t xml:space="preserve"> (7%) and 0</w:t>
      </w:r>
      <w:r>
        <w:rPr>
          <w:rFonts w:ascii="Calibri" w:hAnsi="Calibri"/>
        </w:rPr>
        <w:t>·</w:t>
      </w:r>
      <w:r w:rsidRPr="0041575F">
        <w:rPr>
          <w:rFonts w:ascii="Calibri" w:hAnsi="Calibri"/>
        </w:rPr>
        <w:t>39</w:t>
      </w:r>
      <w:r>
        <w:rPr>
          <w:rFonts w:ascii="Calibri" w:hAnsi="Calibri"/>
        </w:rPr>
        <w:t xml:space="preserve"> </w:t>
      </w:r>
      <w:r w:rsidRPr="0041575F">
        <w:rPr>
          <w:rFonts w:ascii="Calibri" w:eastAsia="Calibri" w:hAnsi="Calibri" w:cs="Calibri"/>
        </w:rPr>
        <w:t>mm</w:t>
      </w:r>
      <w:r w:rsidRPr="0041575F">
        <w:rPr>
          <w:rFonts w:ascii="Calibri" w:eastAsia="Calibri" w:hAnsi="Calibri" w:cs="Calibri"/>
          <w:vertAlign w:val="superscript"/>
        </w:rPr>
        <w:t>3</w:t>
      </w:r>
      <w:r w:rsidRPr="0041575F">
        <w:rPr>
          <w:rFonts w:ascii="Calibri" w:hAnsi="Calibri"/>
        </w:rPr>
        <w:t xml:space="preserve"> (4%) in placebo and phenytoin groups respectively, giving a significantly higher mean 6-month affected eye MV in the phenytoin group compared to placebo (Figure 2).  The ITT adjusted phenytoin-placebo mean 6-month affected eye RNFL difference was 0</w:t>
      </w:r>
      <w:r>
        <w:rPr>
          <w:rFonts w:ascii="Calibri" w:hAnsi="Calibri"/>
        </w:rPr>
        <w:t>·</w:t>
      </w:r>
      <w:r w:rsidRPr="0041575F">
        <w:rPr>
          <w:rFonts w:ascii="Calibri" w:hAnsi="Calibri"/>
        </w:rPr>
        <w:t>20</w:t>
      </w:r>
      <w:r>
        <w:rPr>
          <w:rFonts w:ascii="Calibri" w:hAnsi="Calibri"/>
        </w:rPr>
        <w:t xml:space="preserve"> </w:t>
      </w:r>
      <w:r w:rsidRPr="0041575F">
        <w:rPr>
          <w:rFonts w:ascii="Calibri" w:eastAsia="Calibri" w:hAnsi="Calibri" w:cs="Calibri"/>
        </w:rPr>
        <w:t>mm</w:t>
      </w:r>
      <w:r w:rsidRPr="0041575F">
        <w:rPr>
          <w:rFonts w:ascii="Calibri" w:eastAsia="Calibri" w:hAnsi="Calibri" w:cs="Calibri"/>
          <w:vertAlign w:val="superscript"/>
        </w:rPr>
        <w:t>3</w:t>
      </w:r>
      <w:r w:rsidRPr="0041575F">
        <w:rPr>
          <w:rFonts w:ascii="Calibri" w:eastAsia="Calibri" w:hAnsi="Calibri" w:cs="Calibri"/>
        </w:rPr>
        <w:t xml:space="preserve"> (95% CI 0</w:t>
      </w:r>
      <w:r>
        <w:rPr>
          <w:rFonts w:ascii="Calibri" w:eastAsia="Calibri" w:hAnsi="Calibri" w:cs="Calibri"/>
        </w:rPr>
        <w:t>·</w:t>
      </w:r>
      <w:r w:rsidRPr="0041575F">
        <w:rPr>
          <w:rFonts w:ascii="Calibri" w:eastAsia="Calibri" w:hAnsi="Calibri" w:cs="Calibri"/>
        </w:rPr>
        <w:t>06, 0</w:t>
      </w:r>
      <w:r>
        <w:rPr>
          <w:rFonts w:ascii="Calibri" w:eastAsia="Calibri" w:hAnsi="Calibri" w:cs="Calibri"/>
        </w:rPr>
        <w:t>·</w:t>
      </w:r>
      <w:r w:rsidRPr="0041575F">
        <w:rPr>
          <w:rFonts w:ascii="Calibri" w:eastAsia="Calibri" w:hAnsi="Calibri" w:cs="Calibri"/>
        </w:rPr>
        <w:t>34; p=0</w:t>
      </w:r>
      <w:r>
        <w:rPr>
          <w:rFonts w:ascii="Calibri" w:eastAsia="Calibri" w:hAnsi="Calibri" w:cs="Calibri"/>
        </w:rPr>
        <w:t>·</w:t>
      </w:r>
      <w:r w:rsidRPr="0041575F">
        <w:rPr>
          <w:rFonts w:ascii="Calibri" w:eastAsia="Calibri" w:hAnsi="Calibri" w:cs="Calibri"/>
        </w:rPr>
        <w:t>005), a 34% beneficial treatment effect; the corresponding PP adjusted difference was again similar, 0</w:t>
      </w:r>
      <w:r>
        <w:rPr>
          <w:rFonts w:ascii="Calibri" w:eastAsia="Calibri" w:hAnsi="Calibri" w:cs="Calibri"/>
        </w:rPr>
        <w:t>·</w:t>
      </w:r>
      <w:r w:rsidRPr="0041575F">
        <w:rPr>
          <w:rFonts w:ascii="Calibri" w:eastAsia="Calibri" w:hAnsi="Calibri" w:cs="Calibri"/>
        </w:rPr>
        <w:t>21 mm</w:t>
      </w:r>
      <w:r w:rsidRPr="0041575F">
        <w:rPr>
          <w:rFonts w:ascii="Calibri" w:eastAsia="Calibri" w:hAnsi="Calibri" w:cs="Calibri"/>
          <w:vertAlign w:val="superscript"/>
        </w:rPr>
        <w:t>3</w:t>
      </w:r>
      <w:r w:rsidRPr="0041575F">
        <w:rPr>
          <w:rFonts w:ascii="Calibri" w:eastAsia="Calibri" w:hAnsi="Calibri" w:cs="Calibri"/>
        </w:rPr>
        <w:t xml:space="preserve"> (95% CI </w:t>
      </w:r>
      <w:r>
        <w:rPr>
          <w:rFonts w:ascii="Calibri" w:eastAsia="Calibri" w:hAnsi="Calibri" w:cs="Calibri"/>
        </w:rPr>
        <w:t>0</w:t>
      </w:r>
      <w:r w:rsidR="00CB5CE6">
        <w:rPr>
          <w:rFonts w:ascii="Calibri" w:eastAsia="Calibri" w:hAnsi="Calibri" w:cs="Calibri"/>
        </w:rPr>
        <w:t>·</w:t>
      </w:r>
      <w:r>
        <w:rPr>
          <w:rFonts w:ascii="Calibri" w:eastAsia="Calibri" w:hAnsi="Calibri" w:cs="Calibri"/>
        </w:rPr>
        <w:t>05</w:t>
      </w:r>
      <w:r w:rsidRPr="0041575F">
        <w:rPr>
          <w:rFonts w:ascii="Calibri" w:eastAsia="Calibri" w:hAnsi="Calibri" w:cs="Calibri"/>
        </w:rPr>
        <w:t xml:space="preserve">, </w:t>
      </w:r>
      <w:r>
        <w:rPr>
          <w:rFonts w:ascii="Calibri" w:eastAsia="Calibri" w:hAnsi="Calibri" w:cs="Calibri"/>
        </w:rPr>
        <w:t>0</w:t>
      </w:r>
      <w:r w:rsidR="00CB5CE6">
        <w:rPr>
          <w:rFonts w:ascii="Calibri" w:eastAsia="Calibri" w:hAnsi="Calibri" w:cs="Calibri"/>
        </w:rPr>
        <w:t>·</w:t>
      </w:r>
      <w:r>
        <w:rPr>
          <w:rFonts w:ascii="Calibri" w:eastAsia="Calibri" w:hAnsi="Calibri" w:cs="Calibri"/>
        </w:rPr>
        <w:t>36</w:t>
      </w:r>
      <w:r w:rsidRPr="0041575F">
        <w:rPr>
          <w:rFonts w:ascii="Calibri" w:eastAsia="Calibri" w:hAnsi="Calibri" w:cs="Calibri"/>
        </w:rPr>
        <w:t>; p=0</w:t>
      </w:r>
      <w:r>
        <w:rPr>
          <w:rFonts w:ascii="Calibri" w:eastAsia="Calibri" w:hAnsi="Calibri" w:cs="Calibri"/>
        </w:rPr>
        <w:t>·010</w:t>
      </w:r>
      <w:r w:rsidRPr="0041575F">
        <w:rPr>
          <w:rFonts w:ascii="Calibri" w:eastAsia="Calibri" w:hAnsi="Calibri" w:cs="Calibri"/>
        </w:rPr>
        <w:t>)</w:t>
      </w:r>
    </w:p>
    <w:p w14:paraId="7E4FA9DA" w14:textId="5BBC9C11" w:rsidR="00AA12CB" w:rsidRPr="003422F8" w:rsidRDefault="00AA12CB" w:rsidP="00AA12CB">
      <w:pPr>
        <w:pStyle w:val="Body"/>
        <w:jc w:val="both"/>
        <w:rPr>
          <w:rFonts w:ascii="Calibri" w:eastAsia="Calibri" w:hAnsi="Calibri" w:cs="Calibri"/>
        </w:rPr>
      </w:pPr>
      <w:r w:rsidRPr="0041575F">
        <w:rPr>
          <w:rFonts w:ascii="Calibri" w:eastAsia="Calibri" w:hAnsi="Calibri" w:cs="Calibri"/>
          <w:lang w:val="en-US"/>
        </w:rPr>
        <w:t>ITT comparison showed no significant difference in optic</w:t>
      </w:r>
      <w:r w:rsidRPr="003422F8">
        <w:rPr>
          <w:rFonts w:ascii="Calibri" w:eastAsia="Calibri" w:hAnsi="Calibri" w:cs="Calibri"/>
          <w:lang w:val="en-US"/>
        </w:rPr>
        <w:t xml:space="preserve"> nerve lesion length between the groups at 6 months (mean adjusted active-placebo difference -2</w:t>
      </w:r>
      <w:r>
        <w:rPr>
          <w:rFonts w:ascii="Calibri" w:eastAsia="Calibri" w:hAnsi="Calibri" w:cs="Calibri"/>
          <w:lang w:val="en-US"/>
        </w:rPr>
        <w:t>·45</w:t>
      </w:r>
      <w:r w:rsidRPr="003422F8">
        <w:rPr>
          <w:rFonts w:ascii="Calibri" w:eastAsia="Calibri" w:hAnsi="Calibri" w:cs="Calibri"/>
          <w:lang w:val="en-US"/>
        </w:rPr>
        <w:t xml:space="preserve">mm, </w:t>
      </w:r>
      <w:r>
        <w:rPr>
          <w:rFonts w:ascii="Calibri" w:eastAsia="Calibri" w:hAnsi="Calibri" w:cs="Calibri"/>
          <w:lang w:val="en-US"/>
        </w:rPr>
        <w:t>CI 95% -6</w:t>
      </w:r>
      <w:r w:rsidR="00CB5CE6">
        <w:rPr>
          <w:rFonts w:ascii="Calibri" w:eastAsia="Calibri" w:hAnsi="Calibri" w:cs="Calibri"/>
          <w:lang w:val="en-US"/>
        </w:rPr>
        <w:t>·</w:t>
      </w:r>
      <w:r>
        <w:rPr>
          <w:rFonts w:ascii="Calibri" w:eastAsia="Calibri" w:hAnsi="Calibri" w:cs="Calibri"/>
          <w:lang w:val="en-US"/>
        </w:rPr>
        <w:t>97, 2</w:t>
      </w:r>
      <w:r w:rsidR="00CB5CE6">
        <w:rPr>
          <w:rFonts w:ascii="Calibri" w:eastAsia="Calibri" w:hAnsi="Calibri" w:cs="Calibri"/>
          <w:lang w:val="en-US"/>
        </w:rPr>
        <w:t>·</w:t>
      </w:r>
      <w:r>
        <w:rPr>
          <w:rFonts w:ascii="Calibri" w:eastAsia="Calibri" w:hAnsi="Calibri" w:cs="Calibri"/>
          <w:lang w:val="en-US"/>
        </w:rPr>
        <w:t xml:space="preserve">08, </w:t>
      </w:r>
      <w:r w:rsidRPr="003422F8">
        <w:rPr>
          <w:rFonts w:ascii="Calibri" w:eastAsia="Calibri" w:hAnsi="Calibri" w:cs="Calibri"/>
          <w:lang w:val="en-US"/>
        </w:rPr>
        <w:t>p=0</w:t>
      </w:r>
      <w:r>
        <w:rPr>
          <w:rFonts w:ascii="Calibri" w:eastAsia="Calibri" w:hAnsi="Calibri" w:cs="Calibri"/>
          <w:lang w:val="en-US"/>
        </w:rPr>
        <w:t>·285</w:t>
      </w:r>
      <w:r w:rsidRPr="003422F8">
        <w:rPr>
          <w:rFonts w:ascii="Calibri" w:eastAsia="Calibri" w:hAnsi="Calibri" w:cs="Calibri"/>
          <w:lang w:val="en-US"/>
        </w:rPr>
        <w:t xml:space="preserve">). However, there was a borderline significant treatment effect on </w:t>
      </w:r>
      <w:proofErr w:type="spellStart"/>
      <w:r>
        <w:rPr>
          <w:rFonts w:ascii="Calibri" w:eastAsia="Calibri" w:hAnsi="Calibri" w:cs="Calibri"/>
          <w:lang w:val="en-US"/>
        </w:rPr>
        <w:t>lesional</w:t>
      </w:r>
      <w:proofErr w:type="spellEnd"/>
      <w:r>
        <w:rPr>
          <w:rFonts w:ascii="Calibri" w:eastAsia="Calibri" w:hAnsi="Calibri" w:cs="Calibri"/>
          <w:lang w:val="en-US"/>
        </w:rPr>
        <w:t xml:space="preserve"> </w:t>
      </w:r>
      <w:r w:rsidRPr="003422F8">
        <w:rPr>
          <w:rFonts w:ascii="Calibri" w:eastAsia="Calibri" w:hAnsi="Calibri" w:cs="Calibri"/>
          <w:lang w:val="en-US"/>
        </w:rPr>
        <w:t>optic nerve cross-sectional area, with an adjusted active-placebo difference of 0</w:t>
      </w:r>
      <w:r>
        <w:rPr>
          <w:rFonts w:ascii="Calibri" w:eastAsia="Calibri" w:hAnsi="Calibri" w:cs="Calibri"/>
          <w:lang w:val="en-US"/>
        </w:rPr>
        <w:t>·</w:t>
      </w:r>
      <w:r w:rsidRPr="003422F8">
        <w:rPr>
          <w:rFonts w:ascii="Calibri" w:eastAsia="Calibri" w:hAnsi="Calibri" w:cs="Calibri"/>
          <w:lang w:val="en-US"/>
        </w:rPr>
        <w:t>4</w:t>
      </w:r>
      <w:r>
        <w:rPr>
          <w:rFonts w:ascii="Calibri" w:eastAsia="Calibri" w:hAnsi="Calibri" w:cs="Calibri"/>
          <w:lang w:val="en-US"/>
        </w:rPr>
        <w:t xml:space="preserve">0 </w:t>
      </w:r>
      <w:r w:rsidRPr="003422F8">
        <w:rPr>
          <w:rFonts w:ascii="Calibri" w:eastAsia="Calibri" w:hAnsi="Calibri" w:cs="Calibri"/>
        </w:rPr>
        <w:t>mm</w:t>
      </w:r>
      <w:r w:rsidRPr="003422F8">
        <w:rPr>
          <w:rFonts w:ascii="Calibri" w:eastAsia="Calibri" w:hAnsi="Calibri" w:cs="Calibri"/>
          <w:vertAlign w:val="superscript"/>
        </w:rPr>
        <w:t>2</w:t>
      </w:r>
      <w:r w:rsidRPr="003422F8">
        <w:rPr>
          <w:rFonts w:ascii="Calibri" w:eastAsia="Calibri" w:hAnsi="Calibri" w:cs="Calibri"/>
          <w:lang w:val="en-US"/>
        </w:rPr>
        <w:t xml:space="preserve"> (</w:t>
      </w:r>
      <w:r w:rsidR="006F4B39">
        <w:rPr>
          <w:rFonts w:ascii="Calibri" w:eastAsia="Calibri" w:hAnsi="Calibri" w:cs="Calibri"/>
          <w:lang w:val="en-US"/>
        </w:rPr>
        <w:t>95% CI -0</w:t>
      </w:r>
      <w:r w:rsidR="00CB5CE6">
        <w:rPr>
          <w:rFonts w:ascii="Calibri" w:eastAsia="Calibri" w:hAnsi="Calibri" w:cs="Calibri"/>
          <w:lang w:val="en-US"/>
        </w:rPr>
        <w:t>·</w:t>
      </w:r>
      <w:r w:rsidR="006F4B39">
        <w:rPr>
          <w:rFonts w:ascii="Calibri" w:eastAsia="Calibri" w:hAnsi="Calibri" w:cs="Calibri"/>
          <w:lang w:val="en-US"/>
        </w:rPr>
        <w:t>02, 0</w:t>
      </w:r>
      <w:r w:rsidR="00CB5CE6">
        <w:rPr>
          <w:rFonts w:ascii="Calibri" w:eastAsia="Calibri" w:hAnsi="Calibri" w:cs="Calibri"/>
          <w:lang w:val="en-US"/>
        </w:rPr>
        <w:t>·</w:t>
      </w:r>
      <w:r w:rsidR="006F4B39">
        <w:rPr>
          <w:rFonts w:ascii="Calibri" w:eastAsia="Calibri" w:hAnsi="Calibri" w:cs="Calibri"/>
          <w:lang w:val="en-US"/>
        </w:rPr>
        <w:t xml:space="preserve">83, </w:t>
      </w:r>
      <w:r w:rsidRPr="003422F8">
        <w:rPr>
          <w:rFonts w:ascii="Calibri" w:eastAsia="Calibri" w:hAnsi="Calibri" w:cs="Calibri"/>
          <w:lang w:val="en-US"/>
        </w:rPr>
        <w:t>p=0</w:t>
      </w:r>
      <w:r>
        <w:rPr>
          <w:rFonts w:ascii="Calibri" w:eastAsia="Calibri" w:hAnsi="Calibri" w:cs="Calibri"/>
          <w:lang w:val="en-US"/>
        </w:rPr>
        <w:t>·</w:t>
      </w:r>
      <w:r w:rsidRPr="003422F8">
        <w:rPr>
          <w:rFonts w:ascii="Calibri" w:eastAsia="Calibri" w:hAnsi="Calibri" w:cs="Calibri"/>
          <w:lang w:val="en-US"/>
        </w:rPr>
        <w:t>06</w:t>
      </w:r>
      <w:r>
        <w:rPr>
          <w:rFonts w:ascii="Calibri" w:eastAsia="Calibri" w:hAnsi="Calibri" w:cs="Calibri"/>
          <w:lang w:val="en-US"/>
        </w:rPr>
        <w:t>1</w:t>
      </w:r>
      <w:r w:rsidRPr="003422F8">
        <w:rPr>
          <w:rFonts w:ascii="Calibri" w:eastAsia="Calibri" w:hAnsi="Calibri" w:cs="Calibri"/>
          <w:lang w:val="en-US"/>
        </w:rPr>
        <w:t>) a 38% treatment effect. The corresponding adjusted difference in cross-sectional area in the PP comparison was 0</w:t>
      </w:r>
      <w:r>
        <w:rPr>
          <w:rFonts w:ascii="Calibri" w:eastAsia="Calibri" w:hAnsi="Calibri" w:cs="Calibri"/>
          <w:lang w:val="en-US"/>
        </w:rPr>
        <w:t>·</w:t>
      </w:r>
      <w:r w:rsidRPr="003422F8">
        <w:rPr>
          <w:rFonts w:ascii="Calibri" w:eastAsia="Calibri" w:hAnsi="Calibri" w:cs="Calibri"/>
          <w:lang w:val="en-US"/>
        </w:rPr>
        <w:t>47</w:t>
      </w:r>
      <w:r w:rsidRPr="003422F8">
        <w:rPr>
          <w:rFonts w:ascii="Calibri" w:eastAsia="Calibri" w:hAnsi="Calibri" w:cs="Calibri"/>
        </w:rPr>
        <w:t>mm</w:t>
      </w:r>
      <w:r w:rsidRPr="003422F8">
        <w:rPr>
          <w:rFonts w:ascii="Calibri" w:eastAsia="Calibri" w:hAnsi="Calibri" w:cs="Calibri"/>
          <w:vertAlign w:val="superscript"/>
        </w:rPr>
        <w:t>2</w:t>
      </w:r>
      <w:r w:rsidRPr="003422F8">
        <w:rPr>
          <w:rFonts w:ascii="Calibri" w:eastAsia="Calibri" w:hAnsi="Calibri" w:cs="Calibri"/>
        </w:rPr>
        <w:t xml:space="preserve"> (</w:t>
      </w:r>
      <w:r w:rsidR="006F4B39">
        <w:rPr>
          <w:rFonts w:ascii="Calibri" w:eastAsia="Calibri" w:hAnsi="Calibri" w:cs="Calibri"/>
        </w:rPr>
        <w:t>95% CI -0</w:t>
      </w:r>
      <w:r w:rsidR="00CB5CE6">
        <w:rPr>
          <w:rFonts w:ascii="Calibri" w:eastAsia="Calibri" w:hAnsi="Calibri" w:cs="Calibri"/>
        </w:rPr>
        <w:t>·</w:t>
      </w:r>
      <w:r w:rsidR="006F4B39">
        <w:rPr>
          <w:rFonts w:ascii="Calibri" w:eastAsia="Calibri" w:hAnsi="Calibri" w:cs="Calibri"/>
        </w:rPr>
        <w:t>04, 0</w:t>
      </w:r>
      <w:r w:rsidR="00CB5CE6">
        <w:rPr>
          <w:rFonts w:ascii="Calibri" w:eastAsia="Calibri" w:hAnsi="Calibri" w:cs="Calibri"/>
        </w:rPr>
        <w:t>·</w:t>
      </w:r>
      <w:r w:rsidR="006F4B39">
        <w:rPr>
          <w:rFonts w:ascii="Calibri" w:eastAsia="Calibri" w:hAnsi="Calibri" w:cs="Calibri"/>
        </w:rPr>
        <w:t xml:space="preserve">97, </w:t>
      </w:r>
      <w:r w:rsidRPr="003422F8">
        <w:rPr>
          <w:rFonts w:ascii="Calibri" w:eastAsia="Calibri" w:hAnsi="Calibri" w:cs="Calibri"/>
        </w:rPr>
        <w:t>p=0</w:t>
      </w:r>
      <w:r>
        <w:rPr>
          <w:rFonts w:ascii="Calibri" w:eastAsia="Calibri" w:hAnsi="Calibri" w:cs="Calibri"/>
        </w:rPr>
        <w:t>·</w:t>
      </w:r>
      <w:r w:rsidRPr="003422F8">
        <w:rPr>
          <w:rFonts w:ascii="Calibri" w:eastAsia="Calibri" w:hAnsi="Calibri" w:cs="Calibri"/>
        </w:rPr>
        <w:t>07</w:t>
      </w:r>
      <w:r>
        <w:rPr>
          <w:rFonts w:ascii="Calibri" w:eastAsia="Calibri" w:hAnsi="Calibri" w:cs="Calibri"/>
        </w:rPr>
        <w:t>0</w:t>
      </w:r>
      <w:r w:rsidRPr="003422F8">
        <w:rPr>
          <w:rFonts w:ascii="Calibri" w:eastAsia="Calibri" w:hAnsi="Calibri" w:cs="Calibri"/>
        </w:rPr>
        <w:t xml:space="preserve">). </w:t>
      </w:r>
    </w:p>
    <w:p w14:paraId="513407EE" w14:textId="77777777" w:rsidR="00AA12CB" w:rsidRPr="003422F8" w:rsidRDefault="00AA12CB" w:rsidP="00AA12CB">
      <w:pPr>
        <w:pStyle w:val="Body"/>
        <w:jc w:val="both"/>
        <w:rPr>
          <w:rFonts w:ascii="Calibri" w:eastAsia="Calibri" w:hAnsi="Calibri" w:cs="Calibri"/>
          <w:color w:val="FF0000"/>
          <w:u w:val="single" w:color="FF0000"/>
        </w:rPr>
      </w:pPr>
      <w:r>
        <w:rPr>
          <w:rFonts w:ascii="Calibri" w:eastAsia="Calibri" w:hAnsi="Calibri" w:cs="Calibri"/>
          <w:lang w:val="en-US"/>
        </w:rPr>
        <w:t>There were</w:t>
      </w:r>
      <w:r w:rsidRPr="003422F8">
        <w:rPr>
          <w:rFonts w:ascii="Calibri" w:eastAsia="Calibri" w:hAnsi="Calibri" w:cs="Calibri"/>
          <w:lang w:val="en-US"/>
        </w:rPr>
        <w:t xml:space="preserve"> no significant </w:t>
      </w:r>
      <w:r>
        <w:rPr>
          <w:rFonts w:ascii="Calibri" w:eastAsia="Calibri" w:hAnsi="Calibri" w:cs="Calibri"/>
          <w:lang w:val="en-US"/>
        </w:rPr>
        <w:t xml:space="preserve">ITT or PP active-placebo </w:t>
      </w:r>
      <w:r w:rsidRPr="003422F8">
        <w:rPr>
          <w:rFonts w:ascii="Calibri" w:eastAsia="Calibri" w:hAnsi="Calibri" w:cs="Calibri"/>
          <w:lang w:val="en-US"/>
        </w:rPr>
        <w:t>difference</w:t>
      </w:r>
      <w:r>
        <w:rPr>
          <w:rFonts w:ascii="Calibri" w:eastAsia="Calibri" w:hAnsi="Calibri" w:cs="Calibri"/>
          <w:lang w:val="en-US"/>
        </w:rPr>
        <w:t>s</w:t>
      </w:r>
      <w:r w:rsidRPr="003422F8">
        <w:rPr>
          <w:rFonts w:ascii="Calibri" w:eastAsia="Calibri" w:hAnsi="Calibri" w:cs="Calibri"/>
          <w:lang w:val="en-US"/>
        </w:rPr>
        <w:t xml:space="preserve"> in visual function</w:t>
      </w:r>
      <w:r>
        <w:rPr>
          <w:rFonts w:ascii="Calibri" w:eastAsia="Calibri" w:hAnsi="Calibri" w:cs="Calibri"/>
          <w:lang w:val="en-US"/>
        </w:rPr>
        <w:t>, VEP latency or amplitude</w:t>
      </w:r>
      <w:r w:rsidRPr="003422F8">
        <w:rPr>
          <w:rFonts w:ascii="Calibri" w:eastAsia="Calibri" w:hAnsi="Calibri" w:cs="Calibri"/>
          <w:lang w:val="en-US"/>
        </w:rPr>
        <w:t xml:space="preserve"> at 6 months</w:t>
      </w:r>
      <w:r>
        <w:rPr>
          <w:rFonts w:ascii="Calibri" w:eastAsia="Calibri" w:hAnsi="Calibri" w:cs="Calibri"/>
          <w:lang w:val="en-US"/>
        </w:rPr>
        <w:t xml:space="preserve"> (Table 3)</w:t>
      </w:r>
      <w:r w:rsidRPr="003422F8">
        <w:rPr>
          <w:rFonts w:ascii="Calibri" w:eastAsia="Calibri" w:hAnsi="Calibri" w:cs="Calibri"/>
          <w:lang w:val="en-US"/>
        </w:rPr>
        <w:t xml:space="preserve">. </w:t>
      </w:r>
    </w:p>
    <w:p w14:paraId="5421197D" w14:textId="54FF6FD4" w:rsidR="00AA12CB" w:rsidRPr="003422F8" w:rsidRDefault="00AA12CB" w:rsidP="00AA12CB">
      <w:pPr>
        <w:pStyle w:val="Body"/>
        <w:jc w:val="both"/>
        <w:rPr>
          <w:rFonts w:ascii="Calibri" w:eastAsia="Calibri" w:hAnsi="Calibri" w:cs="Calibri"/>
        </w:rPr>
      </w:pPr>
      <w:r>
        <w:rPr>
          <w:rFonts w:ascii="Calibri" w:eastAsia="Calibri" w:hAnsi="Calibri" w:cs="Calibri"/>
          <w:lang w:val="en-US"/>
        </w:rPr>
        <w:t>A number of exploratory analyses were undertaken. In</w:t>
      </w:r>
      <w:r w:rsidRPr="003422F8">
        <w:rPr>
          <w:rFonts w:ascii="Calibri" w:eastAsia="Calibri" w:hAnsi="Calibri" w:cs="Calibri"/>
          <w:lang w:val="en-US"/>
        </w:rPr>
        <w:t xml:space="preserve"> </w:t>
      </w:r>
      <w:r>
        <w:rPr>
          <w:rFonts w:ascii="Calibri" w:eastAsia="Calibri" w:hAnsi="Calibri" w:cs="Calibri"/>
          <w:lang w:val="en-US"/>
        </w:rPr>
        <w:t>10 active participant</w:t>
      </w:r>
      <w:r w:rsidRPr="003422F8">
        <w:rPr>
          <w:rFonts w:ascii="Calibri" w:eastAsia="Calibri" w:hAnsi="Calibri" w:cs="Calibri"/>
          <w:lang w:val="en-US"/>
        </w:rPr>
        <w:t>s who discontinued treatment due to</w:t>
      </w:r>
      <w:r>
        <w:rPr>
          <w:rFonts w:ascii="Calibri" w:eastAsia="Calibri" w:hAnsi="Calibri" w:cs="Calibri"/>
          <w:lang w:val="en-US"/>
        </w:rPr>
        <w:t xml:space="preserve"> skin</w:t>
      </w:r>
      <w:r w:rsidRPr="003422F8">
        <w:rPr>
          <w:rFonts w:ascii="Calibri" w:eastAsia="Calibri" w:hAnsi="Calibri" w:cs="Calibri"/>
          <w:lang w:val="en-US"/>
        </w:rPr>
        <w:t xml:space="preserve"> rash</w:t>
      </w:r>
      <w:r>
        <w:rPr>
          <w:rFonts w:ascii="Calibri" w:eastAsia="Calibri" w:hAnsi="Calibri" w:cs="Calibri"/>
          <w:lang w:val="en-US"/>
        </w:rPr>
        <w:t xml:space="preserve">, the </w:t>
      </w:r>
      <w:r w:rsidRPr="003422F8">
        <w:rPr>
          <w:rFonts w:ascii="Calibri" w:eastAsia="Calibri" w:hAnsi="Calibri" w:cs="Calibri"/>
          <w:lang w:val="en-US"/>
        </w:rPr>
        <w:t xml:space="preserve">adjusted </w:t>
      </w:r>
      <w:r>
        <w:rPr>
          <w:rFonts w:ascii="Calibri" w:eastAsia="Calibri" w:hAnsi="Calibri" w:cs="Calibri"/>
          <w:lang w:val="en-US"/>
        </w:rPr>
        <w:t xml:space="preserve">mean </w:t>
      </w:r>
      <w:r w:rsidRPr="003422F8">
        <w:rPr>
          <w:rFonts w:ascii="Calibri" w:eastAsia="Calibri" w:hAnsi="Calibri" w:cs="Calibri"/>
          <w:lang w:val="en-US"/>
        </w:rPr>
        <w:t xml:space="preserve">active-placebo </w:t>
      </w:r>
      <w:r w:rsidRPr="003422F8">
        <w:rPr>
          <w:rFonts w:ascii="Calibri" w:eastAsia="Calibri" w:hAnsi="Calibri" w:cs="Calibri"/>
          <w:lang w:val="en-US"/>
        </w:rPr>
        <w:lastRenderedPageBreak/>
        <w:t xml:space="preserve">difference in </w:t>
      </w:r>
      <w:r>
        <w:rPr>
          <w:rFonts w:ascii="Calibri" w:eastAsia="Calibri" w:hAnsi="Calibri" w:cs="Calibri"/>
          <w:lang w:val="en-US"/>
        </w:rPr>
        <w:t xml:space="preserve">affected eye </w:t>
      </w:r>
      <w:r w:rsidRPr="003422F8">
        <w:rPr>
          <w:rFonts w:ascii="Calibri" w:eastAsia="Calibri" w:hAnsi="Calibri" w:cs="Calibri"/>
          <w:lang w:val="en-US"/>
        </w:rPr>
        <w:t>RNFL thickness was 8</w:t>
      </w:r>
      <w:r>
        <w:rPr>
          <w:rFonts w:ascii="Calibri" w:eastAsia="Calibri" w:hAnsi="Calibri" w:cs="Calibri"/>
          <w:lang w:val="en-US"/>
        </w:rPr>
        <w:t>·</w:t>
      </w:r>
      <w:r w:rsidRPr="003422F8">
        <w:rPr>
          <w:rFonts w:ascii="Calibri" w:eastAsia="Calibri" w:hAnsi="Calibri" w:cs="Calibri"/>
          <w:lang w:val="en-US"/>
        </w:rPr>
        <w:t>29</w:t>
      </w:r>
      <w:r>
        <w:rPr>
          <w:rFonts w:ascii="Calibri" w:eastAsia="Calibri" w:hAnsi="Calibri" w:cs="Calibri"/>
          <w:lang w:val="en-US"/>
        </w:rPr>
        <w:t xml:space="preserve"> </w:t>
      </w:r>
      <w:r w:rsidRPr="003422F8">
        <w:rPr>
          <w:rFonts w:ascii="Calibri" w:eastAsia="Calibri" w:hAnsi="Calibri" w:cs="Calibri"/>
          <w:lang w:val="en-US"/>
        </w:rPr>
        <w:t>μ</w:t>
      </w:r>
      <w:r w:rsidRPr="003422F8">
        <w:rPr>
          <w:rFonts w:ascii="Calibri" w:eastAsia="Calibri" w:hAnsi="Calibri" w:cs="Calibri"/>
        </w:rPr>
        <w:t>m</w:t>
      </w:r>
      <w:r>
        <w:rPr>
          <w:rFonts w:ascii="Calibri" w:eastAsia="Calibri" w:hAnsi="Calibri" w:cs="Calibri"/>
        </w:rPr>
        <w:t>,</w:t>
      </w:r>
      <w:r w:rsidRPr="003422F8">
        <w:rPr>
          <w:rFonts w:ascii="Calibri" w:eastAsia="Calibri" w:hAnsi="Calibri" w:cs="Calibri"/>
          <w:lang w:val="en-US"/>
        </w:rPr>
        <w:t xml:space="preserve"> similar </w:t>
      </w:r>
      <w:r>
        <w:rPr>
          <w:rFonts w:ascii="Calibri" w:eastAsia="Calibri" w:hAnsi="Calibri" w:cs="Calibri"/>
          <w:lang w:val="en-US"/>
        </w:rPr>
        <w:t>to the difference observed in the whole ITT sample</w:t>
      </w:r>
      <w:r w:rsidRPr="003422F8">
        <w:rPr>
          <w:rFonts w:ascii="Calibri" w:eastAsia="Calibri" w:hAnsi="Calibri" w:cs="Calibri"/>
        </w:rPr>
        <w:t>.</w:t>
      </w:r>
      <w:r w:rsidR="006F4B39">
        <w:rPr>
          <w:rFonts w:ascii="Calibri" w:eastAsia="Calibri" w:hAnsi="Calibri" w:cs="Calibri"/>
        </w:rPr>
        <w:t xml:space="preserve"> </w:t>
      </w:r>
      <w:r w:rsidR="00D627BB">
        <w:rPr>
          <w:rFonts w:ascii="Calibri" w:eastAsia="Calibri" w:hAnsi="Calibri" w:cs="Calibri"/>
        </w:rPr>
        <w:t>P</w:t>
      </w:r>
      <w:r w:rsidR="006F4B39">
        <w:rPr>
          <w:rFonts w:ascii="Calibri" w:eastAsia="Calibri" w:hAnsi="Calibri" w:cs="Calibri"/>
        </w:rPr>
        <w:t>rimary analysis treatment effects for participants with normal and abnormal brain MRI brain scans at baseline were 7</w:t>
      </w:r>
      <w:r w:rsidR="00CB5CE6">
        <w:rPr>
          <w:rFonts w:ascii="Calibri" w:eastAsia="Calibri" w:hAnsi="Calibri" w:cs="Calibri"/>
        </w:rPr>
        <w:t>·</w:t>
      </w:r>
      <w:r w:rsidR="006F4B39">
        <w:rPr>
          <w:rFonts w:ascii="Calibri" w:eastAsia="Calibri" w:hAnsi="Calibri" w:cs="Calibri"/>
        </w:rPr>
        <w:t>90 (p=0</w:t>
      </w:r>
      <w:r w:rsidR="00CB5CE6">
        <w:rPr>
          <w:rFonts w:ascii="Calibri" w:eastAsia="Calibri" w:hAnsi="Calibri" w:cs="Calibri"/>
        </w:rPr>
        <w:t>·</w:t>
      </w:r>
      <w:r w:rsidR="006F4B39">
        <w:rPr>
          <w:rFonts w:ascii="Calibri" w:eastAsia="Calibri" w:hAnsi="Calibri" w:cs="Calibri"/>
        </w:rPr>
        <w:t>029) and 4</w:t>
      </w:r>
      <w:r w:rsidR="00CB5CE6">
        <w:rPr>
          <w:rFonts w:ascii="Calibri" w:eastAsia="Calibri" w:hAnsi="Calibri" w:cs="Calibri"/>
        </w:rPr>
        <w:t>·</w:t>
      </w:r>
      <w:r w:rsidR="006F4B39">
        <w:rPr>
          <w:rFonts w:ascii="Calibri" w:eastAsia="Calibri" w:hAnsi="Calibri" w:cs="Calibri"/>
        </w:rPr>
        <w:t>34 (p=0</w:t>
      </w:r>
      <w:r w:rsidR="00CB5CE6">
        <w:rPr>
          <w:rFonts w:ascii="Calibri" w:eastAsia="Calibri" w:hAnsi="Calibri" w:cs="Calibri"/>
        </w:rPr>
        <w:t>·</w:t>
      </w:r>
      <w:r w:rsidR="006F4B39">
        <w:rPr>
          <w:rFonts w:ascii="Calibri" w:eastAsia="Calibri" w:hAnsi="Calibri" w:cs="Calibri"/>
        </w:rPr>
        <w:t xml:space="preserve">496) respectively, but </w:t>
      </w:r>
      <w:r w:rsidR="000F6632">
        <w:rPr>
          <w:rFonts w:ascii="Calibri" w:eastAsia="Calibri" w:hAnsi="Calibri" w:cs="Calibri"/>
        </w:rPr>
        <w:t xml:space="preserve">the difference was not significant (p=0·629); however, </w:t>
      </w:r>
      <w:r w:rsidR="00FC11EA">
        <w:rPr>
          <w:rFonts w:ascii="Calibri" w:eastAsia="Calibri" w:hAnsi="Calibri" w:cs="Calibri"/>
        </w:rPr>
        <w:t>the study was not powere</w:t>
      </w:r>
      <w:r w:rsidR="000F6632">
        <w:rPr>
          <w:rFonts w:ascii="Calibri" w:eastAsia="Calibri" w:hAnsi="Calibri" w:cs="Calibri"/>
        </w:rPr>
        <w:t>d to explore such subgroup analyses.</w:t>
      </w:r>
      <w:r w:rsidR="00FC11EA">
        <w:rPr>
          <w:rFonts w:ascii="Calibri" w:eastAsia="Calibri" w:hAnsi="Calibri" w:cs="Calibri"/>
        </w:rPr>
        <w:t xml:space="preserve"> </w:t>
      </w:r>
      <w:r w:rsidRPr="003422F8">
        <w:rPr>
          <w:rFonts w:ascii="Calibri" w:eastAsia="Calibri" w:hAnsi="Calibri" w:cs="Calibri"/>
          <w:lang w:val="en-US"/>
        </w:rPr>
        <w:t xml:space="preserve">There were no significant associations </w:t>
      </w:r>
      <w:r>
        <w:rPr>
          <w:rFonts w:ascii="Calibri" w:eastAsia="Calibri" w:hAnsi="Calibri" w:cs="Calibri"/>
          <w:lang w:val="en-US"/>
        </w:rPr>
        <w:t xml:space="preserve">in the active group </w:t>
      </w:r>
      <w:r w:rsidRPr="003422F8">
        <w:rPr>
          <w:rFonts w:ascii="Calibri" w:eastAsia="Calibri" w:hAnsi="Calibri" w:cs="Calibri"/>
          <w:lang w:val="en-US"/>
        </w:rPr>
        <w:t xml:space="preserve">between </w:t>
      </w:r>
      <w:r>
        <w:rPr>
          <w:rFonts w:ascii="Calibri" w:eastAsia="Calibri" w:hAnsi="Calibri" w:cs="Calibri"/>
          <w:lang w:val="en-US"/>
        </w:rPr>
        <w:t xml:space="preserve">1-month </w:t>
      </w:r>
      <w:r w:rsidRPr="003422F8">
        <w:rPr>
          <w:rFonts w:ascii="Calibri" w:eastAsia="Calibri" w:hAnsi="Calibri" w:cs="Calibri"/>
          <w:lang w:val="en-US"/>
        </w:rPr>
        <w:t xml:space="preserve">phenytoin concentrations and any of the primary or secondary outcomes, apart from a borderline significant </w:t>
      </w:r>
      <w:r>
        <w:rPr>
          <w:rFonts w:ascii="Calibri" w:eastAsia="Calibri" w:hAnsi="Calibri" w:cs="Calibri"/>
          <w:lang w:val="en-US"/>
        </w:rPr>
        <w:t>positive correlation</w:t>
      </w:r>
      <w:r w:rsidRPr="003422F8">
        <w:rPr>
          <w:rFonts w:ascii="Calibri" w:eastAsia="Calibri" w:hAnsi="Calibri" w:cs="Calibri"/>
          <w:lang w:val="en-US"/>
        </w:rPr>
        <w:t xml:space="preserve"> </w:t>
      </w:r>
      <w:r>
        <w:rPr>
          <w:rFonts w:ascii="Calibri" w:eastAsia="Calibri" w:hAnsi="Calibri" w:cs="Calibri"/>
          <w:lang w:val="en-US"/>
        </w:rPr>
        <w:t>with</w:t>
      </w:r>
      <w:r w:rsidRPr="003422F8">
        <w:rPr>
          <w:rFonts w:ascii="Calibri" w:eastAsia="Calibri" w:hAnsi="Calibri" w:cs="Calibri"/>
          <w:lang w:val="en-US"/>
        </w:rPr>
        <w:t xml:space="preserve"> optic nerve cross-sectional area (r=0</w:t>
      </w:r>
      <w:r>
        <w:rPr>
          <w:rFonts w:ascii="Calibri" w:eastAsia="Calibri" w:hAnsi="Calibri" w:cs="Calibri"/>
          <w:lang w:val="en-US"/>
        </w:rPr>
        <w:t>·</w:t>
      </w:r>
      <w:r w:rsidRPr="003422F8">
        <w:rPr>
          <w:rFonts w:ascii="Calibri" w:eastAsia="Calibri" w:hAnsi="Calibri" w:cs="Calibri"/>
          <w:lang w:val="en-US"/>
        </w:rPr>
        <w:t>39, p=0</w:t>
      </w:r>
      <w:r>
        <w:rPr>
          <w:rFonts w:ascii="Calibri" w:eastAsia="Calibri" w:hAnsi="Calibri" w:cs="Calibri"/>
          <w:lang w:val="en-US"/>
        </w:rPr>
        <w:t>·</w:t>
      </w:r>
      <w:r w:rsidRPr="003422F8">
        <w:rPr>
          <w:rFonts w:ascii="Calibri" w:eastAsia="Calibri" w:hAnsi="Calibri" w:cs="Calibri"/>
          <w:lang w:val="en-US"/>
        </w:rPr>
        <w:t>06</w:t>
      </w:r>
      <w:r>
        <w:rPr>
          <w:rFonts w:ascii="Calibri" w:eastAsia="Calibri" w:hAnsi="Calibri" w:cs="Calibri"/>
          <w:lang w:val="en-US"/>
        </w:rPr>
        <w:t>3</w:t>
      </w:r>
      <w:r w:rsidRPr="003422F8">
        <w:rPr>
          <w:rFonts w:ascii="Calibri" w:eastAsia="Calibri" w:hAnsi="Calibri" w:cs="Calibri"/>
          <w:lang w:val="en-US"/>
        </w:rPr>
        <w:t xml:space="preserve">). There were no significant correlations between any of the primary or secondary outcome measurements and the time from onset of visual loss to initiation of treatment. </w:t>
      </w:r>
    </w:p>
    <w:p w14:paraId="2CAEF57C" w14:textId="41932FEF" w:rsidR="00486095" w:rsidRDefault="007A0D21" w:rsidP="0004641F">
      <w:pPr>
        <w:pStyle w:val="Body"/>
        <w:jc w:val="both"/>
        <w:rPr>
          <w:rFonts w:asciiTheme="majorHAnsi" w:eastAsia="Calibri" w:hAnsiTheme="majorHAnsi" w:cs="Calibri"/>
          <w:lang w:val="en-US"/>
        </w:rPr>
      </w:pPr>
      <w:r w:rsidRPr="001256AC">
        <w:rPr>
          <w:rFonts w:asciiTheme="majorHAnsi" w:eastAsia="Calibri" w:hAnsiTheme="majorHAnsi" w:cs="Calibri"/>
          <w:lang w:val="en-US"/>
        </w:rPr>
        <w:t xml:space="preserve">Similar proportions of </w:t>
      </w:r>
      <w:r w:rsidR="00C14376" w:rsidRPr="001256AC">
        <w:rPr>
          <w:rFonts w:asciiTheme="majorHAnsi" w:eastAsia="Calibri" w:hAnsiTheme="majorHAnsi" w:cs="Calibri"/>
          <w:lang w:val="en-US"/>
        </w:rPr>
        <w:t>participant</w:t>
      </w:r>
      <w:r w:rsidRPr="001256AC">
        <w:rPr>
          <w:rFonts w:asciiTheme="majorHAnsi" w:eastAsia="Calibri" w:hAnsiTheme="majorHAnsi" w:cs="Calibri"/>
          <w:lang w:val="en-US"/>
        </w:rPr>
        <w:t xml:space="preserve">s in the phenytoin and placebo groups </w:t>
      </w:r>
      <w:r w:rsidR="003A56DB" w:rsidRPr="001256AC">
        <w:rPr>
          <w:rFonts w:asciiTheme="majorHAnsi" w:eastAsia="Calibri" w:hAnsiTheme="majorHAnsi" w:cs="Calibri"/>
          <w:lang w:val="en-US"/>
        </w:rPr>
        <w:t>experienced</w:t>
      </w:r>
      <w:r w:rsidRPr="001256AC">
        <w:rPr>
          <w:rFonts w:asciiTheme="majorHAnsi" w:eastAsia="Calibri" w:hAnsiTheme="majorHAnsi" w:cs="Calibri"/>
          <w:lang w:val="en-US"/>
        </w:rPr>
        <w:t xml:space="preserve"> adverse events</w:t>
      </w:r>
      <w:r w:rsidR="003F5356" w:rsidRPr="001256AC">
        <w:rPr>
          <w:rFonts w:asciiTheme="majorHAnsi" w:eastAsia="Calibri" w:hAnsiTheme="majorHAnsi" w:cs="Calibri"/>
          <w:lang w:val="en-US"/>
        </w:rPr>
        <w:t xml:space="preserve"> (Table 4)</w:t>
      </w:r>
      <w:r w:rsidR="003A56DB" w:rsidRPr="001256AC">
        <w:rPr>
          <w:rFonts w:asciiTheme="majorHAnsi" w:eastAsia="Calibri" w:hAnsiTheme="majorHAnsi" w:cs="Calibri"/>
          <w:lang w:val="en-US"/>
        </w:rPr>
        <w:t xml:space="preserve">. </w:t>
      </w:r>
      <w:r w:rsidR="003F5356" w:rsidRPr="001256AC">
        <w:rPr>
          <w:rFonts w:asciiTheme="majorHAnsi" w:eastAsia="Calibri" w:hAnsiTheme="majorHAnsi" w:cs="Calibri"/>
          <w:lang w:val="en-US"/>
        </w:rPr>
        <w:t>A higher, but non-significant</w:t>
      </w:r>
      <w:r w:rsidR="00102205" w:rsidRPr="001256AC">
        <w:rPr>
          <w:rFonts w:asciiTheme="majorHAnsi" w:eastAsia="Calibri" w:hAnsiTheme="majorHAnsi" w:cs="Calibri"/>
          <w:lang w:val="en-US"/>
        </w:rPr>
        <w:t>,</w:t>
      </w:r>
      <w:r w:rsidR="003F5356" w:rsidRPr="001256AC">
        <w:rPr>
          <w:rFonts w:asciiTheme="majorHAnsi" w:eastAsia="Calibri" w:hAnsiTheme="majorHAnsi" w:cs="Calibri"/>
          <w:lang w:val="en-US"/>
        </w:rPr>
        <w:t xml:space="preserve"> proportion of participants </w:t>
      </w:r>
      <w:r w:rsidR="00E42185" w:rsidRPr="001256AC">
        <w:rPr>
          <w:rFonts w:asciiTheme="majorHAnsi" w:eastAsia="Calibri" w:hAnsiTheme="majorHAnsi" w:cs="Calibri"/>
          <w:lang w:val="en-US"/>
        </w:rPr>
        <w:t xml:space="preserve">in the active group </w:t>
      </w:r>
      <w:r w:rsidR="003F5356" w:rsidRPr="001256AC">
        <w:rPr>
          <w:rFonts w:asciiTheme="majorHAnsi" w:eastAsia="Calibri" w:hAnsiTheme="majorHAnsi" w:cs="Calibri"/>
          <w:lang w:val="en-US"/>
        </w:rPr>
        <w:t>discontinued the study medication due to an adverse event (in all cases</w:t>
      </w:r>
      <w:r w:rsidR="00BF5821" w:rsidRPr="001256AC">
        <w:rPr>
          <w:rFonts w:asciiTheme="majorHAnsi" w:eastAsia="Calibri" w:hAnsiTheme="majorHAnsi" w:cs="Calibri"/>
          <w:lang w:val="en-US"/>
        </w:rPr>
        <w:t xml:space="preserve"> this was a </w:t>
      </w:r>
      <w:proofErr w:type="spellStart"/>
      <w:r w:rsidR="00BF5821" w:rsidRPr="001256AC">
        <w:rPr>
          <w:rFonts w:asciiTheme="majorHAnsi" w:eastAsia="Calibri" w:hAnsiTheme="majorHAnsi" w:cs="Calibri"/>
          <w:lang w:val="en-US"/>
        </w:rPr>
        <w:t>maculopapular</w:t>
      </w:r>
      <w:proofErr w:type="spellEnd"/>
      <w:r w:rsidR="00BF5821" w:rsidRPr="001256AC">
        <w:rPr>
          <w:rFonts w:asciiTheme="majorHAnsi" w:eastAsia="Calibri" w:hAnsiTheme="majorHAnsi" w:cs="Calibri"/>
          <w:lang w:val="en-US"/>
        </w:rPr>
        <w:t xml:space="preserve"> rash typical of a drug reaction</w:t>
      </w:r>
      <w:r w:rsidR="003F5356" w:rsidRPr="001256AC">
        <w:rPr>
          <w:rFonts w:asciiTheme="majorHAnsi" w:eastAsia="Calibri" w:hAnsiTheme="majorHAnsi" w:cs="Calibri"/>
          <w:lang w:val="en-US"/>
        </w:rPr>
        <w:t xml:space="preserve">). </w:t>
      </w:r>
      <w:r w:rsidR="003A56DB" w:rsidRPr="001256AC">
        <w:rPr>
          <w:rFonts w:asciiTheme="majorHAnsi" w:eastAsia="Calibri" w:hAnsiTheme="majorHAnsi" w:cs="Calibri"/>
          <w:lang w:val="en-US"/>
        </w:rPr>
        <w:t>W</w:t>
      </w:r>
      <w:r w:rsidR="007F0333" w:rsidRPr="001256AC">
        <w:rPr>
          <w:rFonts w:asciiTheme="majorHAnsi" w:eastAsia="Calibri" w:hAnsiTheme="majorHAnsi" w:cs="Calibri"/>
          <w:lang w:val="en-US"/>
        </w:rPr>
        <w:t>ith the exception of a severe rash</w:t>
      </w:r>
      <w:r w:rsidR="003A56DB" w:rsidRPr="001256AC">
        <w:rPr>
          <w:rFonts w:asciiTheme="majorHAnsi" w:eastAsia="Calibri" w:hAnsiTheme="majorHAnsi" w:cs="Calibri"/>
          <w:lang w:val="en-US"/>
        </w:rPr>
        <w:t xml:space="preserve"> in one participant,</w:t>
      </w:r>
      <w:r w:rsidRPr="001256AC">
        <w:rPr>
          <w:rFonts w:asciiTheme="majorHAnsi" w:eastAsia="Calibri" w:hAnsiTheme="majorHAnsi" w:cs="Calibri"/>
          <w:lang w:val="en-US"/>
        </w:rPr>
        <w:t xml:space="preserve"> serious adverse events were not </w:t>
      </w:r>
      <w:r w:rsidRPr="001256AC">
        <w:rPr>
          <w:rFonts w:asciiTheme="majorHAnsi" w:eastAsia="Calibri" w:hAnsiTheme="majorHAnsi" w:cs="Times New Roman"/>
          <w:lang w:val="en-US"/>
        </w:rPr>
        <w:t>attributable to phenytoin (</w:t>
      </w:r>
      <w:r w:rsidR="00975733" w:rsidRPr="001256AC">
        <w:rPr>
          <w:rFonts w:asciiTheme="majorHAnsi" w:eastAsia="Calibri" w:hAnsiTheme="majorHAnsi" w:cs="Times New Roman"/>
          <w:lang w:val="en-US"/>
        </w:rPr>
        <w:t>Table</w:t>
      </w:r>
      <w:r w:rsidR="001178C0" w:rsidRPr="001256AC">
        <w:rPr>
          <w:rFonts w:asciiTheme="majorHAnsi" w:eastAsia="Calibri" w:hAnsiTheme="majorHAnsi" w:cs="Times New Roman"/>
          <w:lang w:val="en-US"/>
        </w:rPr>
        <w:t xml:space="preserve"> </w:t>
      </w:r>
      <w:r w:rsidR="00904A1C" w:rsidRPr="001256AC">
        <w:rPr>
          <w:rFonts w:asciiTheme="majorHAnsi" w:eastAsia="Calibri" w:hAnsiTheme="majorHAnsi" w:cs="Times New Roman"/>
          <w:lang w:val="en-US"/>
        </w:rPr>
        <w:t>5</w:t>
      </w:r>
      <w:r w:rsidRPr="001256AC">
        <w:rPr>
          <w:rFonts w:asciiTheme="majorHAnsi" w:eastAsia="Calibri" w:hAnsiTheme="majorHAnsi" w:cs="Times New Roman"/>
          <w:lang w:val="en-US"/>
        </w:rPr>
        <w:t xml:space="preserve">). </w:t>
      </w:r>
      <w:r w:rsidR="001F0A90" w:rsidRPr="001256AC">
        <w:rPr>
          <w:rFonts w:asciiTheme="majorHAnsi" w:hAnsiTheme="majorHAnsi" w:cs="Times New Roman"/>
          <w:color w:val="auto"/>
        </w:rPr>
        <w:t>63% of participants guessed thei</w:t>
      </w:r>
      <w:r w:rsidR="00305330" w:rsidRPr="00305330">
        <w:rPr>
          <w:rFonts w:asciiTheme="majorHAnsi" w:hAnsiTheme="majorHAnsi" w:cs="Times New Roman"/>
          <w:color w:val="auto"/>
        </w:rPr>
        <w:t>r treatment allocation</w:t>
      </w:r>
      <w:r w:rsidR="001F0A90" w:rsidRPr="001256AC">
        <w:rPr>
          <w:rFonts w:asciiTheme="majorHAnsi" w:hAnsiTheme="majorHAnsi" w:cs="Times New Roman"/>
          <w:color w:val="auto"/>
        </w:rPr>
        <w:t xml:space="preserve"> (p=0.033), due to all patients with skin rashes guessing correctly that they were in the active </w:t>
      </w:r>
      <w:r w:rsidR="00305330" w:rsidRPr="00305330">
        <w:rPr>
          <w:rFonts w:asciiTheme="majorHAnsi" w:hAnsiTheme="majorHAnsi" w:cs="Times New Roman"/>
          <w:color w:val="auto"/>
        </w:rPr>
        <w:t xml:space="preserve">group. </w:t>
      </w:r>
      <w:r w:rsidR="00305330">
        <w:rPr>
          <w:rFonts w:asciiTheme="majorHAnsi" w:hAnsiTheme="majorHAnsi" w:cs="Times New Roman"/>
          <w:color w:val="auto"/>
        </w:rPr>
        <w:t>W</w:t>
      </w:r>
      <w:r w:rsidR="001F0A90" w:rsidRPr="001256AC">
        <w:rPr>
          <w:rFonts w:asciiTheme="majorHAnsi" w:hAnsiTheme="majorHAnsi" w:cs="Times New Roman"/>
          <w:color w:val="auto"/>
        </w:rPr>
        <w:t xml:space="preserve">hen these numbers were excluded, </w:t>
      </w:r>
      <w:r w:rsidR="00305330">
        <w:rPr>
          <w:rFonts w:asciiTheme="majorHAnsi" w:hAnsiTheme="majorHAnsi" w:cs="Times New Roman"/>
          <w:color w:val="auto"/>
        </w:rPr>
        <w:t>correct guesses lost significance (</w:t>
      </w:r>
      <w:r w:rsidR="00305330" w:rsidRPr="00305330">
        <w:rPr>
          <w:rFonts w:asciiTheme="majorHAnsi" w:hAnsiTheme="majorHAnsi" w:cs="Times New Roman"/>
          <w:color w:val="auto"/>
        </w:rPr>
        <w:t>58%</w:t>
      </w:r>
      <w:r w:rsidR="00305330">
        <w:rPr>
          <w:rFonts w:asciiTheme="majorHAnsi" w:hAnsiTheme="majorHAnsi" w:cs="Times New Roman"/>
          <w:color w:val="auto"/>
        </w:rPr>
        <w:t xml:space="preserve">, </w:t>
      </w:r>
      <w:r w:rsidR="001F0A90" w:rsidRPr="001256AC">
        <w:rPr>
          <w:rFonts w:asciiTheme="majorHAnsi" w:hAnsiTheme="majorHAnsi" w:cs="Times New Roman"/>
          <w:color w:val="auto"/>
        </w:rPr>
        <w:t>p=0.228).</w:t>
      </w:r>
      <w:r w:rsidR="001F0A90" w:rsidRPr="001256AC">
        <w:rPr>
          <w:rFonts w:asciiTheme="majorHAnsi" w:hAnsiTheme="majorHAnsi"/>
          <w:color w:val="auto"/>
        </w:rPr>
        <w:t xml:space="preserve"> </w:t>
      </w:r>
    </w:p>
    <w:p w14:paraId="6111C350" w14:textId="01A28E2A" w:rsidR="00857CA5" w:rsidRPr="0088149C" w:rsidRDefault="00486095" w:rsidP="0004641F">
      <w:pPr>
        <w:pStyle w:val="Body"/>
        <w:jc w:val="both"/>
        <w:rPr>
          <w:rFonts w:ascii="Calibri" w:eastAsia="Calibri" w:hAnsi="Calibri" w:cs="Calibri"/>
          <w:color w:val="FF0000"/>
          <w:u w:color="FF0000"/>
        </w:rPr>
      </w:pPr>
      <w:r w:rsidRPr="000E66BC">
        <w:rPr>
          <w:rFonts w:asciiTheme="majorHAnsi" w:eastAsia="Calibri" w:hAnsiTheme="majorHAnsi" w:cs="Calibri"/>
        </w:rPr>
        <w:t>There was no impairment</w:t>
      </w:r>
      <w:r w:rsidRPr="003422F8">
        <w:rPr>
          <w:rFonts w:ascii="Calibri" w:eastAsia="Calibri" w:hAnsi="Calibri" w:cs="Calibri"/>
          <w:lang w:val="en-US"/>
        </w:rPr>
        <w:t xml:space="preserve"> of vision or other neurological function with initial loading or following withdrawal of phenytoin.</w:t>
      </w:r>
      <w:r w:rsidR="00060F97">
        <w:rPr>
          <w:rFonts w:ascii="Calibri" w:eastAsia="Calibri" w:hAnsi="Calibri" w:cs="Calibri"/>
          <w:lang w:val="en-US"/>
        </w:rPr>
        <w:t xml:space="preserve"> </w:t>
      </w:r>
      <w:bookmarkStart w:id="25" w:name="_GoBack"/>
      <w:bookmarkEnd w:id="25"/>
      <w:r w:rsidR="0026120A">
        <w:rPr>
          <w:rFonts w:ascii="Calibri" w:eastAsia="Calibri" w:hAnsi="Calibri" w:cs="Calibri"/>
          <w:lang w:val="en-US"/>
        </w:rPr>
        <w:t>None of the participants developed steroid dependent visual failure</w:t>
      </w:r>
      <w:r w:rsidR="00520974">
        <w:rPr>
          <w:rFonts w:ascii="Calibri" w:eastAsia="Calibri" w:hAnsi="Calibri" w:cs="Calibri"/>
          <w:lang w:val="en-US"/>
        </w:rPr>
        <w:t>, evidence</w:t>
      </w:r>
      <w:r w:rsidR="000D3B7F">
        <w:rPr>
          <w:rFonts w:ascii="Calibri" w:eastAsia="Calibri" w:hAnsi="Calibri" w:cs="Calibri"/>
          <w:lang w:val="en-US"/>
        </w:rPr>
        <w:t xml:space="preserve"> of </w:t>
      </w:r>
      <w:proofErr w:type="spellStart"/>
      <w:r w:rsidR="000D3B7F">
        <w:rPr>
          <w:rFonts w:ascii="Calibri" w:eastAsia="Calibri" w:hAnsi="Calibri" w:cs="Calibri"/>
          <w:lang w:val="en-US"/>
        </w:rPr>
        <w:t>neuromyelitis</w:t>
      </w:r>
      <w:proofErr w:type="spellEnd"/>
      <w:r w:rsidR="000D3B7F">
        <w:rPr>
          <w:rFonts w:ascii="Calibri" w:eastAsia="Calibri" w:hAnsi="Calibri" w:cs="Calibri"/>
          <w:lang w:val="en-US"/>
        </w:rPr>
        <w:t xml:space="preserve"> </w:t>
      </w:r>
      <w:proofErr w:type="spellStart"/>
      <w:r w:rsidR="000D3B7F">
        <w:rPr>
          <w:rFonts w:ascii="Calibri" w:eastAsia="Calibri" w:hAnsi="Calibri" w:cs="Calibri"/>
          <w:lang w:val="en-US"/>
        </w:rPr>
        <w:t>optica</w:t>
      </w:r>
      <w:proofErr w:type="spellEnd"/>
      <w:r w:rsidR="000D3B7F">
        <w:rPr>
          <w:rFonts w:ascii="Calibri" w:eastAsia="Calibri" w:hAnsi="Calibri" w:cs="Calibri"/>
          <w:lang w:val="en-US"/>
        </w:rPr>
        <w:t xml:space="preserve">, </w:t>
      </w:r>
      <w:r w:rsidR="00520974">
        <w:rPr>
          <w:rFonts w:ascii="Calibri" w:eastAsia="Calibri" w:hAnsi="Calibri" w:cs="Calibri"/>
          <w:lang w:val="en-US"/>
        </w:rPr>
        <w:t xml:space="preserve">or evidence of other causes of optic neuritis, </w:t>
      </w:r>
      <w:r w:rsidR="0026120A">
        <w:rPr>
          <w:rFonts w:ascii="Calibri" w:eastAsia="Calibri" w:hAnsi="Calibri" w:cs="Calibri"/>
          <w:lang w:val="en-US"/>
        </w:rPr>
        <w:t>during the follow up period.</w:t>
      </w:r>
      <w:r w:rsidR="0026120A" w:rsidRPr="003422F8">
        <w:rPr>
          <w:rFonts w:ascii="Calibri" w:eastAsia="Calibri" w:hAnsi="Calibri" w:cs="Calibri"/>
          <w:lang w:val="en-US"/>
        </w:rPr>
        <w:t xml:space="preserve"> </w:t>
      </w:r>
      <w:r w:rsidR="007A0D21" w:rsidRPr="003422F8">
        <w:rPr>
          <w:rFonts w:ascii="Calibri" w:eastAsia="Calibri" w:hAnsi="Calibri" w:cs="Calibri"/>
          <w:lang w:val="en-US"/>
        </w:rPr>
        <w:t xml:space="preserve">Demyelinating relapses occurred in 17% </w:t>
      </w:r>
      <w:r w:rsidR="00A7216E">
        <w:rPr>
          <w:rFonts w:ascii="Calibri" w:eastAsia="Calibri" w:hAnsi="Calibri" w:cs="Calibri"/>
          <w:lang w:val="en-US"/>
        </w:rPr>
        <w:t xml:space="preserve">of </w:t>
      </w:r>
      <w:r w:rsidR="00C14376">
        <w:rPr>
          <w:rFonts w:ascii="Calibri" w:eastAsia="Calibri" w:hAnsi="Calibri" w:cs="Calibri"/>
          <w:lang w:val="en-US"/>
        </w:rPr>
        <w:t>participant</w:t>
      </w:r>
      <w:r w:rsidR="007A0D21" w:rsidRPr="003422F8">
        <w:rPr>
          <w:rFonts w:ascii="Calibri" w:eastAsia="Calibri" w:hAnsi="Calibri" w:cs="Calibri"/>
          <w:lang w:val="en-US"/>
        </w:rPr>
        <w:t>s in the phenytoin group, and 21% in the placebo group</w:t>
      </w:r>
      <w:r w:rsidR="000D3B7F">
        <w:rPr>
          <w:rFonts w:ascii="Calibri" w:eastAsia="Calibri" w:hAnsi="Calibri" w:cs="Calibri"/>
          <w:lang w:val="en-US"/>
        </w:rPr>
        <w:t>.</w:t>
      </w:r>
      <w:r w:rsidR="0026120A">
        <w:rPr>
          <w:rFonts w:ascii="Calibri" w:eastAsia="Calibri" w:hAnsi="Calibri" w:cs="Calibri"/>
          <w:lang w:val="en-US"/>
        </w:rPr>
        <w:t xml:space="preserve"> </w:t>
      </w:r>
      <w:r w:rsidR="00A7216E">
        <w:rPr>
          <w:rFonts w:ascii="Calibri" w:eastAsia="Calibri" w:hAnsi="Calibri" w:cs="Calibri"/>
          <w:lang w:val="en-US"/>
        </w:rPr>
        <w:t xml:space="preserve">Of these, 6 participants had another episode of AON (4 </w:t>
      </w:r>
      <w:proofErr w:type="gramStart"/>
      <w:r w:rsidR="00A7216E">
        <w:rPr>
          <w:rFonts w:ascii="Calibri" w:eastAsia="Calibri" w:hAnsi="Calibri" w:cs="Calibri"/>
          <w:lang w:val="en-US"/>
        </w:rPr>
        <w:t>placebo</w:t>
      </w:r>
      <w:proofErr w:type="gramEnd"/>
      <w:r w:rsidR="00A7216E">
        <w:rPr>
          <w:rFonts w:ascii="Calibri" w:eastAsia="Calibri" w:hAnsi="Calibri" w:cs="Calibri"/>
          <w:lang w:val="en-US"/>
        </w:rPr>
        <w:t>, 2 phenytoin).</w:t>
      </w:r>
      <w:r w:rsidR="000D3B7F">
        <w:rPr>
          <w:rFonts w:ascii="Calibri" w:eastAsia="Calibri" w:hAnsi="Calibri" w:cs="Calibri"/>
          <w:lang w:val="en-US"/>
        </w:rPr>
        <w:t xml:space="preserve"> </w:t>
      </w:r>
      <w:r w:rsidR="00C86046">
        <w:rPr>
          <w:rFonts w:ascii="Calibri" w:eastAsia="Calibri" w:hAnsi="Calibri" w:cs="Calibri"/>
          <w:lang w:val="en-US"/>
        </w:rPr>
        <w:t>Of these, three (</w:t>
      </w:r>
      <w:r w:rsidR="00251BAE">
        <w:rPr>
          <w:rFonts w:ascii="Calibri" w:eastAsia="Calibri" w:hAnsi="Calibri" w:cs="Calibri"/>
          <w:lang w:val="en-US"/>
        </w:rPr>
        <w:t>one phenytoin</w:t>
      </w:r>
      <w:r w:rsidR="005C4BB2">
        <w:rPr>
          <w:rFonts w:ascii="Calibri" w:eastAsia="Calibri" w:hAnsi="Calibri" w:cs="Calibri"/>
          <w:lang w:val="en-US"/>
        </w:rPr>
        <w:t>, 2</w:t>
      </w:r>
      <w:r w:rsidR="00C86046">
        <w:rPr>
          <w:rFonts w:ascii="Calibri" w:eastAsia="Calibri" w:hAnsi="Calibri" w:cs="Calibri"/>
          <w:lang w:val="en-US"/>
        </w:rPr>
        <w:t xml:space="preserve"> placebo) affected the contralateral eye</w:t>
      </w:r>
      <w:r w:rsidR="00251BAE">
        <w:rPr>
          <w:rFonts w:ascii="Calibri" w:eastAsia="Calibri" w:hAnsi="Calibri" w:cs="Calibri"/>
          <w:lang w:val="en-US"/>
        </w:rPr>
        <w:t>. These participants were exclud</w:t>
      </w:r>
      <w:r w:rsidR="00C86046">
        <w:rPr>
          <w:rFonts w:ascii="Calibri" w:eastAsia="Calibri" w:hAnsi="Calibri" w:cs="Calibri"/>
          <w:lang w:val="en-US"/>
        </w:rPr>
        <w:t xml:space="preserve">ed from the per protocol analysis. </w:t>
      </w:r>
      <w:r w:rsidR="000D3B7F">
        <w:rPr>
          <w:rFonts w:ascii="Calibri" w:eastAsia="Calibri" w:hAnsi="Calibri" w:cs="Calibri"/>
          <w:lang w:val="en-US"/>
        </w:rPr>
        <w:t>In total, 13 participants experienced an MS defining relapse during the study.</w:t>
      </w:r>
    </w:p>
    <w:p w14:paraId="017EAC42" w14:textId="77777777" w:rsidR="00773353" w:rsidRDefault="00773353" w:rsidP="0050008E">
      <w:pPr>
        <w:rPr>
          <w:rFonts w:ascii="Calibri" w:eastAsia="Calibri" w:hAnsi="Calibri" w:cs="Calibri"/>
          <w:b/>
          <w:bCs/>
          <w:lang w:val="it-IT"/>
        </w:rPr>
      </w:pPr>
    </w:p>
    <w:p w14:paraId="2D50D4D5" w14:textId="77777777" w:rsidR="003538F9" w:rsidRDefault="003538F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u w:val="single"/>
          <w:lang w:val="it-IT"/>
        </w:rPr>
      </w:pPr>
      <w:r>
        <w:rPr>
          <w:rFonts w:ascii="Calibri" w:eastAsia="Calibri" w:hAnsi="Calibri" w:cs="Calibri"/>
          <w:bCs/>
          <w:u w:val="single"/>
          <w:lang w:val="it-IT"/>
        </w:rPr>
        <w:br w:type="page"/>
      </w:r>
    </w:p>
    <w:p w14:paraId="19034320" w14:textId="6761C85F" w:rsidR="007A0D21" w:rsidRPr="0050008E" w:rsidRDefault="007A0D21" w:rsidP="0050008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u w:val="single"/>
        </w:rPr>
      </w:pPr>
      <w:r w:rsidRPr="0050008E">
        <w:rPr>
          <w:rFonts w:ascii="Calibri" w:eastAsia="Calibri" w:hAnsi="Calibri" w:cs="Calibri"/>
          <w:bCs/>
          <w:u w:val="single"/>
          <w:lang w:val="it-IT"/>
        </w:rPr>
        <w:lastRenderedPageBreak/>
        <w:t>Discussion</w:t>
      </w:r>
    </w:p>
    <w:p w14:paraId="2D32F4F9" w14:textId="77777777" w:rsidR="007A0D21" w:rsidRPr="003422F8" w:rsidRDefault="007A0D21" w:rsidP="0050008E">
      <w:pPr>
        <w:pStyle w:val="Body"/>
        <w:jc w:val="both"/>
        <w:rPr>
          <w:rFonts w:ascii="Calibri" w:eastAsia="Calibri" w:hAnsi="Calibri" w:cs="Calibri"/>
          <w:b/>
          <w:bCs/>
        </w:rPr>
      </w:pPr>
    </w:p>
    <w:p w14:paraId="7627E057" w14:textId="070A9E50" w:rsidR="00606133" w:rsidRDefault="00EE277E" w:rsidP="0050008E">
      <w:pPr>
        <w:pStyle w:val="Body"/>
        <w:jc w:val="both"/>
        <w:rPr>
          <w:rFonts w:ascii="Calibri" w:eastAsia="Calibri" w:hAnsi="Calibri" w:cs="Calibri"/>
          <w:lang w:val="en-US"/>
        </w:rPr>
      </w:pPr>
      <w:r>
        <w:rPr>
          <w:rFonts w:ascii="Calibri" w:eastAsia="Calibri" w:hAnsi="Calibri" w:cs="Calibri"/>
          <w:lang w:val="en-US"/>
        </w:rPr>
        <w:t>In t</w:t>
      </w:r>
      <w:r w:rsidR="007A0D21" w:rsidRPr="003422F8">
        <w:rPr>
          <w:rFonts w:ascii="Calibri" w:eastAsia="Calibri" w:hAnsi="Calibri" w:cs="Calibri"/>
          <w:lang w:val="en-US"/>
        </w:rPr>
        <w:t xml:space="preserve">his phase 2 clinical </w:t>
      </w:r>
      <w:proofErr w:type="gramStart"/>
      <w:r w:rsidR="007A0D21" w:rsidRPr="003422F8">
        <w:rPr>
          <w:rFonts w:ascii="Calibri" w:eastAsia="Calibri" w:hAnsi="Calibri" w:cs="Calibri"/>
          <w:lang w:val="en-US"/>
        </w:rPr>
        <w:t>trial</w:t>
      </w:r>
      <w:proofErr w:type="gramEnd"/>
      <w:r w:rsidR="003247A1">
        <w:rPr>
          <w:rFonts w:ascii="Calibri" w:eastAsia="Calibri" w:hAnsi="Calibri" w:cs="Calibri"/>
          <w:lang w:val="en-US"/>
        </w:rPr>
        <w:t>,</w:t>
      </w:r>
      <w:r w:rsidR="007A0D21" w:rsidRPr="003422F8">
        <w:rPr>
          <w:rFonts w:ascii="Calibri" w:eastAsia="Calibri" w:hAnsi="Calibri" w:cs="Calibri"/>
          <w:lang w:val="en-US"/>
        </w:rPr>
        <w:t xml:space="preserve"> </w:t>
      </w:r>
      <w:r w:rsidR="00FC11EA">
        <w:rPr>
          <w:rFonts w:ascii="Calibri" w:eastAsia="Calibri" w:hAnsi="Calibri" w:cs="Calibri"/>
          <w:lang w:val="en-US"/>
        </w:rPr>
        <w:t>use</w:t>
      </w:r>
      <w:r w:rsidR="00FB4E7B">
        <w:rPr>
          <w:rFonts w:ascii="Calibri" w:eastAsia="Calibri" w:hAnsi="Calibri" w:cs="Calibri"/>
          <w:lang w:val="en-US"/>
        </w:rPr>
        <w:t xml:space="preserve"> </w:t>
      </w:r>
      <w:r w:rsidR="008F0CBE">
        <w:rPr>
          <w:rFonts w:ascii="Calibri" w:eastAsia="Calibri" w:hAnsi="Calibri" w:cs="Calibri"/>
          <w:lang w:val="en-US"/>
        </w:rPr>
        <w:t xml:space="preserve">of </w:t>
      </w:r>
      <w:r>
        <w:rPr>
          <w:rFonts w:ascii="Calibri" w:eastAsia="Calibri" w:hAnsi="Calibri" w:cs="Calibri"/>
          <w:lang w:val="en-US"/>
        </w:rPr>
        <w:t xml:space="preserve">phenytoin </w:t>
      </w:r>
      <w:r w:rsidR="00FC11EA">
        <w:rPr>
          <w:rFonts w:ascii="Calibri" w:eastAsia="Calibri" w:hAnsi="Calibri" w:cs="Calibri"/>
          <w:lang w:val="en-US"/>
        </w:rPr>
        <w:t xml:space="preserve">was associated with a </w:t>
      </w:r>
      <w:r w:rsidR="00FB4E7B">
        <w:rPr>
          <w:rFonts w:ascii="Calibri" w:eastAsia="Calibri" w:hAnsi="Calibri" w:cs="Calibri"/>
          <w:lang w:val="en-US"/>
        </w:rPr>
        <w:t xml:space="preserve">30% </w:t>
      </w:r>
      <w:r w:rsidR="00FC11EA">
        <w:rPr>
          <w:rFonts w:ascii="Calibri" w:eastAsia="Calibri" w:hAnsi="Calibri" w:cs="Calibri"/>
          <w:lang w:val="en-US"/>
        </w:rPr>
        <w:t xml:space="preserve">reduction of </w:t>
      </w:r>
      <w:r>
        <w:rPr>
          <w:rFonts w:ascii="Calibri" w:eastAsia="Calibri" w:hAnsi="Calibri" w:cs="Calibri"/>
          <w:lang w:val="en-US"/>
        </w:rPr>
        <w:t xml:space="preserve">the loss of the RNFL after AON </w:t>
      </w:r>
      <w:r w:rsidR="00B6504C">
        <w:rPr>
          <w:rFonts w:ascii="Calibri" w:eastAsia="Calibri" w:hAnsi="Calibri" w:cs="Calibri"/>
          <w:lang w:val="en-US"/>
        </w:rPr>
        <w:t xml:space="preserve">compared to placebo, </w:t>
      </w:r>
      <w:r>
        <w:rPr>
          <w:rFonts w:ascii="Calibri" w:eastAsia="Calibri" w:hAnsi="Calibri" w:cs="Calibri"/>
          <w:lang w:val="en-US"/>
        </w:rPr>
        <w:t xml:space="preserve">and </w:t>
      </w:r>
      <w:r w:rsidR="00FC11EA">
        <w:rPr>
          <w:rFonts w:ascii="Calibri" w:eastAsia="Calibri" w:hAnsi="Calibri" w:cs="Calibri"/>
          <w:lang w:val="en-US"/>
        </w:rPr>
        <w:t>of</w:t>
      </w:r>
      <w:r w:rsidR="00FB4E7B">
        <w:rPr>
          <w:rFonts w:ascii="Calibri" w:eastAsia="Calibri" w:hAnsi="Calibri" w:cs="Calibri"/>
          <w:lang w:val="en-US"/>
        </w:rPr>
        <w:t xml:space="preserve"> </w:t>
      </w:r>
      <w:r>
        <w:rPr>
          <w:rFonts w:ascii="Calibri" w:eastAsia="Calibri" w:hAnsi="Calibri" w:cs="Calibri"/>
          <w:lang w:val="en-US"/>
        </w:rPr>
        <w:t xml:space="preserve">loss of MV by 34%. </w:t>
      </w:r>
      <w:r w:rsidRPr="003422F8">
        <w:rPr>
          <w:rFonts w:ascii="Calibri" w:eastAsia="Calibri" w:hAnsi="Calibri" w:cs="Calibri"/>
          <w:lang w:val="en-US"/>
        </w:rPr>
        <w:t xml:space="preserve">Together with a near significant 38% </w:t>
      </w:r>
      <w:r w:rsidR="00620CED">
        <w:rPr>
          <w:rFonts w:ascii="Calibri" w:eastAsia="Calibri" w:hAnsi="Calibri" w:cs="Calibri"/>
          <w:lang w:val="en-US"/>
        </w:rPr>
        <w:t>reduction</w:t>
      </w:r>
      <w:r>
        <w:rPr>
          <w:rFonts w:ascii="Calibri" w:eastAsia="Calibri" w:hAnsi="Calibri" w:cs="Calibri"/>
          <w:lang w:val="en-US"/>
        </w:rPr>
        <w:t xml:space="preserve"> in</w:t>
      </w:r>
      <w:r w:rsidRPr="003422F8">
        <w:rPr>
          <w:rFonts w:ascii="Calibri" w:eastAsia="Calibri" w:hAnsi="Calibri" w:cs="Calibri"/>
          <w:lang w:val="en-US"/>
        </w:rPr>
        <w:t xml:space="preserve"> loss of optic nerve cross-sectional area, these results </w:t>
      </w:r>
      <w:r w:rsidR="00FC11EA">
        <w:rPr>
          <w:rFonts w:ascii="Calibri" w:eastAsia="Calibri" w:hAnsi="Calibri" w:cs="Calibri"/>
          <w:lang w:val="en-US"/>
        </w:rPr>
        <w:t xml:space="preserve">are consistent with the </w:t>
      </w:r>
      <w:r w:rsidR="005C4BB2">
        <w:rPr>
          <w:rFonts w:ascii="Calibri" w:eastAsia="Calibri" w:hAnsi="Calibri" w:cs="Calibri"/>
          <w:lang w:val="en-US"/>
        </w:rPr>
        <w:t>suggestion</w:t>
      </w:r>
      <w:r w:rsidR="006763E4">
        <w:rPr>
          <w:rFonts w:ascii="Calibri" w:eastAsia="Calibri" w:hAnsi="Calibri" w:cs="Calibri"/>
          <w:lang w:val="en-US"/>
        </w:rPr>
        <w:t xml:space="preserve"> </w:t>
      </w:r>
      <w:r w:rsidR="00FC11EA">
        <w:rPr>
          <w:rFonts w:ascii="Calibri" w:eastAsia="Calibri" w:hAnsi="Calibri" w:cs="Calibri"/>
          <w:lang w:val="en-US"/>
        </w:rPr>
        <w:t xml:space="preserve"> </w:t>
      </w:r>
      <w:r w:rsidRPr="003422F8">
        <w:rPr>
          <w:rFonts w:ascii="Calibri" w:eastAsia="Calibri" w:hAnsi="Calibri" w:cs="Calibri"/>
          <w:lang w:val="en-US"/>
        </w:rPr>
        <w:t xml:space="preserve"> that phenytoin protect</w:t>
      </w:r>
      <w:r w:rsidR="00E85950">
        <w:rPr>
          <w:rFonts w:ascii="Calibri" w:eastAsia="Calibri" w:hAnsi="Calibri" w:cs="Calibri"/>
          <w:lang w:val="en-US"/>
        </w:rPr>
        <w:t>ed</w:t>
      </w:r>
      <w:r w:rsidRPr="003422F8">
        <w:rPr>
          <w:rFonts w:ascii="Calibri" w:eastAsia="Calibri" w:hAnsi="Calibri" w:cs="Calibri"/>
          <w:lang w:val="en-US"/>
        </w:rPr>
        <w:t xml:space="preserve"> the compartment comprising </w:t>
      </w:r>
      <w:r w:rsidR="00B6504C">
        <w:rPr>
          <w:rFonts w:ascii="Calibri" w:eastAsia="Calibri" w:hAnsi="Calibri" w:cs="Calibri"/>
          <w:lang w:val="en-US"/>
        </w:rPr>
        <w:t xml:space="preserve">the </w:t>
      </w:r>
      <w:r w:rsidRPr="003422F8">
        <w:rPr>
          <w:rFonts w:ascii="Calibri" w:eastAsia="Calibri" w:hAnsi="Calibri" w:cs="Calibri"/>
          <w:lang w:val="en-US"/>
        </w:rPr>
        <w:t>retinal ganglion cells (</w:t>
      </w:r>
      <w:r>
        <w:rPr>
          <w:rFonts w:ascii="Calibri" w:eastAsia="Calibri" w:hAnsi="Calibri" w:cs="Calibri"/>
          <w:lang w:val="en-US"/>
        </w:rPr>
        <w:t xml:space="preserve">which make up </w:t>
      </w:r>
      <w:r w:rsidRPr="003422F8">
        <w:rPr>
          <w:rFonts w:ascii="Calibri" w:eastAsia="Calibri" w:hAnsi="Calibri" w:cs="Calibri"/>
          <w:lang w:val="en-US"/>
        </w:rPr>
        <w:t>34% of macular volume) and their axons in the RNFL and optic nerve</w:t>
      </w:r>
      <w:r>
        <w:rPr>
          <w:rFonts w:ascii="Calibri" w:eastAsia="Calibri" w:hAnsi="Calibri" w:cs="Calibri"/>
          <w:lang w:val="en-US"/>
        </w:rPr>
        <w:t xml:space="preserve">, and </w:t>
      </w:r>
      <w:r w:rsidR="00FC11EA">
        <w:rPr>
          <w:rFonts w:ascii="Calibri" w:eastAsia="Calibri" w:hAnsi="Calibri" w:cs="Calibri"/>
          <w:lang w:val="en-US"/>
        </w:rPr>
        <w:t xml:space="preserve">they </w:t>
      </w:r>
      <w:r>
        <w:rPr>
          <w:rFonts w:ascii="Calibri" w:eastAsia="Calibri" w:hAnsi="Calibri" w:cs="Calibri"/>
          <w:lang w:val="en-US"/>
        </w:rPr>
        <w:t xml:space="preserve">support the concept of </w:t>
      </w:r>
      <w:proofErr w:type="spellStart"/>
      <w:r>
        <w:rPr>
          <w:rFonts w:ascii="Calibri" w:eastAsia="Calibri" w:hAnsi="Calibri" w:cs="Calibri"/>
          <w:lang w:val="en-US"/>
        </w:rPr>
        <w:t>neuroprotection</w:t>
      </w:r>
      <w:proofErr w:type="spellEnd"/>
      <w:r>
        <w:rPr>
          <w:rFonts w:ascii="Calibri" w:eastAsia="Calibri" w:hAnsi="Calibri" w:cs="Calibri"/>
          <w:lang w:val="en-US"/>
        </w:rPr>
        <w:t xml:space="preserve"> with partial inhibition of voltage</w:t>
      </w:r>
      <w:r w:rsidR="007C0B95">
        <w:rPr>
          <w:rFonts w:ascii="Calibri" w:eastAsia="Calibri" w:hAnsi="Calibri" w:cs="Calibri"/>
          <w:lang w:val="en-US"/>
        </w:rPr>
        <w:t>-</w:t>
      </w:r>
      <w:r>
        <w:rPr>
          <w:rFonts w:ascii="Calibri" w:eastAsia="Calibri" w:hAnsi="Calibri" w:cs="Calibri"/>
          <w:lang w:val="en-US"/>
        </w:rPr>
        <w:t>gated sodium channels in an</w:t>
      </w:r>
      <w:r w:rsidR="003247A1">
        <w:rPr>
          <w:rFonts w:ascii="Calibri" w:eastAsia="Calibri" w:hAnsi="Calibri" w:cs="Calibri"/>
          <w:lang w:val="en-US"/>
        </w:rPr>
        <w:t xml:space="preserve"> episode of inflammatory demyelination.</w:t>
      </w:r>
      <w:r w:rsidRPr="003422F8">
        <w:rPr>
          <w:rFonts w:ascii="Calibri" w:eastAsia="Calibri" w:hAnsi="Calibri" w:cs="Calibri"/>
          <w:lang w:val="en-US"/>
        </w:rPr>
        <w:t xml:space="preserve"> </w:t>
      </w:r>
    </w:p>
    <w:p w14:paraId="03540324" w14:textId="1822FEE5" w:rsidR="00B32057" w:rsidRDefault="007A0D21" w:rsidP="0050008E">
      <w:pPr>
        <w:pStyle w:val="Body"/>
        <w:jc w:val="both"/>
        <w:rPr>
          <w:rFonts w:ascii="Calibri" w:eastAsia="Calibri" w:hAnsi="Calibri" w:cs="Calibri"/>
          <w:lang w:val="en-US"/>
        </w:rPr>
      </w:pPr>
      <w:r w:rsidRPr="003422F8">
        <w:rPr>
          <w:rFonts w:ascii="Calibri" w:eastAsia="Calibri" w:hAnsi="Calibri" w:cs="Calibri"/>
          <w:lang w:val="en-US"/>
        </w:rPr>
        <w:t>In contrast</w:t>
      </w:r>
      <w:r w:rsidR="003247A1">
        <w:rPr>
          <w:rFonts w:ascii="Calibri" w:eastAsia="Calibri" w:hAnsi="Calibri" w:cs="Calibri"/>
          <w:lang w:val="en-US"/>
        </w:rPr>
        <w:t xml:space="preserve"> to the beneficial effects of treatment on structural outcomes</w:t>
      </w:r>
      <w:r w:rsidRPr="003422F8">
        <w:rPr>
          <w:rFonts w:ascii="Calibri" w:eastAsia="Calibri" w:hAnsi="Calibri" w:cs="Calibri"/>
          <w:lang w:val="en-US"/>
        </w:rPr>
        <w:t xml:space="preserve">, we observed no significant treatment effects on visual outcomes or on the VEP.  </w:t>
      </w:r>
      <w:r w:rsidR="00606133">
        <w:rPr>
          <w:rFonts w:ascii="Calibri" w:eastAsia="Calibri" w:hAnsi="Calibri" w:cs="Calibri"/>
          <w:lang w:val="en-US"/>
        </w:rPr>
        <w:t xml:space="preserve">While we cannot exclude the possibility that treatment protected </w:t>
      </w:r>
      <w:r w:rsidR="00A67686">
        <w:rPr>
          <w:rFonts w:ascii="Calibri" w:eastAsia="Calibri" w:hAnsi="Calibri" w:cs="Calibri"/>
          <w:lang w:val="en-US"/>
        </w:rPr>
        <w:t>neurons</w:t>
      </w:r>
      <w:r w:rsidR="00606133">
        <w:rPr>
          <w:rFonts w:ascii="Calibri" w:eastAsia="Calibri" w:hAnsi="Calibri" w:cs="Calibri"/>
          <w:lang w:val="en-US"/>
        </w:rPr>
        <w:t xml:space="preserve"> </w:t>
      </w:r>
      <w:r w:rsidR="007D47B0">
        <w:rPr>
          <w:rFonts w:ascii="Calibri" w:eastAsia="Calibri" w:hAnsi="Calibri" w:cs="Calibri"/>
          <w:lang w:val="en-US"/>
        </w:rPr>
        <w:t xml:space="preserve">and their axons </w:t>
      </w:r>
      <w:r w:rsidR="00606133">
        <w:rPr>
          <w:rFonts w:ascii="Calibri" w:eastAsia="Calibri" w:hAnsi="Calibri" w:cs="Calibri"/>
          <w:lang w:val="en-US"/>
        </w:rPr>
        <w:t>which nevertheless remain</w:t>
      </w:r>
      <w:r w:rsidR="00A67686">
        <w:rPr>
          <w:rFonts w:ascii="Calibri" w:eastAsia="Calibri" w:hAnsi="Calibri" w:cs="Calibri"/>
          <w:lang w:val="en-US"/>
        </w:rPr>
        <w:t xml:space="preserve">ed non-functional, the findings are </w:t>
      </w:r>
      <w:r w:rsidR="00B76BCC">
        <w:rPr>
          <w:rFonts w:ascii="Calibri" w:eastAsia="Calibri" w:hAnsi="Calibri" w:cs="Calibri"/>
          <w:lang w:val="en-US"/>
        </w:rPr>
        <w:t xml:space="preserve">perhaps more </w:t>
      </w:r>
      <w:r w:rsidR="00A67686">
        <w:rPr>
          <w:rFonts w:ascii="Calibri" w:eastAsia="Calibri" w:hAnsi="Calibri" w:cs="Calibri"/>
          <w:lang w:val="en-US"/>
        </w:rPr>
        <w:t>consistent with the</w:t>
      </w:r>
      <w:r w:rsidR="00606133">
        <w:rPr>
          <w:rFonts w:ascii="Calibri" w:eastAsia="Calibri" w:hAnsi="Calibri" w:cs="Calibri"/>
          <w:lang w:val="en-US"/>
        </w:rPr>
        <w:t xml:space="preserve"> floor effect </w:t>
      </w:r>
      <w:r w:rsidR="00A67686">
        <w:rPr>
          <w:rFonts w:ascii="Calibri" w:eastAsia="Calibri" w:hAnsi="Calibri" w:cs="Calibri"/>
          <w:lang w:val="en-US"/>
        </w:rPr>
        <w:t xml:space="preserve">we observed </w:t>
      </w:r>
      <w:r w:rsidR="00606133">
        <w:rPr>
          <w:rFonts w:ascii="Calibri" w:eastAsia="Calibri" w:hAnsi="Calibri" w:cs="Calibri"/>
          <w:lang w:val="en-US"/>
        </w:rPr>
        <w:t>on h</w:t>
      </w:r>
      <w:r w:rsidRPr="003422F8">
        <w:rPr>
          <w:rFonts w:ascii="Calibri" w:eastAsia="Calibri" w:hAnsi="Calibri" w:cs="Calibri"/>
          <w:lang w:val="en-US"/>
        </w:rPr>
        <w:t>igh contrast visual acuity and VEP amplitude</w:t>
      </w:r>
      <w:r w:rsidR="00A67686">
        <w:rPr>
          <w:rFonts w:ascii="Calibri" w:eastAsia="Calibri" w:hAnsi="Calibri" w:cs="Calibri"/>
          <w:lang w:val="en-US"/>
        </w:rPr>
        <w:t>, which</w:t>
      </w:r>
      <w:r w:rsidRPr="003422F8">
        <w:rPr>
          <w:rFonts w:ascii="Calibri" w:eastAsia="Calibri" w:hAnsi="Calibri" w:cs="Calibri"/>
          <w:lang w:val="en-US"/>
        </w:rPr>
        <w:t xml:space="preserve"> recovered well in both phenytoin and placebo groups, and</w:t>
      </w:r>
      <w:r w:rsidR="00A67686">
        <w:rPr>
          <w:rFonts w:ascii="Calibri" w:eastAsia="Calibri" w:hAnsi="Calibri" w:cs="Calibri"/>
          <w:lang w:val="en-US"/>
        </w:rPr>
        <w:t xml:space="preserve"> with the fact that</w:t>
      </w:r>
      <w:r w:rsidRPr="003422F8">
        <w:rPr>
          <w:rFonts w:ascii="Calibri" w:eastAsia="Calibri" w:hAnsi="Calibri" w:cs="Calibri"/>
          <w:lang w:val="en-US"/>
        </w:rPr>
        <w:t xml:space="preserve"> the trial was </w:t>
      </w:r>
      <w:r>
        <w:rPr>
          <w:rFonts w:ascii="Calibri" w:eastAsia="Calibri" w:hAnsi="Calibri" w:cs="Calibri"/>
          <w:lang w:val="en-US"/>
        </w:rPr>
        <w:t xml:space="preserve">not </w:t>
      </w:r>
      <w:r w:rsidRPr="003422F8">
        <w:rPr>
          <w:rFonts w:ascii="Calibri" w:eastAsia="Calibri" w:hAnsi="Calibri" w:cs="Calibri"/>
          <w:lang w:val="en-US"/>
        </w:rPr>
        <w:t>powered to detect treatment effects on</w:t>
      </w:r>
      <w:r>
        <w:rPr>
          <w:rFonts w:ascii="Calibri" w:eastAsia="Calibri" w:hAnsi="Calibri" w:cs="Calibri"/>
          <w:lang w:val="en-US"/>
        </w:rPr>
        <w:t xml:space="preserve"> these and on</w:t>
      </w:r>
      <w:r w:rsidRPr="003422F8">
        <w:rPr>
          <w:rFonts w:ascii="Calibri" w:eastAsia="Calibri" w:hAnsi="Calibri" w:cs="Calibri"/>
          <w:lang w:val="en-US"/>
        </w:rPr>
        <w:t xml:space="preserve"> low contrast acuity and </w:t>
      </w:r>
      <w:proofErr w:type="spellStart"/>
      <w:r w:rsidR="004B50B6">
        <w:rPr>
          <w:rFonts w:ascii="Calibri" w:eastAsia="Calibri" w:hAnsi="Calibri" w:cs="Calibri"/>
          <w:lang w:val="en-US"/>
        </w:rPr>
        <w:t>colour</w:t>
      </w:r>
      <w:proofErr w:type="spellEnd"/>
      <w:r w:rsidRPr="003422F8">
        <w:rPr>
          <w:rFonts w:ascii="Calibri" w:eastAsia="Calibri" w:hAnsi="Calibri" w:cs="Calibri"/>
          <w:lang w:val="en-US"/>
        </w:rPr>
        <w:t xml:space="preserve"> vision. </w:t>
      </w:r>
      <w:r w:rsidR="00522AD4">
        <w:rPr>
          <w:rFonts w:ascii="Calibri" w:eastAsia="Calibri" w:hAnsi="Calibri" w:cs="Calibri"/>
          <w:lang w:val="en-US"/>
        </w:rPr>
        <w:t>In addition, w</w:t>
      </w:r>
      <w:r w:rsidR="00B32057">
        <w:rPr>
          <w:rFonts w:ascii="Calibri" w:eastAsia="Calibri" w:hAnsi="Calibri" w:cs="Calibri"/>
          <w:lang w:val="en-US"/>
        </w:rPr>
        <w:t>e relied on</w:t>
      </w:r>
      <w:r w:rsidR="00522AD4">
        <w:rPr>
          <w:rFonts w:ascii="Calibri" w:eastAsia="Calibri" w:hAnsi="Calibri" w:cs="Calibri"/>
          <w:lang w:val="en-US"/>
        </w:rPr>
        <w:t xml:space="preserve"> central and whole field VEPs</w:t>
      </w:r>
      <w:r w:rsidR="00B32057">
        <w:rPr>
          <w:rFonts w:ascii="Calibri" w:eastAsia="Calibri" w:hAnsi="Calibri" w:cs="Calibri"/>
          <w:lang w:val="en-US"/>
        </w:rPr>
        <w:t xml:space="preserve"> to measure optic nerve function</w:t>
      </w:r>
      <w:r w:rsidR="00522AD4">
        <w:rPr>
          <w:rFonts w:ascii="Calibri" w:eastAsia="Calibri" w:hAnsi="Calibri" w:cs="Calibri"/>
          <w:lang w:val="en-US"/>
        </w:rPr>
        <w:t xml:space="preserve">, </w:t>
      </w:r>
      <w:r w:rsidR="00B32057">
        <w:rPr>
          <w:rFonts w:ascii="Calibri" w:eastAsia="Calibri" w:hAnsi="Calibri" w:cs="Calibri"/>
          <w:lang w:val="en-US"/>
        </w:rPr>
        <w:t xml:space="preserve">whereas </w:t>
      </w:r>
      <w:r w:rsidR="00522AD4">
        <w:rPr>
          <w:rFonts w:ascii="Calibri" w:eastAsia="Calibri" w:hAnsi="Calibri" w:cs="Calibri"/>
          <w:lang w:val="en-US"/>
        </w:rPr>
        <w:t xml:space="preserve">more sensitive determination of treatment effects may be possible using </w:t>
      </w:r>
      <w:r w:rsidR="00B32057">
        <w:rPr>
          <w:rFonts w:ascii="Calibri" w:eastAsia="Calibri" w:hAnsi="Calibri" w:cs="Calibri"/>
          <w:lang w:val="en-US"/>
        </w:rPr>
        <w:t xml:space="preserve">multifocal VEPs </w:t>
      </w:r>
      <w:r w:rsidR="00522AD4">
        <w:rPr>
          <w:rFonts w:ascii="Calibri" w:eastAsia="Calibri" w:hAnsi="Calibri" w:cs="Calibri"/>
          <w:lang w:val="en-US"/>
        </w:rPr>
        <w:t xml:space="preserve">in future trial designs.  </w:t>
      </w:r>
    </w:p>
    <w:p w14:paraId="18E894DC" w14:textId="5D3E1D6A" w:rsidR="00B3606A" w:rsidRDefault="007A0D21" w:rsidP="0050008E">
      <w:pPr>
        <w:pStyle w:val="Body"/>
        <w:jc w:val="both"/>
        <w:rPr>
          <w:rFonts w:ascii="Calibri" w:eastAsia="Calibri" w:hAnsi="Calibri" w:cs="Calibri"/>
          <w:lang w:val="en-US"/>
        </w:rPr>
      </w:pPr>
      <w:r w:rsidRPr="003422F8">
        <w:rPr>
          <w:rFonts w:ascii="Calibri" w:eastAsia="Calibri" w:hAnsi="Calibri" w:cs="Calibri"/>
          <w:lang w:val="en-US"/>
        </w:rPr>
        <w:t xml:space="preserve">Translation of tissue protection into </w:t>
      </w:r>
      <w:r>
        <w:rPr>
          <w:rFonts w:ascii="Calibri" w:eastAsia="Calibri" w:hAnsi="Calibri" w:cs="Calibri"/>
          <w:lang w:val="en-US"/>
        </w:rPr>
        <w:t>improved visual function</w:t>
      </w:r>
      <w:r w:rsidRPr="003422F8">
        <w:rPr>
          <w:rFonts w:ascii="Calibri" w:eastAsia="Calibri" w:hAnsi="Calibri" w:cs="Calibri"/>
          <w:lang w:val="en-US"/>
        </w:rPr>
        <w:t xml:space="preserve"> is </w:t>
      </w:r>
      <w:r w:rsidR="00522AD4">
        <w:rPr>
          <w:rFonts w:ascii="Calibri" w:eastAsia="Calibri" w:hAnsi="Calibri" w:cs="Calibri"/>
          <w:lang w:val="en-US"/>
        </w:rPr>
        <w:t xml:space="preserve">also </w:t>
      </w:r>
      <w:r w:rsidRPr="003422F8">
        <w:rPr>
          <w:rFonts w:ascii="Calibri" w:eastAsia="Calibri" w:hAnsi="Calibri" w:cs="Calibri"/>
          <w:lang w:val="en-US"/>
        </w:rPr>
        <w:t>limited by redundancy in the anterior visual system</w:t>
      </w:r>
      <w:r w:rsidR="00E44756">
        <w:rPr>
          <w:rFonts w:ascii="Calibri" w:eastAsia="Calibri" w:hAnsi="Calibri" w:cs="Calibri"/>
          <w:vertAlign w:val="superscript"/>
          <w:lang w:val="en-US"/>
        </w:rPr>
        <w:t>20</w:t>
      </w:r>
      <w:r w:rsidRPr="003422F8">
        <w:rPr>
          <w:rFonts w:ascii="Calibri" w:eastAsia="Calibri" w:hAnsi="Calibri" w:cs="Calibri"/>
          <w:lang w:val="en-US"/>
        </w:rPr>
        <w:t xml:space="preserve"> and neuroplasticity in higher visual areas, s</w:t>
      </w:r>
      <w:r w:rsidR="006F23F3">
        <w:rPr>
          <w:rFonts w:ascii="Calibri" w:eastAsia="Calibri" w:hAnsi="Calibri" w:cs="Calibri"/>
          <w:lang w:val="en-US"/>
        </w:rPr>
        <w:t>o that</w:t>
      </w:r>
      <w:r w:rsidRPr="003422F8">
        <w:rPr>
          <w:rFonts w:ascii="Calibri" w:eastAsia="Calibri" w:hAnsi="Calibri" w:cs="Calibri"/>
          <w:lang w:val="en-US"/>
        </w:rPr>
        <w:t xml:space="preserve"> better </w:t>
      </w:r>
      <w:proofErr w:type="spellStart"/>
      <w:r w:rsidRPr="003422F8">
        <w:rPr>
          <w:rFonts w:ascii="Calibri" w:eastAsia="Calibri" w:hAnsi="Calibri" w:cs="Calibri"/>
          <w:lang w:val="en-US"/>
        </w:rPr>
        <w:t>neuroprotection</w:t>
      </w:r>
      <w:proofErr w:type="spellEnd"/>
      <w:r w:rsidRPr="003422F8">
        <w:rPr>
          <w:rFonts w:ascii="Calibri" w:eastAsia="Calibri" w:hAnsi="Calibri" w:cs="Calibri"/>
          <w:lang w:val="en-US"/>
        </w:rPr>
        <w:t xml:space="preserve"> </w:t>
      </w:r>
      <w:r>
        <w:rPr>
          <w:rFonts w:ascii="Calibri" w:eastAsia="Calibri" w:hAnsi="Calibri" w:cs="Calibri"/>
          <w:lang w:val="en-US"/>
        </w:rPr>
        <w:t>may</w:t>
      </w:r>
      <w:r w:rsidRPr="003422F8">
        <w:rPr>
          <w:rFonts w:ascii="Calibri" w:eastAsia="Calibri" w:hAnsi="Calibri" w:cs="Calibri"/>
          <w:lang w:val="en-US"/>
        </w:rPr>
        <w:t xml:space="preserve"> be required for improved clinical outcomes in reasonably sized trials. For this, trials might consider: 1) more potent and specific inhibitors of sodium channels; 2) higher drug concentrations (mean phenytoin concentration in this trial were possibly sub-therapeutic); and 3) an earlier window of treatment in the evolution of relapse. The last two suggestions are consistent with the lack of correlation between structural outcomes and the concentration of phenytoin and time to initiation of treatment in the present study. Conversely, our results do not place a lower limit on the duration for which treatment is required for successful </w:t>
      </w:r>
      <w:proofErr w:type="spellStart"/>
      <w:r w:rsidRPr="003422F8">
        <w:rPr>
          <w:rFonts w:ascii="Calibri" w:eastAsia="Calibri" w:hAnsi="Calibri" w:cs="Calibri"/>
          <w:lang w:val="en-US"/>
        </w:rPr>
        <w:t>neuroprotection</w:t>
      </w:r>
      <w:proofErr w:type="spellEnd"/>
      <w:r w:rsidRPr="003422F8">
        <w:rPr>
          <w:rFonts w:ascii="Calibri" w:eastAsia="Calibri" w:hAnsi="Calibri" w:cs="Calibri"/>
          <w:lang w:val="en-US"/>
        </w:rPr>
        <w:t xml:space="preserve">. We treated </w:t>
      </w:r>
      <w:r w:rsidR="00C14376">
        <w:rPr>
          <w:rFonts w:ascii="Calibri" w:eastAsia="Calibri" w:hAnsi="Calibri" w:cs="Calibri"/>
          <w:lang w:val="en-US"/>
        </w:rPr>
        <w:t>participant</w:t>
      </w:r>
      <w:r w:rsidRPr="003422F8">
        <w:rPr>
          <w:rFonts w:ascii="Calibri" w:eastAsia="Calibri" w:hAnsi="Calibri" w:cs="Calibri"/>
          <w:lang w:val="en-US"/>
        </w:rPr>
        <w:t>s for 3 months,</w:t>
      </w:r>
      <w:r>
        <w:rPr>
          <w:rFonts w:ascii="Calibri" w:eastAsia="Calibri" w:hAnsi="Calibri" w:cs="Calibri"/>
          <w:lang w:val="en-US"/>
        </w:rPr>
        <w:t xml:space="preserve"> </w:t>
      </w:r>
      <w:r w:rsidRPr="003422F8">
        <w:rPr>
          <w:rFonts w:ascii="Calibri" w:eastAsia="Calibri" w:hAnsi="Calibri" w:cs="Calibri"/>
          <w:lang w:val="en-US"/>
        </w:rPr>
        <w:t>w</w:t>
      </w:r>
      <w:r w:rsidR="007D47B0">
        <w:rPr>
          <w:rFonts w:ascii="Calibri" w:eastAsia="Calibri" w:hAnsi="Calibri" w:cs="Calibri"/>
          <w:lang w:val="en-US"/>
        </w:rPr>
        <w:t>hich is</w:t>
      </w:r>
      <w:r w:rsidRPr="003422F8">
        <w:rPr>
          <w:rFonts w:ascii="Calibri" w:eastAsia="Calibri" w:hAnsi="Calibri" w:cs="Calibri"/>
          <w:lang w:val="en-US"/>
        </w:rPr>
        <w:t xml:space="preserve"> beyond the interval when gadolinium enhancement indicates inflammation in the optic nerve</w:t>
      </w:r>
      <w:r>
        <w:rPr>
          <w:rFonts w:ascii="Calibri" w:eastAsia="Calibri" w:hAnsi="Calibri" w:cs="Calibri"/>
          <w:vertAlign w:val="superscript"/>
          <w:lang w:val="en-US"/>
        </w:rPr>
        <w:t>1</w:t>
      </w:r>
      <w:r w:rsidR="00AA62E8">
        <w:rPr>
          <w:rFonts w:ascii="Calibri" w:eastAsia="Calibri" w:hAnsi="Calibri" w:cs="Calibri"/>
          <w:vertAlign w:val="superscript"/>
          <w:lang w:val="en-US"/>
        </w:rPr>
        <w:t>2</w:t>
      </w:r>
      <w:r w:rsidRPr="003422F8">
        <w:rPr>
          <w:rFonts w:ascii="Calibri" w:eastAsia="Calibri" w:hAnsi="Calibri" w:cs="Calibri"/>
          <w:lang w:val="en-US"/>
        </w:rPr>
        <w:t xml:space="preserve">, yet an exploratory analysis </w:t>
      </w:r>
      <w:r>
        <w:rPr>
          <w:rFonts w:ascii="Calibri" w:eastAsia="Calibri" w:hAnsi="Calibri" w:cs="Calibri"/>
          <w:lang w:val="en-US"/>
        </w:rPr>
        <w:t>showed</w:t>
      </w:r>
      <w:r w:rsidRPr="003422F8">
        <w:rPr>
          <w:rFonts w:ascii="Calibri" w:eastAsia="Calibri" w:hAnsi="Calibri" w:cs="Calibri"/>
          <w:lang w:val="en-US"/>
        </w:rPr>
        <w:t xml:space="preserve"> improved OCT outcomes in those who </w:t>
      </w:r>
      <w:r>
        <w:rPr>
          <w:rFonts w:ascii="Calibri" w:eastAsia="Calibri" w:hAnsi="Calibri" w:cs="Calibri"/>
          <w:lang w:val="en-US"/>
        </w:rPr>
        <w:t xml:space="preserve">withdrew after </w:t>
      </w:r>
      <w:r w:rsidRPr="003422F8">
        <w:rPr>
          <w:rFonts w:ascii="Calibri" w:eastAsia="Calibri" w:hAnsi="Calibri" w:cs="Calibri"/>
          <w:lang w:val="en-US"/>
        </w:rPr>
        <w:t>receiv</w:t>
      </w:r>
      <w:r>
        <w:rPr>
          <w:rFonts w:ascii="Calibri" w:eastAsia="Calibri" w:hAnsi="Calibri" w:cs="Calibri"/>
          <w:lang w:val="en-US"/>
        </w:rPr>
        <w:t>ing</w:t>
      </w:r>
      <w:r w:rsidRPr="003422F8">
        <w:rPr>
          <w:rFonts w:ascii="Calibri" w:eastAsia="Calibri" w:hAnsi="Calibri" w:cs="Calibri"/>
          <w:lang w:val="en-US"/>
        </w:rPr>
        <w:t xml:space="preserve"> phenytoin for only a mean of 18</w:t>
      </w:r>
      <w:r w:rsidR="00FD7C53">
        <w:rPr>
          <w:rFonts w:ascii="Calibri" w:eastAsia="Calibri" w:hAnsi="Calibri" w:cs="Calibri"/>
          <w:lang w:val="en-US"/>
        </w:rPr>
        <w:t>·</w:t>
      </w:r>
      <w:r w:rsidRPr="003422F8">
        <w:rPr>
          <w:rFonts w:ascii="Calibri" w:eastAsia="Calibri" w:hAnsi="Calibri" w:cs="Calibri"/>
          <w:lang w:val="en-US"/>
        </w:rPr>
        <w:t>4 days.</w:t>
      </w:r>
    </w:p>
    <w:p w14:paraId="47F2DC33" w14:textId="615A40FF" w:rsidR="0019512F" w:rsidRDefault="00B3606A" w:rsidP="00606133">
      <w:pPr>
        <w:pStyle w:val="Body"/>
        <w:jc w:val="both"/>
        <w:rPr>
          <w:rFonts w:ascii="Calibri" w:eastAsia="Calibri" w:hAnsi="Calibri" w:cs="Calibri"/>
          <w:lang w:val="en-US"/>
        </w:rPr>
      </w:pPr>
      <w:r>
        <w:rPr>
          <w:rFonts w:ascii="Calibri" w:eastAsia="Calibri" w:hAnsi="Calibri" w:cs="Calibri"/>
          <w:lang w:val="en-US"/>
        </w:rPr>
        <w:t>Concerning po</w:t>
      </w:r>
      <w:r w:rsidR="00D436BF">
        <w:rPr>
          <w:rFonts w:ascii="Calibri" w:eastAsia="Calibri" w:hAnsi="Calibri" w:cs="Calibri"/>
          <w:lang w:val="en-US"/>
        </w:rPr>
        <w:t>tential</w:t>
      </w:r>
      <w:r>
        <w:rPr>
          <w:rFonts w:ascii="Calibri" w:eastAsia="Calibri" w:hAnsi="Calibri" w:cs="Calibri"/>
          <w:lang w:val="en-US"/>
        </w:rPr>
        <w:t xml:space="preserve"> sources of bia</w:t>
      </w:r>
      <w:r w:rsidR="00D77ED7">
        <w:rPr>
          <w:rFonts w:ascii="Calibri" w:eastAsia="Calibri" w:hAnsi="Calibri" w:cs="Calibri"/>
          <w:lang w:val="en-US"/>
        </w:rPr>
        <w:t>s</w:t>
      </w:r>
      <w:r>
        <w:rPr>
          <w:rFonts w:ascii="Calibri" w:eastAsia="Calibri" w:hAnsi="Calibri" w:cs="Calibri"/>
          <w:lang w:val="en-US"/>
        </w:rPr>
        <w:t xml:space="preserve">, it is </w:t>
      </w:r>
      <w:r w:rsidR="00B76BCC">
        <w:rPr>
          <w:rFonts w:ascii="Calibri" w:eastAsia="Calibri" w:hAnsi="Calibri" w:cs="Calibri"/>
          <w:lang w:val="en-US"/>
        </w:rPr>
        <w:t>worth noting</w:t>
      </w:r>
      <w:r>
        <w:rPr>
          <w:rFonts w:ascii="Calibri" w:eastAsia="Calibri" w:hAnsi="Calibri" w:cs="Calibri"/>
          <w:lang w:val="en-US"/>
        </w:rPr>
        <w:t xml:space="preserve"> that t</w:t>
      </w:r>
      <w:r w:rsidR="00606133" w:rsidRPr="003422F8">
        <w:rPr>
          <w:rFonts w:ascii="Calibri" w:eastAsia="Calibri" w:hAnsi="Calibri" w:cs="Calibri"/>
          <w:lang w:val="en-US"/>
        </w:rPr>
        <w:t>he characteristics of the placebo and phenytoin groups at baseline</w:t>
      </w:r>
      <w:r w:rsidR="007D7C62">
        <w:rPr>
          <w:rFonts w:ascii="Calibri" w:eastAsia="Calibri" w:hAnsi="Calibri" w:cs="Calibri"/>
          <w:lang w:val="en-US"/>
        </w:rPr>
        <w:t xml:space="preserve"> </w:t>
      </w:r>
      <w:r w:rsidR="00606133" w:rsidRPr="003422F8">
        <w:rPr>
          <w:rFonts w:ascii="Calibri" w:eastAsia="Calibri" w:hAnsi="Calibri" w:cs="Calibri"/>
          <w:lang w:val="en-US"/>
        </w:rPr>
        <w:t xml:space="preserve">were </w:t>
      </w:r>
      <w:r w:rsidR="00D436BF">
        <w:rPr>
          <w:rFonts w:ascii="Calibri" w:eastAsia="Calibri" w:hAnsi="Calibri" w:cs="Calibri"/>
          <w:lang w:val="en-US"/>
        </w:rPr>
        <w:t>generally</w:t>
      </w:r>
      <w:r w:rsidR="006B615F">
        <w:rPr>
          <w:rFonts w:ascii="Calibri" w:eastAsia="Calibri" w:hAnsi="Calibri" w:cs="Calibri"/>
          <w:lang w:val="en-US"/>
        </w:rPr>
        <w:t xml:space="preserve"> </w:t>
      </w:r>
      <w:r w:rsidR="00606133" w:rsidRPr="003422F8">
        <w:rPr>
          <w:rFonts w:ascii="Calibri" w:eastAsia="Calibri" w:hAnsi="Calibri" w:cs="Calibri"/>
          <w:lang w:val="en-US"/>
        </w:rPr>
        <w:t>comparable</w:t>
      </w:r>
      <w:r w:rsidR="007D7C62">
        <w:rPr>
          <w:rFonts w:ascii="Calibri" w:eastAsia="Calibri" w:hAnsi="Calibri" w:cs="Calibri"/>
          <w:lang w:val="en-US"/>
        </w:rPr>
        <w:t>,</w:t>
      </w:r>
      <w:r w:rsidR="00B76BCC">
        <w:rPr>
          <w:rFonts w:ascii="Calibri" w:eastAsia="Calibri" w:hAnsi="Calibri" w:cs="Calibri"/>
          <w:lang w:val="en-US"/>
        </w:rPr>
        <w:t xml:space="preserve"> </w:t>
      </w:r>
      <w:r w:rsidR="00606133" w:rsidRPr="003422F8">
        <w:rPr>
          <w:rFonts w:ascii="Calibri" w:eastAsia="Calibri" w:hAnsi="Calibri" w:cs="Calibri"/>
          <w:lang w:val="en-US"/>
        </w:rPr>
        <w:t xml:space="preserve">typical of AON, and </w:t>
      </w:r>
      <w:r>
        <w:rPr>
          <w:rFonts w:ascii="Calibri" w:eastAsia="Calibri" w:hAnsi="Calibri" w:cs="Calibri"/>
          <w:lang w:val="en-US"/>
        </w:rPr>
        <w:t xml:space="preserve">that </w:t>
      </w:r>
      <w:r w:rsidR="00606133" w:rsidRPr="003422F8">
        <w:rPr>
          <w:rFonts w:ascii="Calibri" w:eastAsia="Calibri" w:hAnsi="Calibri" w:cs="Calibri"/>
          <w:lang w:val="en-US"/>
        </w:rPr>
        <w:t xml:space="preserve">the loss of </w:t>
      </w:r>
      <w:r w:rsidR="00606133">
        <w:rPr>
          <w:rFonts w:ascii="Calibri" w:eastAsia="Calibri" w:hAnsi="Calibri" w:cs="Calibri"/>
          <w:lang w:val="en-US"/>
        </w:rPr>
        <w:t xml:space="preserve">RNFL </w:t>
      </w:r>
      <w:r w:rsidR="00606133" w:rsidRPr="003422F8">
        <w:rPr>
          <w:rFonts w:ascii="Calibri" w:eastAsia="Calibri" w:hAnsi="Calibri" w:cs="Calibri"/>
          <w:lang w:val="en-US"/>
        </w:rPr>
        <w:t>thickness in the placebo group after 6 months was consistent with previous natural history studies</w:t>
      </w:r>
      <w:r w:rsidR="00765FD4">
        <w:rPr>
          <w:rFonts w:ascii="Calibri" w:eastAsia="Calibri" w:hAnsi="Calibri" w:cs="Calibri"/>
          <w:lang w:val="en-US"/>
        </w:rPr>
        <w:t xml:space="preserve"> of AON</w:t>
      </w:r>
      <w:r w:rsidR="000867E2">
        <w:rPr>
          <w:rFonts w:ascii="Calibri" w:eastAsia="Calibri" w:hAnsi="Calibri" w:cs="Calibri"/>
          <w:vertAlign w:val="superscript"/>
          <w:lang w:val="en-US"/>
        </w:rPr>
        <w:t>19</w:t>
      </w:r>
      <w:proofErr w:type="gramStart"/>
      <w:r w:rsidR="00606133">
        <w:rPr>
          <w:rFonts w:ascii="Calibri" w:eastAsia="Calibri" w:hAnsi="Calibri" w:cs="Calibri"/>
          <w:vertAlign w:val="superscript"/>
          <w:lang w:val="en-US"/>
        </w:rPr>
        <w:t>,2</w:t>
      </w:r>
      <w:r w:rsidR="000867E2">
        <w:rPr>
          <w:rFonts w:ascii="Calibri" w:eastAsia="Calibri" w:hAnsi="Calibri" w:cs="Calibri"/>
          <w:vertAlign w:val="superscript"/>
          <w:lang w:val="en-US"/>
        </w:rPr>
        <w:t>1</w:t>
      </w:r>
      <w:proofErr w:type="gramEnd"/>
      <w:r w:rsidR="00606133" w:rsidRPr="003422F8">
        <w:rPr>
          <w:rFonts w:ascii="Calibri" w:eastAsia="Calibri" w:hAnsi="Calibri" w:cs="Calibri"/>
          <w:lang w:val="en-US"/>
        </w:rPr>
        <w:t xml:space="preserve">. </w:t>
      </w:r>
      <w:r w:rsidR="007D7C62">
        <w:rPr>
          <w:rFonts w:ascii="Calibri" w:eastAsia="Calibri" w:hAnsi="Calibri" w:cs="Calibri"/>
          <w:lang w:val="en-US"/>
        </w:rPr>
        <w:t xml:space="preserve">Care was taken to exclude patients with atypical AON, </w:t>
      </w:r>
      <w:r w:rsidR="00BB1998">
        <w:rPr>
          <w:rFonts w:ascii="Calibri" w:eastAsia="Calibri" w:hAnsi="Calibri" w:cs="Calibri"/>
          <w:lang w:val="en-US"/>
        </w:rPr>
        <w:t xml:space="preserve">and none of the participants developed features of </w:t>
      </w:r>
      <w:r w:rsidR="000607A9">
        <w:rPr>
          <w:rFonts w:ascii="Calibri" w:eastAsia="Calibri" w:hAnsi="Calibri" w:cs="Calibri"/>
          <w:lang w:val="en-US"/>
        </w:rPr>
        <w:t xml:space="preserve">conditions such as </w:t>
      </w:r>
      <w:proofErr w:type="spellStart"/>
      <w:r w:rsidR="00BB1998">
        <w:rPr>
          <w:rFonts w:ascii="Calibri" w:eastAsia="Calibri" w:hAnsi="Calibri" w:cs="Calibri"/>
          <w:lang w:val="en-US"/>
        </w:rPr>
        <w:t>neuromyelitis</w:t>
      </w:r>
      <w:proofErr w:type="spellEnd"/>
      <w:r w:rsidR="00BB1998">
        <w:rPr>
          <w:rFonts w:ascii="Calibri" w:eastAsia="Calibri" w:hAnsi="Calibri" w:cs="Calibri"/>
          <w:lang w:val="en-US"/>
        </w:rPr>
        <w:t xml:space="preserve"> </w:t>
      </w:r>
      <w:proofErr w:type="spellStart"/>
      <w:r w:rsidR="00BB1998">
        <w:rPr>
          <w:rFonts w:ascii="Calibri" w:eastAsia="Calibri" w:hAnsi="Calibri" w:cs="Calibri"/>
          <w:lang w:val="en-US"/>
        </w:rPr>
        <w:t>optica</w:t>
      </w:r>
      <w:proofErr w:type="spellEnd"/>
      <w:r w:rsidR="00BB1998">
        <w:rPr>
          <w:rFonts w:ascii="Calibri" w:eastAsia="Calibri" w:hAnsi="Calibri" w:cs="Calibri"/>
          <w:lang w:val="en-US"/>
        </w:rPr>
        <w:t xml:space="preserve"> (for which antibodies were also tested at presentation), or chronic relapsing inflammatory optic neuropathy</w:t>
      </w:r>
      <w:r w:rsidR="00765FD4">
        <w:rPr>
          <w:rFonts w:ascii="Calibri" w:eastAsia="Calibri" w:hAnsi="Calibri" w:cs="Calibri"/>
          <w:lang w:val="en-US"/>
        </w:rPr>
        <w:t xml:space="preserve"> (CRION)</w:t>
      </w:r>
      <w:r w:rsidR="00BB1998">
        <w:rPr>
          <w:rFonts w:ascii="Calibri" w:eastAsia="Calibri" w:hAnsi="Calibri" w:cs="Calibri"/>
          <w:lang w:val="en-US"/>
        </w:rPr>
        <w:t xml:space="preserve">. </w:t>
      </w:r>
      <w:r w:rsidR="00765FD4">
        <w:rPr>
          <w:rFonts w:ascii="Calibri" w:eastAsia="Calibri" w:hAnsi="Calibri" w:cs="Calibri"/>
          <w:lang w:val="en-US"/>
        </w:rPr>
        <w:t>After</w:t>
      </w:r>
      <w:r w:rsidR="00E352DD">
        <w:rPr>
          <w:rFonts w:ascii="Calibri" w:eastAsia="Calibri" w:hAnsi="Calibri" w:cs="Calibri"/>
          <w:lang w:val="en-US"/>
        </w:rPr>
        <w:t xml:space="preserve"> the study </w:t>
      </w:r>
      <w:r w:rsidR="00765FD4">
        <w:rPr>
          <w:rFonts w:ascii="Calibri" w:eastAsia="Calibri" w:hAnsi="Calibri" w:cs="Calibri"/>
          <w:lang w:val="en-US"/>
        </w:rPr>
        <w:t>started</w:t>
      </w:r>
      <w:r w:rsidR="00E352DD">
        <w:rPr>
          <w:rFonts w:ascii="Calibri" w:eastAsia="Calibri" w:hAnsi="Calibri" w:cs="Calibri"/>
          <w:lang w:val="en-US"/>
        </w:rPr>
        <w:t xml:space="preserve">, further immunological subtypes of optic neuritis have been suggested (for example those with antibodies to myelin </w:t>
      </w:r>
      <w:proofErr w:type="spellStart"/>
      <w:r w:rsidR="00E352DD">
        <w:rPr>
          <w:rFonts w:ascii="Calibri" w:eastAsia="Calibri" w:hAnsi="Calibri" w:cs="Calibri"/>
          <w:lang w:val="en-US"/>
        </w:rPr>
        <w:t>oligodendrocyte</w:t>
      </w:r>
      <w:proofErr w:type="spellEnd"/>
      <w:r w:rsidR="00E352DD">
        <w:rPr>
          <w:rFonts w:ascii="Calibri" w:eastAsia="Calibri" w:hAnsi="Calibri" w:cs="Calibri"/>
          <w:lang w:val="en-US"/>
        </w:rPr>
        <w:t xml:space="preserve"> glycoprotein</w:t>
      </w:r>
      <w:r w:rsidR="000867E2">
        <w:rPr>
          <w:rFonts w:ascii="Calibri" w:eastAsia="Calibri" w:hAnsi="Calibri" w:cs="Calibri"/>
          <w:vertAlign w:val="superscript"/>
          <w:lang w:val="en-US"/>
        </w:rPr>
        <w:t>22</w:t>
      </w:r>
      <w:r w:rsidR="00E352DD">
        <w:rPr>
          <w:rFonts w:ascii="Calibri" w:eastAsia="Calibri" w:hAnsi="Calibri" w:cs="Calibri"/>
          <w:lang w:val="en-US"/>
        </w:rPr>
        <w:t xml:space="preserve">) and it would be important to include appropriate testing for these </w:t>
      </w:r>
      <w:r w:rsidR="00765FD4">
        <w:rPr>
          <w:rFonts w:ascii="Calibri" w:eastAsia="Calibri" w:hAnsi="Calibri" w:cs="Calibri"/>
          <w:lang w:val="en-US"/>
        </w:rPr>
        <w:t>subtypes</w:t>
      </w:r>
      <w:r w:rsidR="00C7634E">
        <w:rPr>
          <w:rFonts w:ascii="Calibri" w:eastAsia="Calibri" w:hAnsi="Calibri" w:cs="Calibri"/>
          <w:lang w:val="en-US"/>
        </w:rPr>
        <w:t xml:space="preserve"> in future studies for any differences in their response to </w:t>
      </w:r>
      <w:proofErr w:type="spellStart"/>
      <w:r w:rsidR="00C7634E">
        <w:rPr>
          <w:rFonts w:ascii="Calibri" w:eastAsia="Calibri" w:hAnsi="Calibri" w:cs="Calibri"/>
          <w:lang w:val="en-US"/>
        </w:rPr>
        <w:t>neuroprotective</w:t>
      </w:r>
      <w:proofErr w:type="spellEnd"/>
      <w:r w:rsidR="00C7634E">
        <w:rPr>
          <w:rFonts w:ascii="Calibri" w:eastAsia="Calibri" w:hAnsi="Calibri" w:cs="Calibri"/>
          <w:lang w:val="en-US"/>
        </w:rPr>
        <w:t xml:space="preserve"> therapies.</w:t>
      </w:r>
      <w:r w:rsidR="00E352DD">
        <w:rPr>
          <w:rFonts w:ascii="Calibri" w:eastAsia="Calibri" w:hAnsi="Calibri" w:cs="Calibri"/>
          <w:lang w:val="en-US"/>
        </w:rPr>
        <w:t xml:space="preserve"> </w:t>
      </w:r>
      <w:r w:rsidR="00E95223">
        <w:rPr>
          <w:rFonts w:ascii="Calibri" w:eastAsia="Calibri" w:hAnsi="Calibri" w:cs="Calibri"/>
          <w:lang w:val="en-US"/>
        </w:rPr>
        <w:t>In the present study, 41 out of 86 participants had (or later developed) MS,</w:t>
      </w:r>
      <w:r w:rsidR="00C7634E">
        <w:rPr>
          <w:rFonts w:ascii="Calibri" w:eastAsia="Calibri" w:hAnsi="Calibri" w:cs="Calibri"/>
          <w:lang w:val="en-US"/>
        </w:rPr>
        <w:t xml:space="preserve"> or </w:t>
      </w:r>
      <w:r w:rsidR="00E95223">
        <w:rPr>
          <w:rFonts w:ascii="Calibri" w:eastAsia="Calibri" w:hAnsi="Calibri" w:cs="Calibri"/>
          <w:lang w:val="en-US"/>
        </w:rPr>
        <w:t xml:space="preserve">had </w:t>
      </w:r>
      <w:r w:rsidR="00C7634E">
        <w:rPr>
          <w:rFonts w:ascii="Calibri" w:eastAsia="Calibri" w:hAnsi="Calibri" w:cs="Calibri"/>
          <w:lang w:val="en-US"/>
        </w:rPr>
        <w:t>a clinically isolated syndrome.</w:t>
      </w:r>
      <w:r w:rsidR="007D7C62">
        <w:rPr>
          <w:rFonts w:ascii="Calibri" w:eastAsia="Calibri" w:hAnsi="Calibri" w:cs="Calibri"/>
          <w:lang w:val="en-US"/>
        </w:rPr>
        <w:t xml:space="preserve"> </w:t>
      </w:r>
      <w:r w:rsidR="00BB1998">
        <w:rPr>
          <w:rFonts w:ascii="Calibri" w:eastAsia="Calibri" w:hAnsi="Calibri" w:cs="Calibri"/>
          <w:lang w:val="en-US"/>
        </w:rPr>
        <w:t>I</w:t>
      </w:r>
      <w:r w:rsidR="007D7C62">
        <w:rPr>
          <w:rFonts w:ascii="Calibri" w:eastAsia="Calibri" w:hAnsi="Calibri" w:cs="Calibri"/>
          <w:lang w:val="en-US"/>
        </w:rPr>
        <w:t xml:space="preserve">n keeping with a demyelinating </w:t>
      </w:r>
      <w:proofErr w:type="spellStart"/>
      <w:r w:rsidR="007D7C62">
        <w:rPr>
          <w:rFonts w:ascii="Calibri" w:eastAsia="Calibri" w:hAnsi="Calibri" w:cs="Calibri"/>
          <w:lang w:val="en-US"/>
        </w:rPr>
        <w:t>aetiology</w:t>
      </w:r>
      <w:proofErr w:type="spellEnd"/>
      <w:r w:rsidR="007D7C62">
        <w:rPr>
          <w:rFonts w:ascii="Calibri" w:eastAsia="Calibri" w:hAnsi="Calibri" w:cs="Calibri"/>
          <w:lang w:val="en-US"/>
        </w:rPr>
        <w:t xml:space="preserve">, </w:t>
      </w:r>
      <w:r w:rsidR="007D7C62">
        <w:rPr>
          <w:rFonts w:ascii="Calibri" w:eastAsia="Calibri" w:hAnsi="Calibri" w:cs="Calibri"/>
          <w:lang w:val="en-US"/>
        </w:rPr>
        <w:lastRenderedPageBreak/>
        <w:t>three quarters of participants had brain</w:t>
      </w:r>
      <w:r w:rsidR="00C979CA">
        <w:rPr>
          <w:rFonts w:ascii="Calibri" w:eastAsia="Calibri" w:hAnsi="Calibri" w:cs="Calibri"/>
          <w:lang w:val="en-US"/>
        </w:rPr>
        <w:t xml:space="preserve"> lesions on MRI at baseline</w:t>
      </w:r>
      <w:r w:rsidR="00D14CCB">
        <w:rPr>
          <w:rFonts w:ascii="Calibri" w:eastAsia="Calibri" w:hAnsi="Calibri" w:cs="Calibri"/>
          <w:vertAlign w:val="superscript"/>
          <w:lang w:val="en-US"/>
        </w:rPr>
        <w:t>2</w:t>
      </w:r>
      <w:r w:rsidR="000867E2">
        <w:rPr>
          <w:rFonts w:ascii="Calibri" w:eastAsia="Calibri" w:hAnsi="Calibri" w:cs="Calibri"/>
          <w:vertAlign w:val="superscript"/>
          <w:lang w:val="en-US"/>
        </w:rPr>
        <w:t>3</w:t>
      </w:r>
      <w:r w:rsidR="00C979CA">
        <w:rPr>
          <w:rFonts w:ascii="Calibri" w:eastAsia="Calibri" w:hAnsi="Calibri" w:cs="Calibri"/>
          <w:lang w:val="en-US"/>
        </w:rPr>
        <w:t xml:space="preserve">. Those with </w:t>
      </w:r>
      <w:r w:rsidR="00D436BF">
        <w:rPr>
          <w:rFonts w:ascii="Calibri" w:eastAsia="Calibri" w:hAnsi="Calibri" w:cs="Calibri"/>
          <w:lang w:val="en-US"/>
        </w:rPr>
        <w:t>and without brain lesions</w:t>
      </w:r>
      <w:r w:rsidR="00C979CA">
        <w:rPr>
          <w:rFonts w:ascii="Calibri" w:eastAsia="Calibri" w:hAnsi="Calibri" w:cs="Calibri"/>
          <w:lang w:val="en-US"/>
        </w:rPr>
        <w:t xml:space="preserve"> could not be distinguished</w:t>
      </w:r>
      <w:r w:rsidR="005F755F">
        <w:rPr>
          <w:rFonts w:ascii="Calibri" w:eastAsia="Calibri" w:hAnsi="Calibri" w:cs="Calibri"/>
          <w:lang w:val="en-US"/>
        </w:rPr>
        <w:t xml:space="preserve"> </w:t>
      </w:r>
      <w:r w:rsidR="00A311ED">
        <w:rPr>
          <w:rFonts w:ascii="Calibri" w:eastAsia="Calibri" w:hAnsi="Calibri" w:cs="Calibri"/>
          <w:lang w:val="en-US"/>
        </w:rPr>
        <w:t xml:space="preserve">clinically or with other measurements </w:t>
      </w:r>
      <w:r w:rsidR="00D436BF">
        <w:rPr>
          <w:rFonts w:ascii="Calibri" w:eastAsia="Calibri" w:hAnsi="Calibri" w:cs="Calibri"/>
          <w:lang w:val="en-US"/>
        </w:rPr>
        <w:t>at baseline</w:t>
      </w:r>
      <w:r w:rsidR="00A311ED">
        <w:rPr>
          <w:rFonts w:ascii="Calibri" w:eastAsia="Calibri" w:hAnsi="Calibri" w:cs="Calibri"/>
          <w:lang w:val="en-US"/>
        </w:rPr>
        <w:t>, nor</w:t>
      </w:r>
      <w:r w:rsidR="00D436BF">
        <w:rPr>
          <w:rFonts w:ascii="Calibri" w:eastAsia="Calibri" w:hAnsi="Calibri" w:cs="Calibri"/>
          <w:lang w:val="en-US"/>
        </w:rPr>
        <w:t xml:space="preserve"> </w:t>
      </w:r>
      <w:r w:rsidR="00C979CA">
        <w:rPr>
          <w:rFonts w:ascii="Calibri" w:eastAsia="Calibri" w:hAnsi="Calibri" w:cs="Calibri"/>
          <w:lang w:val="en-US"/>
        </w:rPr>
        <w:t>during follow up</w:t>
      </w:r>
      <w:r w:rsidR="00D436BF">
        <w:rPr>
          <w:rFonts w:ascii="Calibri" w:eastAsia="Calibri" w:hAnsi="Calibri" w:cs="Calibri"/>
          <w:lang w:val="en-US"/>
        </w:rPr>
        <w:t xml:space="preserve">, suggesting that </w:t>
      </w:r>
      <w:r w:rsidR="00CD1107">
        <w:rPr>
          <w:rFonts w:ascii="Calibri" w:eastAsia="Calibri" w:hAnsi="Calibri" w:cs="Calibri"/>
          <w:lang w:val="en-US"/>
        </w:rPr>
        <w:t xml:space="preserve">the study involved </w:t>
      </w:r>
      <w:r w:rsidR="00D436BF">
        <w:rPr>
          <w:rFonts w:ascii="Calibri" w:eastAsia="Calibri" w:hAnsi="Calibri" w:cs="Calibri"/>
          <w:lang w:val="en-US"/>
        </w:rPr>
        <w:t xml:space="preserve">a largely homogeneous </w:t>
      </w:r>
      <w:r w:rsidR="00CD1107">
        <w:rPr>
          <w:rFonts w:ascii="Calibri" w:eastAsia="Calibri" w:hAnsi="Calibri" w:cs="Calibri"/>
          <w:lang w:val="en-US"/>
        </w:rPr>
        <w:t>AON population.</w:t>
      </w:r>
      <w:r w:rsidR="005F755F">
        <w:rPr>
          <w:rFonts w:ascii="Calibri" w:eastAsia="Calibri" w:hAnsi="Calibri" w:cs="Calibri"/>
          <w:lang w:val="en-US"/>
        </w:rPr>
        <w:t xml:space="preserve"> In addition, t</w:t>
      </w:r>
      <w:r w:rsidR="00C979CA">
        <w:rPr>
          <w:rFonts w:ascii="Calibri" w:eastAsia="Calibri" w:hAnsi="Calibri" w:cs="Calibri"/>
          <w:lang w:val="en-US"/>
        </w:rPr>
        <w:t xml:space="preserve">here was no </w:t>
      </w:r>
      <w:r w:rsidR="00BD4238">
        <w:rPr>
          <w:rFonts w:ascii="Calibri" w:eastAsia="Calibri" w:hAnsi="Calibri" w:cs="Calibri"/>
          <w:lang w:val="en-US"/>
        </w:rPr>
        <w:t xml:space="preserve">statistically </w:t>
      </w:r>
      <w:r w:rsidR="00C979CA">
        <w:rPr>
          <w:rFonts w:ascii="Calibri" w:eastAsia="Calibri" w:hAnsi="Calibri" w:cs="Calibri"/>
          <w:lang w:val="en-US"/>
        </w:rPr>
        <w:t xml:space="preserve">significant difference in the primary treatment effect between </w:t>
      </w:r>
      <w:r w:rsidR="005F755F">
        <w:rPr>
          <w:rFonts w:ascii="Calibri" w:eastAsia="Calibri" w:hAnsi="Calibri" w:cs="Calibri"/>
          <w:lang w:val="en-US"/>
        </w:rPr>
        <w:t xml:space="preserve">the </w:t>
      </w:r>
      <w:r w:rsidR="00C979CA">
        <w:rPr>
          <w:rFonts w:ascii="Calibri" w:eastAsia="Calibri" w:hAnsi="Calibri" w:cs="Calibri"/>
          <w:lang w:val="en-US"/>
        </w:rPr>
        <w:t>groups</w:t>
      </w:r>
      <w:r w:rsidR="005F755F">
        <w:rPr>
          <w:rFonts w:ascii="Calibri" w:eastAsia="Calibri" w:hAnsi="Calibri" w:cs="Calibri"/>
          <w:lang w:val="en-US"/>
        </w:rPr>
        <w:t xml:space="preserve"> with and without brain lesions</w:t>
      </w:r>
      <w:r w:rsidR="00C979CA">
        <w:rPr>
          <w:rFonts w:ascii="Calibri" w:eastAsia="Calibri" w:hAnsi="Calibri" w:cs="Calibri"/>
          <w:lang w:val="en-US"/>
        </w:rPr>
        <w:t>.</w:t>
      </w:r>
      <w:r w:rsidR="00964398">
        <w:rPr>
          <w:rFonts w:ascii="Calibri" w:eastAsia="Calibri" w:hAnsi="Calibri" w:cs="Calibri"/>
          <w:lang w:val="en-US"/>
        </w:rPr>
        <w:t xml:space="preserve"> </w:t>
      </w:r>
    </w:p>
    <w:p w14:paraId="59DF8B3C" w14:textId="5E7C647B" w:rsidR="00521084" w:rsidRDefault="00521084" w:rsidP="00606133">
      <w:pPr>
        <w:pStyle w:val="Body"/>
        <w:jc w:val="both"/>
        <w:rPr>
          <w:rFonts w:ascii="Calibri" w:eastAsia="Calibri" w:hAnsi="Calibri" w:cs="Calibri"/>
          <w:lang w:val="en-US"/>
        </w:rPr>
      </w:pPr>
      <w:r>
        <w:rPr>
          <w:rFonts w:ascii="Calibri" w:eastAsia="Calibri" w:hAnsi="Calibri" w:cs="Calibri"/>
          <w:lang w:val="en-US"/>
        </w:rPr>
        <w:t>B</w:t>
      </w:r>
      <w:r w:rsidR="00047149">
        <w:rPr>
          <w:rFonts w:ascii="Calibri" w:eastAsia="Calibri" w:hAnsi="Calibri" w:cs="Calibri"/>
          <w:lang w:val="en-US"/>
        </w:rPr>
        <w:t>aseline low contrast letter acuity</w:t>
      </w:r>
      <w:r w:rsidR="00D436BF">
        <w:rPr>
          <w:rFonts w:ascii="Calibri" w:eastAsia="Calibri" w:hAnsi="Calibri" w:cs="Calibri"/>
          <w:lang w:val="en-US"/>
        </w:rPr>
        <w:t xml:space="preserve">, </w:t>
      </w:r>
      <w:r w:rsidR="006B615F">
        <w:rPr>
          <w:rFonts w:ascii="Calibri" w:eastAsia="Calibri" w:hAnsi="Calibri" w:cs="Calibri"/>
          <w:lang w:val="en-US"/>
        </w:rPr>
        <w:t>a predictor of RNFL thickness at six months</w:t>
      </w:r>
      <w:r w:rsidR="00AA62E8">
        <w:rPr>
          <w:rFonts w:ascii="Calibri" w:eastAsia="Calibri" w:hAnsi="Calibri" w:cs="Calibri"/>
          <w:vertAlign w:val="superscript"/>
          <w:lang w:val="en-US"/>
        </w:rPr>
        <w:t>1</w:t>
      </w:r>
      <w:r w:rsidR="000867E2">
        <w:rPr>
          <w:rFonts w:ascii="Calibri" w:eastAsia="Calibri" w:hAnsi="Calibri" w:cs="Calibri"/>
          <w:vertAlign w:val="superscript"/>
          <w:lang w:val="en-US"/>
        </w:rPr>
        <w:t>9</w:t>
      </w:r>
      <w:r w:rsidR="006B615F">
        <w:rPr>
          <w:rFonts w:ascii="Calibri" w:eastAsia="Calibri" w:hAnsi="Calibri" w:cs="Calibri"/>
          <w:lang w:val="en-US"/>
        </w:rPr>
        <w:t>,</w:t>
      </w:r>
      <w:r w:rsidR="001E229B">
        <w:rPr>
          <w:rFonts w:ascii="Calibri" w:eastAsia="Calibri" w:hAnsi="Calibri" w:cs="Calibri"/>
          <w:lang w:val="en-US"/>
        </w:rPr>
        <w:t xml:space="preserve"> </w:t>
      </w:r>
      <w:r>
        <w:rPr>
          <w:rFonts w:ascii="Calibri" w:eastAsia="Calibri" w:hAnsi="Calibri" w:cs="Calibri"/>
          <w:lang w:val="en-US"/>
        </w:rPr>
        <w:t>was noted to be a little worse in the active group</w:t>
      </w:r>
      <w:r w:rsidR="006B615F">
        <w:rPr>
          <w:rFonts w:ascii="Calibri" w:eastAsia="Calibri" w:hAnsi="Calibri" w:cs="Calibri"/>
          <w:lang w:val="en-US"/>
        </w:rPr>
        <w:t xml:space="preserve">. This would bias </w:t>
      </w:r>
      <w:r w:rsidR="00A85DA1">
        <w:rPr>
          <w:rFonts w:ascii="Calibri" w:eastAsia="Calibri" w:hAnsi="Calibri" w:cs="Calibri"/>
          <w:lang w:val="en-US"/>
        </w:rPr>
        <w:t>the active group towards a lower six month RNFL thickness</w:t>
      </w:r>
      <w:r w:rsidR="001E229B">
        <w:rPr>
          <w:rFonts w:ascii="Calibri" w:eastAsia="Calibri" w:hAnsi="Calibri" w:cs="Calibri"/>
          <w:lang w:val="en-US"/>
        </w:rPr>
        <w:t>. The</w:t>
      </w:r>
      <w:r w:rsidR="00A85DA1">
        <w:rPr>
          <w:rFonts w:ascii="Calibri" w:eastAsia="Calibri" w:hAnsi="Calibri" w:cs="Calibri"/>
          <w:lang w:val="en-US"/>
        </w:rPr>
        <w:t xml:space="preserve"> </w:t>
      </w:r>
      <w:r w:rsidR="00A24225">
        <w:rPr>
          <w:rFonts w:ascii="Calibri" w:eastAsia="Calibri" w:hAnsi="Calibri" w:cs="Calibri"/>
          <w:lang w:val="en-US"/>
        </w:rPr>
        <w:t xml:space="preserve">opposite finding, of a </w:t>
      </w:r>
      <w:r w:rsidR="00A85DA1">
        <w:rPr>
          <w:rFonts w:ascii="Calibri" w:eastAsia="Calibri" w:hAnsi="Calibri" w:cs="Calibri"/>
          <w:lang w:val="en-US"/>
        </w:rPr>
        <w:t xml:space="preserve">higher six month RNFL thickness in the active </w:t>
      </w:r>
      <w:r w:rsidR="001E229B">
        <w:rPr>
          <w:rFonts w:ascii="Calibri" w:eastAsia="Calibri" w:hAnsi="Calibri" w:cs="Calibri"/>
          <w:lang w:val="en-US"/>
        </w:rPr>
        <w:t>group</w:t>
      </w:r>
      <w:r w:rsidR="00A24225">
        <w:rPr>
          <w:rFonts w:ascii="Calibri" w:eastAsia="Calibri" w:hAnsi="Calibri" w:cs="Calibri"/>
          <w:lang w:val="en-US"/>
        </w:rPr>
        <w:t>,</w:t>
      </w:r>
      <w:r w:rsidR="00A85DA1">
        <w:rPr>
          <w:rFonts w:ascii="Calibri" w:eastAsia="Calibri" w:hAnsi="Calibri" w:cs="Calibri"/>
          <w:lang w:val="en-US"/>
        </w:rPr>
        <w:t xml:space="preserve"> is therefore all the more consistent with a </w:t>
      </w:r>
      <w:proofErr w:type="spellStart"/>
      <w:r w:rsidR="00A85DA1">
        <w:rPr>
          <w:rFonts w:ascii="Calibri" w:eastAsia="Calibri" w:hAnsi="Calibri" w:cs="Calibri"/>
          <w:lang w:val="en-US"/>
        </w:rPr>
        <w:t>neuroprotective</w:t>
      </w:r>
      <w:proofErr w:type="spellEnd"/>
      <w:r w:rsidR="00A85DA1">
        <w:rPr>
          <w:rFonts w:ascii="Calibri" w:eastAsia="Calibri" w:hAnsi="Calibri" w:cs="Calibri"/>
          <w:lang w:val="en-US"/>
        </w:rPr>
        <w:t xml:space="preserve"> treatment effect.</w:t>
      </w:r>
    </w:p>
    <w:p w14:paraId="27B8C344" w14:textId="6527A776" w:rsidR="00606133" w:rsidRDefault="00B3606A" w:rsidP="00606133">
      <w:pPr>
        <w:pStyle w:val="Body"/>
        <w:jc w:val="both"/>
        <w:rPr>
          <w:rFonts w:ascii="Calibri" w:eastAsia="Calibri" w:hAnsi="Calibri" w:cs="Calibri"/>
          <w:lang w:val="en-US"/>
        </w:rPr>
      </w:pPr>
      <w:r>
        <w:rPr>
          <w:rFonts w:ascii="Calibri" w:eastAsia="Calibri" w:hAnsi="Calibri" w:cs="Calibri"/>
          <w:lang w:val="en-US"/>
        </w:rPr>
        <w:t>As expected, there was swelling of the RNFL in the affected eye at baseline, supporti</w:t>
      </w:r>
      <w:r w:rsidR="001E5C1A">
        <w:rPr>
          <w:rFonts w:ascii="Calibri" w:eastAsia="Calibri" w:hAnsi="Calibri" w:cs="Calibri"/>
          <w:lang w:val="en-US"/>
        </w:rPr>
        <w:t>ng the use of the</w:t>
      </w:r>
      <w:r w:rsidR="00DE0C5D">
        <w:rPr>
          <w:rFonts w:ascii="Calibri" w:eastAsia="Calibri" w:hAnsi="Calibri" w:cs="Calibri"/>
          <w:lang w:val="en-US"/>
        </w:rPr>
        <w:t xml:space="preserve"> fellow eye</w:t>
      </w:r>
      <w:r w:rsidR="001E5C1A">
        <w:rPr>
          <w:rFonts w:ascii="Calibri" w:eastAsia="Calibri" w:hAnsi="Calibri" w:cs="Calibri"/>
          <w:lang w:val="en-US"/>
        </w:rPr>
        <w:t xml:space="preserve"> RNFL </w:t>
      </w:r>
      <w:r w:rsidR="00D624B0">
        <w:rPr>
          <w:rFonts w:ascii="Calibri" w:eastAsia="Calibri" w:hAnsi="Calibri" w:cs="Calibri"/>
          <w:lang w:val="en-US"/>
        </w:rPr>
        <w:t xml:space="preserve">at baseline </w:t>
      </w:r>
      <w:r w:rsidR="0069497F">
        <w:rPr>
          <w:rFonts w:ascii="Calibri" w:eastAsia="Calibri" w:hAnsi="Calibri" w:cs="Calibri"/>
          <w:lang w:val="en-US"/>
        </w:rPr>
        <w:t>for comparisons of change</w:t>
      </w:r>
      <w:r w:rsidR="001E5C1A">
        <w:rPr>
          <w:rFonts w:ascii="Calibri" w:eastAsia="Calibri" w:hAnsi="Calibri" w:cs="Calibri"/>
          <w:lang w:val="en-US"/>
        </w:rPr>
        <w:t xml:space="preserve"> in the affected eye at follow up. This method is p</w:t>
      </w:r>
      <w:r w:rsidR="0069497F">
        <w:rPr>
          <w:rFonts w:ascii="Calibri" w:eastAsia="Calibri" w:hAnsi="Calibri" w:cs="Calibri"/>
          <w:lang w:val="en-US"/>
        </w:rPr>
        <w:t>rone to error if the fellow eye is not actually normal because of</w:t>
      </w:r>
      <w:r w:rsidR="001E5C1A">
        <w:rPr>
          <w:rFonts w:ascii="Calibri" w:eastAsia="Calibri" w:hAnsi="Calibri" w:cs="Calibri"/>
          <w:lang w:val="en-US"/>
        </w:rPr>
        <w:t xml:space="preserve"> previous and possibly subclinical episod</w:t>
      </w:r>
      <w:r w:rsidR="0069497F">
        <w:rPr>
          <w:rFonts w:ascii="Calibri" w:eastAsia="Calibri" w:hAnsi="Calibri" w:cs="Calibri"/>
          <w:lang w:val="en-US"/>
        </w:rPr>
        <w:t>es of AON</w:t>
      </w:r>
      <w:r w:rsidR="001E5C1A">
        <w:rPr>
          <w:rFonts w:ascii="Calibri" w:eastAsia="Calibri" w:hAnsi="Calibri" w:cs="Calibri"/>
          <w:lang w:val="en-US"/>
        </w:rPr>
        <w:t>,</w:t>
      </w:r>
      <w:r w:rsidR="0069497F">
        <w:rPr>
          <w:rFonts w:ascii="Calibri" w:eastAsia="Calibri" w:hAnsi="Calibri" w:cs="Calibri"/>
          <w:lang w:val="en-US"/>
        </w:rPr>
        <w:t xml:space="preserve"> but this is unlikely </w:t>
      </w:r>
      <w:r w:rsidR="005E09E2">
        <w:rPr>
          <w:rFonts w:ascii="Calibri" w:eastAsia="Calibri" w:hAnsi="Calibri" w:cs="Calibri"/>
          <w:lang w:val="en-US"/>
        </w:rPr>
        <w:t>to have affected</w:t>
      </w:r>
      <w:r w:rsidR="0069497F">
        <w:rPr>
          <w:rFonts w:ascii="Calibri" w:eastAsia="Calibri" w:hAnsi="Calibri" w:cs="Calibri"/>
          <w:lang w:val="en-US"/>
        </w:rPr>
        <w:t xml:space="preserve"> t</w:t>
      </w:r>
      <w:r w:rsidR="000771D9">
        <w:rPr>
          <w:rFonts w:ascii="Calibri" w:eastAsia="Calibri" w:hAnsi="Calibri" w:cs="Calibri"/>
          <w:lang w:val="en-US"/>
        </w:rPr>
        <w:t>he present study</w:t>
      </w:r>
      <w:r w:rsidR="0069497F">
        <w:rPr>
          <w:rFonts w:ascii="Calibri" w:eastAsia="Calibri" w:hAnsi="Calibri" w:cs="Calibri"/>
          <w:lang w:val="en-US"/>
        </w:rPr>
        <w:t xml:space="preserve">: </w:t>
      </w:r>
      <w:r w:rsidR="00DE0C5D">
        <w:rPr>
          <w:rFonts w:ascii="Calibri" w:eastAsia="Calibri" w:hAnsi="Calibri" w:cs="Calibri"/>
          <w:lang w:val="en-US"/>
        </w:rPr>
        <w:t>none of the participants had experienced visual symptoms previously</w:t>
      </w:r>
      <w:r w:rsidR="000771D9">
        <w:rPr>
          <w:rFonts w:ascii="Calibri" w:eastAsia="Calibri" w:hAnsi="Calibri" w:cs="Calibri"/>
          <w:lang w:val="en-US"/>
        </w:rPr>
        <w:t>,</w:t>
      </w:r>
      <w:r w:rsidR="00DE0C5D">
        <w:rPr>
          <w:rFonts w:ascii="Calibri" w:eastAsia="Calibri" w:hAnsi="Calibri" w:cs="Calibri"/>
          <w:lang w:val="en-US"/>
        </w:rPr>
        <w:t xml:space="preserve"> and</w:t>
      </w:r>
      <w:r w:rsidR="00F96B5E">
        <w:rPr>
          <w:rFonts w:ascii="Calibri" w:eastAsia="Calibri" w:hAnsi="Calibri" w:cs="Calibri"/>
          <w:lang w:val="en-US"/>
        </w:rPr>
        <w:t xml:space="preserve"> measurements of the fellow eye revealed no significant subclinical abnormalities</w:t>
      </w:r>
      <w:r w:rsidR="00781281">
        <w:rPr>
          <w:rFonts w:ascii="Calibri" w:eastAsia="Calibri" w:hAnsi="Calibri" w:cs="Calibri"/>
          <w:lang w:val="en-US"/>
        </w:rPr>
        <w:t>.</w:t>
      </w:r>
      <w:r w:rsidR="005E09E2">
        <w:rPr>
          <w:rFonts w:ascii="Calibri" w:eastAsia="Calibri" w:hAnsi="Calibri" w:cs="Calibri"/>
          <w:lang w:val="en-US"/>
        </w:rPr>
        <w:t xml:space="preserve"> Future trial designs may avoid this issue by </w:t>
      </w:r>
      <w:r w:rsidR="00DF53B3">
        <w:rPr>
          <w:rFonts w:ascii="Calibri" w:eastAsia="Calibri" w:hAnsi="Calibri" w:cs="Calibri"/>
          <w:lang w:val="en-US"/>
        </w:rPr>
        <w:t xml:space="preserve">using OCT segmentation methods to </w:t>
      </w:r>
      <w:r w:rsidR="005E09E2">
        <w:rPr>
          <w:rFonts w:ascii="Calibri" w:eastAsia="Calibri" w:hAnsi="Calibri" w:cs="Calibri"/>
          <w:lang w:val="en-US"/>
        </w:rPr>
        <w:t>compar</w:t>
      </w:r>
      <w:r w:rsidR="00DF53B3">
        <w:rPr>
          <w:rFonts w:ascii="Calibri" w:eastAsia="Calibri" w:hAnsi="Calibri" w:cs="Calibri"/>
          <w:lang w:val="en-US"/>
        </w:rPr>
        <w:t>e the retinal ganglion cell layer at</w:t>
      </w:r>
      <w:r w:rsidR="007B2EA9">
        <w:rPr>
          <w:rFonts w:ascii="Calibri" w:eastAsia="Calibri" w:hAnsi="Calibri" w:cs="Calibri"/>
          <w:lang w:val="en-US"/>
        </w:rPr>
        <w:t xml:space="preserve"> </w:t>
      </w:r>
      <w:r w:rsidR="000710B4">
        <w:rPr>
          <w:rFonts w:ascii="Calibri" w:eastAsia="Calibri" w:hAnsi="Calibri" w:cs="Calibri"/>
          <w:lang w:val="en-US"/>
        </w:rPr>
        <w:t xml:space="preserve">baseline and follow up </w:t>
      </w:r>
      <w:r w:rsidR="00DF53B3">
        <w:rPr>
          <w:rFonts w:ascii="Calibri" w:eastAsia="Calibri" w:hAnsi="Calibri" w:cs="Calibri"/>
          <w:lang w:val="en-US"/>
        </w:rPr>
        <w:t>in the affected eye alone</w:t>
      </w:r>
      <w:r w:rsidR="000710B4">
        <w:rPr>
          <w:rFonts w:ascii="Calibri" w:eastAsia="Calibri" w:hAnsi="Calibri" w:cs="Calibri"/>
          <w:lang w:val="en-US"/>
        </w:rPr>
        <w:t>, since this structure</w:t>
      </w:r>
      <w:r w:rsidR="00DF53B3">
        <w:rPr>
          <w:rFonts w:ascii="Calibri" w:eastAsia="Calibri" w:hAnsi="Calibri" w:cs="Calibri"/>
          <w:lang w:val="en-US"/>
        </w:rPr>
        <w:t xml:space="preserve"> does not swell acutely in AON</w:t>
      </w:r>
      <w:r w:rsidR="001A7C20">
        <w:rPr>
          <w:rFonts w:ascii="Calibri" w:eastAsia="Calibri" w:hAnsi="Calibri" w:cs="Calibri"/>
          <w:vertAlign w:val="superscript"/>
          <w:lang w:val="en-US"/>
        </w:rPr>
        <w:t>2</w:t>
      </w:r>
      <w:r w:rsidR="000867E2">
        <w:rPr>
          <w:rFonts w:ascii="Calibri" w:eastAsia="Calibri" w:hAnsi="Calibri" w:cs="Calibri"/>
          <w:vertAlign w:val="superscript"/>
          <w:lang w:val="en-US"/>
        </w:rPr>
        <w:t>4</w:t>
      </w:r>
      <w:r w:rsidR="000710B4">
        <w:rPr>
          <w:rFonts w:ascii="Calibri" w:eastAsia="Calibri" w:hAnsi="Calibri" w:cs="Calibri"/>
          <w:lang w:val="en-US"/>
        </w:rPr>
        <w:t>.</w:t>
      </w:r>
      <w:r w:rsidR="005E09E2">
        <w:rPr>
          <w:rFonts w:ascii="Calibri" w:eastAsia="Calibri" w:hAnsi="Calibri" w:cs="Calibri"/>
          <w:lang w:val="en-US"/>
        </w:rPr>
        <w:t xml:space="preserve"> </w:t>
      </w:r>
    </w:p>
    <w:p w14:paraId="62214178" w14:textId="4A9FC41F" w:rsidR="00420BD7" w:rsidRDefault="007A0D21" w:rsidP="00420BD7">
      <w:pPr>
        <w:pStyle w:val="Body"/>
        <w:jc w:val="both"/>
        <w:rPr>
          <w:rFonts w:ascii="Calibri" w:eastAsia="Calibri" w:hAnsi="Calibri" w:cs="Calibri"/>
          <w:lang w:val="en-US"/>
        </w:rPr>
      </w:pPr>
      <w:r w:rsidRPr="003422F8">
        <w:rPr>
          <w:rFonts w:ascii="Calibri" w:eastAsia="Calibri" w:hAnsi="Calibri" w:cs="Calibri"/>
          <w:lang w:val="en-US"/>
        </w:rPr>
        <w:t xml:space="preserve">Corticosteroid treatment at presentation is unlikely to have influenced the main </w:t>
      </w:r>
      <w:proofErr w:type="spellStart"/>
      <w:r w:rsidRPr="003422F8">
        <w:rPr>
          <w:rFonts w:ascii="Calibri" w:eastAsia="Calibri" w:hAnsi="Calibri" w:cs="Calibri"/>
          <w:lang w:val="en-US"/>
        </w:rPr>
        <w:t>neuroprotective</w:t>
      </w:r>
      <w:proofErr w:type="spellEnd"/>
      <w:r w:rsidRPr="003422F8">
        <w:rPr>
          <w:rFonts w:ascii="Calibri" w:eastAsia="Calibri" w:hAnsi="Calibri" w:cs="Calibri"/>
          <w:lang w:val="en-US"/>
        </w:rPr>
        <w:t xml:space="preserve"> findings because care was taken to adjust </w:t>
      </w:r>
      <w:r>
        <w:rPr>
          <w:rFonts w:ascii="Calibri" w:eastAsia="Calibri" w:hAnsi="Calibri" w:cs="Calibri"/>
          <w:lang w:val="en-US"/>
        </w:rPr>
        <w:t xml:space="preserve">the analysis </w:t>
      </w:r>
      <w:r w:rsidRPr="003422F8">
        <w:rPr>
          <w:rFonts w:ascii="Calibri" w:eastAsia="Calibri" w:hAnsi="Calibri" w:cs="Calibri"/>
          <w:lang w:val="en-US"/>
        </w:rPr>
        <w:t>for the use and timing of corticosteroids. Also, measurements of the RNFL and of MV remained stable in the fellow eye in both the phenytoin and placebo groups, and previous studies show that corticosteroids do not prevent atrophy of the RNFL</w:t>
      </w:r>
      <w:r w:rsidR="00AF56CA">
        <w:rPr>
          <w:rFonts w:ascii="Calibri" w:eastAsia="Calibri" w:hAnsi="Calibri" w:cs="Calibri"/>
          <w:vertAlign w:val="superscript"/>
          <w:lang w:val="en-US"/>
        </w:rPr>
        <w:t>2</w:t>
      </w:r>
      <w:r w:rsidR="000867E2">
        <w:rPr>
          <w:rFonts w:ascii="Calibri" w:eastAsia="Calibri" w:hAnsi="Calibri" w:cs="Calibri"/>
          <w:vertAlign w:val="superscript"/>
          <w:lang w:val="en-US"/>
        </w:rPr>
        <w:t>5</w:t>
      </w:r>
      <w:r w:rsidRPr="003422F8">
        <w:rPr>
          <w:rFonts w:ascii="Calibri" w:eastAsia="Calibri" w:hAnsi="Calibri" w:cs="Calibri"/>
          <w:lang w:val="en-US"/>
        </w:rPr>
        <w:t xml:space="preserve"> or optic nerve</w:t>
      </w:r>
      <w:r w:rsidR="00AA62E8">
        <w:rPr>
          <w:rFonts w:ascii="Calibri" w:eastAsia="Calibri" w:hAnsi="Calibri" w:cs="Calibri"/>
          <w:vertAlign w:val="superscript"/>
          <w:lang w:val="en-US"/>
        </w:rPr>
        <w:t>2</w:t>
      </w:r>
      <w:r w:rsidR="000867E2">
        <w:rPr>
          <w:rFonts w:ascii="Calibri" w:eastAsia="Calibri" w:hAnsi="Calibri" w:cs="Calibri"/>
          <w:vertAlign w:val="superscript"/>
          <w:lang w:val="en-US"/>
        </w:rPr>
        <w:t>6</w:t>
      </w:r>
      <w:r w:rsidRPr="003422F8">
        <w:rPr>
          <w:rFonts w:ascii="Calibri" w:eastAsia="Calibri" w:hAnsi="Calibri" w:cs="Calibri"/>
          <w:lang w:val="en-US"/>
        </w:rPr>
        <w:t>, nor visual recovery after optic neuritis</w:t>
      </w:r>
      <w:r w:rsidR="00A062C0">
        <w:rPr>
          <w:rFonts w:ascii="Calibri" w:eastAsia="Calibri" w:hAnsi="Calibri" w:cs="Calibri"/>
          <w:vertAlign w:val="superscript"/>
        </w:rPr>
        <w:t>2</w:t>
      </w:r>
      <w:r w:rsidRPr="003422F8">
        <w:rPr>
          <w:rFonts w:ascii="Calibri" w:eastAsia="Calibri" w:hAnsi="Calibri" w:cs="Calibri"/>
          <w:lang w:val="en-US"/>
        </w:rPr>
        <w:t xml:space="preserve">.  </w:t>
      </w:r>
    </w:p>
    <w:p w14:paraId="642B09BB" w14:textId="1A14342C" w:rsidR="00420BD7" w:rsidRDefault="008F0CBE" w:rsidP="00420BD7">
      <w:pPr>
        <w:pStyle w:val="Body"/>
        <w:jc w:val="both"/>
        <w:rPr>
          <w:rFonts w:ascii="Calibri" w:eastAsia="Calibri" w:hAnsi="Calibri" w:cs="Calibri"/>
          <w:lang w:val="en-US"/>
        </w:rPr>
      </w:pPr>
      <w:r>
        <w:rPr>
          <w:rFonts w:ascii="Calibri" w:eastAsia="Calibri" w:hAnsi="Calibri" w:cs="Calibri"/>
          <w:lang w:val="en-US"/>
        </w:rPr>
        <w:t xml:space="preserve">A final consideration is the extent to which the study excluded people with AON whose contribution might reflect the response to treatment in real world settings. The details of participation (Fig 1) suggest that </w:t>
      </w:r>
      <w:r w:rsidR="00E741B3">
        <w:rPr>
          <w:rFonts w:ascii="Calibri" w:eastAsia="Calibri" w:hAnsi="Calibri" w:cs="Calibri"/>
          <w:lang w:val="en-US"/>
        </w:rPr>
        <w:t>the inclusion criteria excluded mainly those with characteristics of AON (</w:t>
      </w:r>
      <w:proofErr w:type="spellStart"/>
      <w:r w:rsidR="00E741B3">
        <w:rPr>
          <w:rFonts w:ascii="Calibri" w:eastAsia="Calibri" w:hAnsi="Calibri" w:cs="Calibri"/>
          <w:lang w:val="en-US"/>
        </w:rPr>
        <w:t>eg</w:t>
      </w:r>
      <w:proofErr w:type="spellEnd"/>
      <w:r w:rsidR="00E741B3">
        <w:rPr>
          <w:rFonts w:ascii="Calibri" w:eastAsia="Calibri" w:hAnsi="Calibri" w:cs="Calibri"/>
          <w:lang w:val="en-US"/>
        </w:rPr>
        <w:t xml:space="preserve"> prolonged symptom duration), or alternative causes of visual failure, which would be unlikely to benefit from sodium channel blockade: only the 25 out of 188 at screening for inclusion, who declined participation, </w:t>
      </w:r>
      <w:r>
        <w:rPr>
          <w:rFonts w:ascii="Calibri" w:eastAsia="Calibri" w:hAnsi="Calibri" w:cs="Calibri"/>
          <w:lang w:val="en-US"/>
        </w:rPr>
        <w:t>were not able to contribute to the study</w:t>
      </w:r>
      <w:r w:rsidR="00E741B3">
        <w:rPr>
          <w:rFonts w:ascii="Calibri" w:eastAsia="Calibri" w:hAnsi="Calibri" w:cs="Calibri"/>
          <w:lang w:val="en-US"/>
        </w:rPr>
        <w:t>.</w:t>
      </w:r>
      <w:r w:rsidR="00420BD7">
        <w:rPr>
          <w:rFonts w:ascii="Calibri" w:eastAsia="Calibri" w:hAnsi="Calibri" w:cs="Calibri"/>
          <w:lang w:val="en-US"/>
        </w:rPr>
        <w:t xml:space="preserve"> </w:t>
      </w:r>
      <w:r w:rsidR="00E741B3">
        <w:rPr>
          <w:rFonts w:ascii="Calibri" w:eastAsia="Calibri" w:hAnsi="Calibri" w:cs="Calibri"/>
          <w:lang w:val="en-US"/>
        </w:rPr>
        <w:t xml:space="preserve">If successful, the treatment might be offered in addition to a small group with AON currently excluded from the study, </w:t>
      </w:r>
      <w:proofErr w:type="spellStart"/>
      <w:r w:rsidR="00E741B3">
        <w:rPr>
          <w:rFonts w:ascii="Calibri" w:eastAsia="Calibri" w:hAnsi="Calibri" w:cs="Calibri"/>
          <w:lang w:val="en-US"/>
        </w:rPr>
        <w:t>ie</w:t>
      </w:r>
      <w:proofErr w:type="spellEnd"/>
      <w:r w:rsidR="00E741B3">
        <w:rPr>
          <w:rFonts w:ascii="Calibri" w:eastAsia="Calibri" w:hAnsi="Calibri" w:cs="Calibri"/>
          <w:lang w:val="en-US"/>
        </w:rPr>
        <w:t xml:space="preserve"> those with typical AON and outside the current age range, or else with more severe or longstanding MS. It is unlikely that such a group would be vulnerable to any additional risk from the treatment.</w:t>
      </w:r>
    </w:p>
    <w:p w14:paraId="10E326D1" w14:textId="6E33B7D2" w:rsidR="001F0A90" w:rsidRPr="001256AC" w:rsidRDefault="00D26EB3" w:rsidP="001F0A90">
      <w:pPr>
        <w:pStyle w:val="Body"/>
        <w:jc w:val="both"/>
        <w:rPr>
          <w:rFonts w:asciiTheme="majorHAnsi" w:eastAsia="Calibri" w:hAnsiTheme="majorHAnsi" w:cs="Calibri"/>
          <w:lang w:val="en-US"/>
        </w:rPr>
      </w:pPr>
      <w:r>
        <w:rPr>
          <w:rFonts w:ascii="Calibri" w:hAnsi="Calibri"/>
        </w:rPr>
        <w:t>Treatment with phenytoin was generally well tolerated</w:t>
      </w:r>
      <w:r w:rsidR="006B0907">
        <w:rPr>
          <w:rFonts w:ascii="Calibri" w:hAnsi="Calibri"/>
        </w:rPr>
        <w:t>, and was not associated with significant abnormalities in the blood count or liver function</w:t>
      </w:r>
      <w:r>
        <w:rPr>
          <w:rFonts w:ascii="Calibri" w:hAnsi="Calibri"/>
        </w:rPr>
        <w:t xml:space="preserve">. We did not observe any acute deterioration of vision that might be attributed to conduction block from inhibition of sodium currents, </w:t>
      </w:r>
      <w:proofErr w:type="gramStart"/>
      <w:r>
        <w:rPr>
          <w:rFonts w:ascii="Calibri" w:hAnsi="Calibri"/>
        </w:rPr>
        <w:t>nor</w:t>
      </w:r>
      <w:proofErr w:type="gramEnd"/>
      <w:r>
        <w:rPr>
          <w:rFonts w:ascii="Calibri" w:hAnsi="Calibri"/>
        </w:rPr>
        <w:t xml:space="preserve"> any rebound deterioration upon withdrawal of </w:t>
      </w:r>
      <w:r w:rsidRPr="001256AC">
        <w:rPr>
          <w:rFonts w:asciiTheme="majorHAnsi" w:hAnsiTheme="majorHAnsi"/>
        </w:rPr>
        <w:t>treatment</w:t>
      </w:r>
      <w:r w:rsidR="00E25EA0" w:rsidRPr="001256AC">
        <w:rPr>
          <w:rFonts w:asciiTheme="majorHAnsi" w:hAnsiTheme="majorHAnsi"/>
        </w:rPr>
        <w:t xml:space="preserve">, </w:t>
      </w:r>
      <w:r w:rsidR="00022CC9" w:rsidRPr="001256AC">
        <w:rPr>
          <w:rFonts w:asciiTheme="majorHAnsi" w:hAnsiTheme="majorHAnsi"/>
        </w:rPr>
        <w:t>effects which had previously been considered to potentially</w:t>
      </w:r>
      <w:r w:rsidR="00E25EA0" w:rsidRPr="001256AC">
        <w:rPr>
          <w:rFonts w:asciiTheme="majorHAnsi" w:hAnsiTheme="majorHAnsi"/>
        </w:rPr>
        <w:t xml:space="preserve"> limit the use of drugs acting on this target in demyelinating disorders</w:t>
      </w:r>
      <w:r w:rsidR="006B0907" w:rsidRPr="001256AC">
        <w:rPr>
          <w:rFonts w:asciiTheme="majorHAnsi" w:hAnsiTheme="majorHAnsi"/>
        </w:rPr>
        <w:t>. Only one participant experienced a severe adverse reaction, a skin rash, attributable to phenytoin, but nine further participants developed minor, self</w:t>
      </w:r>
      <w:r w:rsidR="00F055AF" w:rsidRPr="001256AC">
        <w:rPr>
          <w:rFonts w:asciiTheme="majorHAnsi" w:hAnsiTheme="majorHAnsi"/>
        </w:rPr>
        <w:t>-</w:t>
      </w:r>
      <w:r w:rsidR="006B0907" w:rsidRPr="001256AC">
        <w:rPr>
          <w:rFonts w:asciiTheme="majorHAnsi" w:hAnsiTheme="majorHAnsi"/>
        </w:rPr>
        <w:t>limiting skin rashes and were withdrawn from treatment</w:t>
      </w:r>
      <w:r w:rsidR="00E32D74">
        <w:rPr>
          <w:rFonts w:asciiTheme="majorHAnsi" w:hAnsiTheme="majorHAnsi"/>
        </w:rPr>
        <w:t xml:space="preserve"> by the investigators</w:t>
      </w:r>
      <w:r w:rsidR="006B0907" w:rsidRPr="001256AC">
        <w:rPr>
          <w:rFonts w:asciiTheme="majorHAnsi" w:hAnsiTheme="majorHAnsi"/>
        </w:rPr>
        <w:t xml:space="preserve"> according to protocol. </w:t>
      </w:r>
      <w:r w:rsidR="00B10A0C" w:rsidRPr="001256AC">
        <w:rPr>
          <w:rFonts w:asciiTheme="majorHAnsi" w:hAnsiTheme="majorHAnsi"/>
          <w:color w:val="auto"/>
        </w:rPr>
        <w:t xml:space="preserve">As noted </w:t>
      </w:r>
      <w:r w:rsidR="00B10A0C" w:rsidRPr="001256AC">
        <w:rPr>
          <w:rFonts w:asciiTheme="majorHAnsi" w:hAnsiTheme="majorHAnsi"/>
          <w:color w:val="auto"/>
        </w:rPr>
        <w:lastRenderedPageBreak/>
        <w:t>above (Results) blinding of participants to treatment allocation</w:t>
      </w:r>
      <w:r w:rsidR="001F0A90" w:rsidRPr="001256AC">
        <w:rPr>
          <w:rFonts w:asciiTheme="majorHAnsi" w:hAnsiTheme="majorHAnsi"/>
          <w:color w:val="auto"/>
        </w:rPr>
        <w:t xml:space="preserve"> was unmasked in some cases due to </w:t>
      </w:r>
      <w:r w:rsidR="00B10A0C" w:rsidRPr="001256AC">
        <w:rPr>
          <w:rFonts w:asciiTheme="majorHAnsi" w:hAnsiTheme="majorHAnsi"/>
          <w:color w:val="auto"/>
        </w:rPr>
        <w:t xml:space="preserve">skin rashes. While this </w:t>
      </w:r>
      <w:r w:rsidR="001F0A90" w:rsidRPr="001256AC">
        <w:rPr>
          <w:rFonts w:asciiTheme="majorHAnsi" w:hAnsiTheme="majorHAnsi"/>
          <w:color w:val="auto"/>
        </w:rPr>
        <w:t>might have an effect on patient base</w:t>
      </w:r>
      <w:r w:rsidR="00B10A0C" w:rsidRPr="001256AC">
        <w:rPr>
          <w:rFonts w:asciiTheme="majorHAnsi" w:hAnsiTheme="majorHAnsi"/>
          <w:color w:val="auto"/>
        </w:rPr>
        <w:t>d clinical assessment, t</w:t>
      </w:r>
      <w:r w:rsidR="001F0A90" w:rsidRPr="001256AC">
        <w:rPr>
          <w:rFonts w:asciiTheme="majorHAnsi" w:hAnsiTheme="majorHAnsi"/>
          <w:color w:val="auto"/>
        </w:rPr>
        <w:t>he primary outcome, which was assessed</w:t>
      </w:r>
      <w:r w:rsidR="00B10A0C" w:rsidRPr="001256AC">
        <w:rPr>
          <w:rFonts w:asciiTheme="majorHAnsi" w:hAnsiTheme="majorHAnsi"/>
          <w:color w:val="auto"/>
        </w:rPr>
        <w:t xml:space="preserve"> fully blinded, should</w:t>
      </w:r>
      <w:r w:rsidR="001F0A90" w:rsidRPr="001256AC">
        <w:rPr>
          <w:rFonts w:asciiTheme="majorHAnsi" w:hAnsiTheme="majorHAnsi"/>
          <w:color w:val="auto"/>
        </w:rPr>
        <w:t xml:space="preserve"> not be affected.</w:t>
      </w:r>
    </w:p>
    <w:p w14:paraId="0A9BEECF" w14:textId="58A51269" w:rsidR="00522AD4" w:rsidRPr="000D7F9C" w:rsidRDefault="00D84C3D" w:rsidP="00522AD4">
      <w:pPr>
        <w:pStyle w:val="Body"/>
        <w:jc w:val="both"/>
        <w:rPr>
          <w:rFonts w:ascii="Calibri" w:hAnsi="Calibri"/>
        </w:rPr>
      </w:pPr>
      <w:r w:rsidRPr="001256AC">
        <w:rPr>
          <w:rFonts w:asciiTheme="majorHAnsi" w:hAnsiTheme="majorHAnsi"/>
        </w:rPr>
        <w:t>As a result</w:t>
      </w:r>
      <w:r w:rsidR="00B10A0C" w:rsidRPr="001256AC">
        <w:rPr>
          <w:rFonts w:asciiTheme="majorHAnsi" w:hAnsiTheme="majorHAnsi"/>
        </w:rPr>
        <w:t xml:space="preserve"> of patient withdrawal from</w:t>
      </w:r>
      <w:r w:rsidR="00B10A0C">
        <w:rPr>
          <w:rFonts w:ascii="Calibri" w:hAnsi="Calibri"/>
        </w:rPr>
        <w:t xml:space="preserve"> treatment</w:t>
      </w:r>
      <w:r>
        <w:rPr>
          <w:rFonts w:ascii="Calibri" w:hAnsi="Calibri"/>
        </w:rPr>
        <w:t xml:space="preserve">, </w:t>
      </w:r>
      <w:r w:rsidR="00F055AF">
        <w:rPr>
          <w:rFonts w:ascii="Calibri" w:hAnsi="Calibri"/>
        </w:rPr>
        <w:t>10</w:t>
      </w:r>
      <w:r w:rsidR="00522AD4" w:rsidRPr="000D7F9C">
        <w:rPr>
          <w:rFonts w:ascii="Calibri" w:hAnsi="Calibri"/>
        </w:rPr>
        <w:t xml:space="preserve"> of the 39 active </w:t>
      </w:r>
      <w:r w:rsidR="00522AD4">
        <w:rPr>
          <w:rFonts w:ascii="Calibri" w:hAnsi="Calibri"/>
        </w:rPr>
        <w:t>participant</w:t>
      </w:r>
      <w:r w:rsidR="00522AD4" w:rsidRPr="000D7F9C">
        <w:rPr>
          <w:rFonts w:ascii="Calibri" w:hAnsi="Calibri"/>
        </w:rPr>
        <w:t xml:space="preserve">s available at follow-up were </w:t>
      </w:r>
      <w:r w:rsidR="00F055AF">
        <w:rPr>
          <w:rFonts w:ascii="Calibri" w:hAnsi="Calibri"/>
        </w:rPr>
        <w:t xml:space="preserve">classified as </w:t>
      </w:r>
      <w:r w:rsidR="00522AD4" w:rsidRPr="000D7F9C">
        <w:rPr>
          <w:rFonts w:ascii="Calibri" w:hAnsi="Calibri"/>
        </w:rPr>
        <w:t xml:space="preserve">non-adherent. While this may affect the power of the ITT analysis, the robustness of the results is supported by the agreement between the ITT and PP analyses, and the consistency of treatment effects in the macula, RNFL and optic nerve; and though there were more missing values in the optic nerve analysis, </w:t>
      </w:r>
      <w:r w:rsidR="00522AD4">
        <w:rPr>
          <w:rFonts w:ascii="Calibri" w:hAnsi="Calibri"/>
        </w:rPr>
        <w:t>these were due to MRI acquisition</w:t>
      </w:r>
      <w:r w:rsidR="00522AD4" w:rsidRPr="000D7F9C">
        <w:rPr>
          <w:rFonts w:ascii="Calibri" w:hAnsi="Calibri"/>
        </w:rPr>
        <w:t xml:space="preserve"> problems, which are very plausibly missing at random and unlikely to cause bias.</w:t>
      </w:r>
    </w:p>
    <w:p w14:paraId="4D61022E" w14:textId="609C1A08" w:rsidR="007A0D21" w:rsidRDefault="007A0D21" w:rsidP="0050008E">
      <w:pPr>
        <w:pStyle w:val="Body"/>
        <w:jc w:val="both"/>
        <w:rPr>
          <w:rFonts w:ascii="Calibri" w:eastAsia="Calibri" w:hAnsi="Calibri" w:cs="Calibri"/>
          <w:lang w:val="en-US"/>
        </w:rPr>
      </w:pPr>
      <w:r w:rsidRPr="003422F8">
        <w:rPr>
          <w:rFonts w:ascii="Calibri" w:eastAsia="Calibri" w:hAnsi="Calibri" w:cs="Calibri"/>
          <w:lang w:val="en-US"/>
        </w:rPr>
        <w:t>Our results support</w:t>
      </w:r>
      <w:r>
        <w:rPr>
          <w:rFonts w:ascii="Calibri" w:eastAsia="Calibri" w:hAnsi="Calibri" w:cs="Calibri"/>
          <w:lang w:val="en-US"/>
        </w:rPr>
        <w:t xml:space="preserve"> </w:t>
      </w:r>
      <w:r w:rsidRPr="003422F8">
        <w:rPr>
          <w:rFonts w:ascii="Calibri" w:eastAsia="Calibri" w:hAnsi="Calibri" w:cs="Calibri"/>
          <w:lang w:val="en-US"/>
        </w:rPr>
        <w:t xml:space="preserve">the utility of OCT for measuring outcome in future trials of </w:t>
      </w:r>
      <w:proofErr w:type="spellStart"/>
      <w:r w:rsidRPr="003422F8">
        <w:rPr>
          <w:rFonts w:ascii="Calibri" w:eastAsia="Calibri" w:hAnsi="Calibri" w:cs="Calibri"/>
          <w:lang w:val="en-US"/>
        </w:rPr>
        <w:t>neuroprotection</w:t>
      </w:r>
      <w:proofErr w:type="spellEnd"/>
      <w:r w:rsidRPr="003422F8">
        <w:rPr>
          <w:rFonts w:ascii="Calibri" w:eastAsia="Calibri" w:hAnsi="Calibri" w:cs="Calibri"/>
          <w:lang w:val="en-US"/>
        </w:rPr>
        <w:t xml:space="preserve"> in AON</w:t>
      </w:r>
      <w:r>
        <w:rPr>
          <w:rFonts w:ascii="Calibri" w:eastAsia="Calibri" w:hAnsi="Calibri" w:cs="Calibri"/>
          <w:lang w:val="en-US"/>
        </w:rPr>
        <w:t>, and</w:t>
      </w:r>
      <w:r w:rsidRPr="004F2A01">
        <w:rPr>
          <w:rFonts w:ascii="Calibri" w:eastAsia="Calibri" w:hAnsi="Calibri" w:cs="Calibri"/>
          <w:lang w:val="en-US"/>
        </w:rPr>
        <w:t xml:space="preserve"> </w:t>
      </w:r>
      <w:r>
        <w:rPr>
          <w:rFonts w:ascii="Calibri" w:eastAsia="Calibri" w:hAnsi="Calibri" w:cs="Calibri"/>
          <w:lang w:val="en-US"/>
        </w:rPr>
        <w:t>consolidate the experience of OCT in previous small trials of other agents</w:t>
      </w:r>
      <w:r w:rsidR="00AA62E8">
        <w:rPr>
          <w:rFonts w:ascii="Calibri" w:eastAsia="Calibri" w:hAnsi="Calibri" w:cs="Calibri"/>
          <w:vertAlign w:val="superscript"/>
          <w:lang w:val="en-US"/>
        </w:rPr>
        <w:t>2</w:t>
      </w:r>
      <w:r w:rsidR="000867E2">
        <w:rPr>
          <w:rFonts w:ascii="Calibri" w:eastAsia="Calibri" w:hAnsi="Calibri" w:cs="Calibri"/>
          <w:vertAlign w:val="superscript"/>
          <w:lang w:val="en-US"/>
        </w:rPr>
        <w:t>7</w:t>
      </w:r>
      <w:r>
        <w:rPr>
          <w:rFonts w:ascii="Calibri" w:eastAsia="Calibri" w:hAnsi="Calibri" w:cs="Calibri"/>
          <w:vertAlign w:val="superscript"/>
          <w:lang w:val="en-US"/>
        </w:rPr>
        <w:t>-</w:t>
      </w:r>
      <w:r w:rsidR="00AA62E8">
        <w:rPr>
          <w:rFonts w:ascii="Calibri" w:eastAsia="Calibri" w:hAnsi="Calibri" w:cs="Calibri"/>
          <w:vertAlign w:val="superscript"/>
          <w:lang w:val="en-US"/>
        </w:rPr>
        <w:t>2</w:t>
      </w:r>
      <w:r w:rsidR="000867E2">
        <w:rPr>
          <w:rFonts w:ascii="Calibri" w:eastAsia="Calibri" w:hAnsi="Calibri" w:cs="Calibri"/>
          <w:vertAlign w:val="superscript"/>
          <w:lang w:val="en-US"/>
        </w:rPr>
        <w:t>9</w:t>
      </w:r>
      <w:r w:rsidRPr="003422F8">
        <w:rPr>
          <w:rFonts w:ascii="Calibri" w:eastAsia="Calibri" w:hAnsi="Calibri" w:cs="Calibri"/>
          <w:lang w:val="en-US"/>
        </w:rPr>
        <w:t>. In comparison</w:t>
      </w:r>
      <w:r>
        <w:rPr>
          <w:rFonts w:ascii="Calibri" w:eastAsia="Calibri" w:hAnsi="Calibri" w:cs="Calibri"/>
          <w:lang w:val="en-US"/>
        </w:rPr>
        <w:t xml:space="preserve"> to OCT</w:t>
      </w:r>
      <w:r w:rsidRPr="003422F8">
        <w:rPr>
          <w:rFonts w:ascii="Calibri" w:eastAsia="Calibri" w:hAnsi="Calibri" w:cs="Calibri"/>
          <w:lang w:val="en-US"/>
        </w:rPr>
        <w:t xml:space="preserve">, MRI of the optic nerve is limited by </w:t>
      </w:r>
      <w:r>
        <w:rPr>
          <w:rFonts w:ascii="Calibri" w:eastAsia="Calibri" w:hAnsi="Calibri" w:cs="Calibri"/>
          <w:lang w:val="en-US"/>
        </w:rPr>
        <w:t xml:space="preserve">the </w:t>
      </w:r>
      <w:r w:rsidRPr="003422F8">
        <w:rPr>
          <w:rFonts w:ascii="Calibri" w:eastAsia="Calibri" w:hAnsi="Calibri" w:cs="Calibri"/>
          <w:lang w:val="en-US"/>
        </w:rPr>
        <w:t xml:space="preserve">effects of myelin and other supporting tissue, and </w:t>
      </w:r>
      <w:r>
        <w:rPr>
          <w:rFonts w:ascii="Calibri" w:eastAsia="Calibri" w:hAnsi="Calibri" w:cs="Calibri"/>
          <w:lang w:val="en-US"/>
        </w:rPr>
        <w:t xml:space="preserve">by </w:t>
      </w:r>
      <w:r w:rsidRPr="003422F8">
        <w:rPr>
          <w:rFonts w:ascii="Calibri" w:eastAsia="Calibri" w:hAnsi="Calibri" w:cs="Calibri"/>
          <w:lang w:val="en-US"/>
        </w:rPr>
        <w:t xml:space="preserve">lower resolution. OCT </w:t>
      </w:r>
      <w:r>
        <w:rPr>
          <w:rFonts w:ascii="Calibri" w:eastAsia="Calibri" w:hAnsi="Calibri" w:cs="Calibri"/>
          <w:lang w:val="en-US"/>
        </w:rPr>
        <w:t xml:space="preserve">is </w:t>
      </w:r>
      <w:r w:rsidRPr="003422F8">
        <w:rPr>
          <w:rFonts w:ascii="Calibri" w:eastAsia="Calibri" w:hAnsi="Calibri" w:cs="Calibri"/>
          <w:lang w:val="en-US"/>
        </w:rPr>
        <w:t>als</w:t>
      </w:r>
      <w:r>
        <w:rPr>
          <w:rFonts w:ascii="Calibri" w:eastAsia="Calibri" w:hAnsi="Calibri" w:cs="Calibri"/>
          <w:lang w:val="en-US"/>
        </w:rPr>
        <w:t xml:space="preserve">o easier to </w:t>
      </w:r>
      <w:r w:rsidRPr="003422F8">
        <w:rPr>
          <w:rFonts w:ascii="Calibri" w:eastAsia="Calibri" w:hAnsi="Calibri" w:cs="Calibri"/>
          <w:lang w:val="en-US"/>
        </w:rPr>
        <w:t>use and cost</w:t>
      </w:r>
      <w:r>
        <w:rPr>
          <w:rFonts w:ascii="Calibri" w:eastAsia="Calibri" w:hAnsi="Calibri" w:cs="Calibri"/>
          <w:lang w:val="en-US"/>
        </w:rPr>
        <w:t xml:space="preserve">s less. </w:t>
      </w:r>
      <w:r w:rsidRPr="003422F8">
        <w:rPr>
          <w:rFonts w:ascii="Calibri" w:eastAsia="Calibri" w:hAnsi="Calibri" w:cs="Calibri"/>
          <w:lang w:val="en-US"/>
        </w:rPr>
        <w:t xml:space="preserve"> </w:t>
      </w:r>
      <w:r>
        <w:rPr>
          <w:rFonts w:ascii="Calibri" w:eastAsia="Calibri" w:hAnsi="Calibri" w:cs="Calibri"/>
          <w:lang w:val="en-US"/>
        </w:rPr>
        <w:t xml:space="preserve">In the previous trials, </w:t>
      </w:r>
      <w:proofErr w:type="spellStart"/>
      <w:r>
        <w:rPr>
          <w:rFonts w:ascii="Calibri" w:eastAsia="Calibri" w:hAnsi="Calibri" w:cs="Calibri"/>
          <w:lang w:val="en-US"/>
        </w:rPr>
        <w:t>m</w:t>
      </w:r>
      <w:r w:rsidRPr="003422F8">
        <w:rPr>
          <w:rFonts w:ascii="Calibri" w:eastAsia="Calibri" w:hAnsi="Calibri" w:cs="Calibri"/>
          <w:lang w:val="en-US"/>
        </w:rPr>
        <w:t>emantine</w:t>
      </w:r>
      <w:proofErr w:type="spellEnd"/>
      <w:r w:rsidRPr="003422F8">
        <w:rPr>
          <w:rFonts w:ascii="Calibri" w:eastAsia="Calibri" w:hAnsi="Calibri" w:cs="Calibri"/>
          <w:lang w:val="en-US"/>
        </w:rPr>
        <w:t xml:space="preserve"> reduced the loss of the RNFL</w:t>
      </w:r>
      <w:r w:rsidR="00AA62E8">
        <w:rPr>
          <w:rFonts w:ascii="Calibri" w:eastAsia="Calibri" w:hAnsi="Calibri" w:cs="Calibri"/>
          <w:vertAlign w:val="superscript"/>
          <w:lang w:val="en-US"/>
        </w:rPr>
        <w:t>2</w:t>
      </w:r>
      <w:r w:rsidR="000867E2">
        <w:rPr>
          <w:rFonts w:ascii="Calibri" w:eastAsia="Calibri" w:hAnsi="Calibri" w:cs="Calibri"/>
          <w:vertAlign w:val="superscript"/>
          <w:lang w:val="en-US"/>
        </w:rPr>
        <w:t>7</w:t>
      </w:r>
      <w:r w:rsidRPr="003422F8">
        <w:rPr>
          <w:rFonts w:ascii="Calibri" w:eastAsia="Calibri" w:hAnsi="Calibri" w:cs="Calibri"/>
          <w:lang w:val="en-US"/>
        </w:rPr>
        <w:t>, while erythropoietin was effective in one trial</w:t>
      </w:r>
      <w:r w:rsidR="00AA62E8">
        <w:rPr>
          <w:rFonts w:ascii="Calibri" w:eastAsia="Calibri" w:hAnsi="Calibri" w:cs="Calibri"/>
          <w:vertAlign w:val="superscript"/>
          <w:lang w:val="en-US"/>
        </w:rPr>
        <w:t>2</w:t>
      </w:r>
      <w:r w:rsidR="000867E2">
        <w:rPr>
          <w:rFonts w:ascii="Calibri" w:eastAsia="Calibri" w:hAnsi="Calibri" w:cs="Calibri"/>
          <w:vertAlign w:val="superscript"/>
          <w:lang w:val="en-US"/>
        </w:rPr>
        <w:t>8</w:t>
      </w:r>
      <w:r w:rsidRPr="003422F8">
        <w:rPr>
          <w:rFonts w:ascii="Calibri" w:eastAsia="Calibri" w:hAnsi="Calibri" w:cs="Calibri"/>
          <w:lang w:val="en-US"/>
        </w:rPr>
        <w:t xml:space="preserve"> but not in another</w:t>
      </w:r>
      <w:r w:rsidR="00AA62E8">
        <w:rPr>
          <w:rFonts w:ascii="Calibri" w:eastAsia="Calibri" w:hAnsi="Calibri" w:cs="Calibri"/>
          <w:vertAlign w:val="superscript"/>
          <w:lang w:val="en-US"/>
        </w:rPr>
        <w:t>2</w:t>
      </w:r>
      <w:r w:rsidR="000867E2">
        <w:rPr>
          <w:rFonts w:ascii="Calibri" w:eastAsia="Calibri" w:hAnsi="Calibri" w:cs="Calibri"/>
          <w:vertAlign w:val="superscript"/>
          <w:lang w:val="en-US"/>
        </w:rPr>
        <w:t>9</w:t>
      </w:r>
      <w:r w:rsidRPr="003422F8">
        <w:rPr>
          <w:rFonts w:ascii="Calibri" w:eastAsia="Calibri" w:hAnsi="Calibri" w:cs="Calibri"/>
          <w:lang w:val="en-US"/>
        </w:rPr>
        <w:t xml:space="preserve">. </w:t>
      </w:r>
      <w:r w:rsidRPr="004F2A01">
        <w:rPr>
          <w:rFonts w:ascii="Calibri" w:eastAsia="Calibri" w:hAnsi="Calibri" w:cs="Calibri"/>
          <w:lang w:val="en-US"/>
        </w:rPr>
        <w:t xml:space="preserve"> </w:t>
      </w:r>
      <w:r>
        <w:rPr>
          <w:rFonts w:ascii="Calibri" w:eastAsia="Calibri" w:hAnsi="Calibri" w:cs="Calibri"/>
          <w:lang w:val="en-US"/>
        </w:rPr>
        <w:t xml:space="preserve">Our study addressed limitations of these </w:t>
      </w:r>
      <w:r w:rsidRPr="003422F8">
        <w:rPr>
          <w:rFonts w:ascii="Calibri" w:eastAsia="Calibri" w:hAnsi="Calibri" w:cs="Calibri"/>
          <w:lang w:val="en-US"/>
        </w:rPr>
        <w:t>studies</w:t>
      </w:r>
      <w:r>
        <w:rPr>
          <w:rFonts w:ascii="Calibri" w:eastAsia="Calibri" w:hAnsi="Calibri" w:cs="Calibri"/>
          <w:lang w:val="en-US"/>
        </w:rPr>
        <w:t xml:space="preserve"> by correcting</w:t>
      </w:r>
      <w:r w:rsidRPr="003422F8">
        <w:rPr>
          <w:rFonts w:ascii="Calibri" w:eastAsia="Calibri" w:hAnsi="Calibri" w:cs="Calibri"/>
          <w:lang w:val="en-US"/>
        </w:rPr>
        <w:t xml:space="preserve"> measurements in the affected eye for baseline measurements in the unaffected eye, and</w:t>
      </w:r>
      <w:r w:rsidRPr="003422F8">
        <w:rPr>
          <w:rFonts w:ascii="Calibri" w:eastAsia="Calibri" w:hAnsi="Calibri" w:cs="Calibri"/>
        </w:rPr>
        <w:t xml:space="preserve"> </w:t>
      </w:r>
      <w:r>
        <w:rPr>
          <w:rFonts w:ascii="Calibri" w:eastAsia="Calibri" w:hAnsi="Calibri" w:cs="Calibri"/>
        </w:rPr>
        <w:t xml:space="preserve">reporting </w:t>
      </w:r>
      <w:r w:rsidRPr="003422F8">
        <w:rPr>
          <w:rFonts w:ascii="Calibri" w:eastAsia="Calibri" w:hAnsi="Calibri" w:cs="Calibri"/>
          <w:lang w:val="en-US"/>
        </w:rPr>
        <w:t>MV data</w:t>
      </w:r>
      <w:r>
        <w:rPr>
          <w:rFonts w:ascii="Calibri" w:eastAsia="Calibri" w:hAnsi="Calibri" w:cs="Calibri"/>
          <w:lang w:val="en-US"/>
        </w:rPr>
        <w:t xml:space="preserve"> as well as more detailed MRI data</w:t>
      </w:r>
      <w:r w:rsidRPr="003422F8">
        <w:rPr>
          <w:rFonts w:ascii="Calibri" w:eastAsia="Calibri" w:hAnsi="Calibri" w:cs="Calibri"/>
          <w:lang w:val="en-US"/>
        </w:rPr>
        <w:t>.</w:t>
      </w:r>
    </w:p>
    <w:p w14:paraId="3E06C0CF" w14:textId="7AD99DA4" w:rsidR="007A0D21" w:rsidRPr="00AA62E8" w:rsidRDefault="007A0D21" w:rsidP="0050008E">
      <w:pPr>
        <w:pStyle w:val="Body"/>
        <w:jc w:val="both"/>
        <w:rPr>
          <w:rFonts w:ascii="Calibri" w:eastAsia="Calibri" w:hAnsi="Calibri" w:cs="Calibri"/>
          <w:vertAlign w:val="superscript"/>
          <w:lang w:val="en-US"/>
        </w:rPr>
      </w:pPr>
      <w:r w:rsidRPr="003422F8">
        <w:rPr>
          <w:rFonts w:ascii="Calibri" w:eastAsia="Calibri" w:hAnsi="Calibri" w:cs="Calibri"/>
          <w:lang w:val="en-US"/>
        </w:rPr>
        <w:t>At the average concentration achieved in this trial, phenytoin is an almost pure activity-dependent inhibitor of voltage-gated sodium channels</w:t>
      </w:r>
      <w:r w:rsidR="00291F2F">
        <w:rPr>
          <w:rFonts w:ascii="Calibri" w:eastAsia="Calibri" w:hAnsi="Calibri" w:cs="Calibri"/>
          <w:vertAlign w:val="superscript"/>
          <w:lang w:val="en-US"/>
        </w:rPr>
        <w:t>30</w:t>
      </w:r>
      <w:r w:rsidRPr="003422F8">
        <w:rPr>
          <w:rFonts w:ascii="Calibri" w:eastAsia="Calibri" w:hAnsi="Calibri" w:cs="Calibri"/>
          <w:lang w:val="en-US"/>
        </w:rPr>
        <w:t xml:space="preserve">. By analogy, other sodium channel inhibitors </w:t>
      </w:r>
      <w:r w:rsidR="009E5243">
        <w:rPr>
          <w:rFonts w:ascii="Calibri" w:eastAsia="Calibri" w:hAnsi="Calibri" w:cs="Calibri"/>
          <w:lang w:val="en-US"/>
        </w:rPr>
        <w:t>c</w:t>
      </w:r>
      <w:r w:rsidRPr="003422F8">
        <w:rPr>
          <w:rFonts w:ascii="Calibri" w:eastAsia="Calibri" w:hAnsi="Calibri" w:cs="Calibri"/>
          <w:lang w:val="en-US"/>
        </w:rPr>
        <w:t xml:space="preserve">ould also be </w:t>
      </w:r>
      <w:proofErr w:type="spellStart"/>
      <w:r w:rsidRPr="003422F8">
        <w:rPr>
          <w:rFonts w:ascii="Calibri" w:eastAsia="Calibri" w:hAnsi="Calibri" w:cs="Calibri"/>
          <w:lang w:val="en-US"/>
        </w:rPr>
        <w:t>neuroprotective</w:t>
      </w:r>
      <w:proofErr w:type="spellEnd"/>
      <w:r w:rsidRPr="003422F8">
        <w:rPr>
          <w:rFonts w:ascii="Calibri" w:eastAsia="Calibri" w:hAnsi="Calibri" w:cs="Calibri"/>
          <w:lang w:val="en-US"/>
        </w:rPr>
        <w:t xml:space="preserve"> in </w:t>
      </w:r>
      <w:r>
        <w:rPr>
          <w:rFonts w:ascii="Calibri" w:eastAsia="Calibri" w:hAnsi="Calibri" w:cs="Calibri"/>
          <w:lang w:val="en-US"/>
        </w:rPr>
        <w:t>AON</w:t>
      </w:r>
      <w:r w:rsidRPr="003422F8">
        <w:rPr>
          <w:rFonts w:ascii="Calibri" w:eastAsia="Calibri" w:hAnsi="Calibri" w:cs="Calibri"/>
          <w:lang w:val="en-US"/>
        </w:rPr>
        <w:t xml:space="preserve"> and, given its similarities to other relapses of MS, in those relapses as well. In turn, the present trial design should enable proof of concept of </w:t>
      </w:r>
      <w:proofErr w:type="spellStart"/>
      <w:r w:rsidRPr="003422F8">
        <w:rPr>
          <w:rFonts w:ascii="Calibri" w:eastAsia="Calibri" w:hAnsi="Calibri" w:cs="Calibri"/>
          <w:lang w:val="en-US"/>
        </w:rPr>
        <w:t>neuroprotection</w:t>
      </w:r>
      <w:proofErr w:type="spellEnd"/>
      <w:r w:rsidRPr="003422F8">
        <w:rPr>
          <w:rFonts w:ascii="Calibri" w:eastAsia="Calibri" w:hAnsi="Calibri" w:cs="Calibri"/>
          <w:lang w:val="en-US"/>
        </w:rPr>
        <w:t xml:space="preserve"> after relapse for treatments with other modes of action. </w:t>
      </w:r>
      <w:r>
        <w:rPr>
          <w:rFonts w:ascii="Calibri" w:eastAsia="Calibri" w:hAnsi="Calibri" w:cs="Calibri"/>
          <w:lang w:val="en-US"/>
        </w:rPr>
        <w:t>Implications for treating progressive MS are harder to define because of possible differences in pathophysiology: microglial activation is likely to remain important in progressive disease, whereas sodium channel expression may change</w:t>
      </w:r>
      <w:r w:rsidR="00291F2F">
        <w:rPr>
          <w:rFonts w:ascii="Calibri" w:eastAsia="Calibri" w:hAnsi="Calibri" w:cs="Calibri"/>
          <w:vertAlign w:val="superscript"/>
          <w:lang w:val="en-US"/>
        </w:rPr>
        <w:t>31</w:t>
      </w:r>
      <w:r>
        <w:rPr>
          <w:rFonts w:ascii="Calibri" w:eastAsia="Calibri" w:hAnsi="Calibri" w:cs="Calibri"/>
          <w:lang w:val="en-US"/>
        </w:rPr>
        <w:t xml:space="preserve">. Previously, we reported a trial of </w:t>
      </w:r>
      <w:proofErr w:type="spellStart"/>
      <w:r>
        <w:rPr>
          <w:rFonts w:ascii="Calibri" w:eastAsia="Calibri" w:hAnsi="Calibri" w:cs="Calibri"/>
          <w:lang w:val="en-US"/>
        </w:rPr>
        <w:t>neuroprotection</w:t>
      </w:r>
      <w:proofErr w:type="spellEnd"/>
      <w:r>
        <w:rPr>
          <w:rFonts w:ascii="Calibri" w:eastAsia="Calibri" w:hAnsi="Calibri" w:cs="Calibri"/>
          <w:lang w:val="en-US"/>
        </w:rPr>
        <w:t xml:space="preserve"> using </w:t>
      </w:r>
      <w:proofErr w:type="spellStart"/>
      <w:r>
        <w:rPr>
          <w:rFonts w:ascii="Calibri" w:eastAsia="Calibri" w:hAnsi="Calibri" w:cs="Calibri"/>
          <w:lang w:val="en-US"/>
        </w:rPr>
        <w:t>lamotrigine</w:t>
      </w:r>
      <w:proofErr w:type="spellEnd"/>
      <w:r>
        <w:rPr>
          <w:rFonts w:ascii="Calibri" w:eastAsia="Calibri" w:hAnsi="Calibri" w:cs="Calibri"/>
          <w:lang w:val="en-US"/>
        </w:rPr>
        <w:t xml:space="preserve"> to inhibit sodium channels in secondary progressive MS</w:t>
      </w:r>
      <w:r w:rsidR="00581E47">
        <w:rPr>
          <w:rFonts w:ascii="Calibri" w:eastAsia="Calibri" w:hAnsi="Calibri" w:cs="Calibri"/>
          <w:vertAlign w:val="superscript"/>
        </w:rPr>
        <w:t>1</w:t>
      </w:r>
      <w:r w:rsidR="00277FAB">
        <w:rPr>
          <w:rFonts w:ascii="Calibri" w:eastAsia="Calibri" w:hAnsi="Calibri" w:cs="Calibri"/>
          <w:vertAlign w:val="superscript"/>
        </w:rPr>
        <w:t>6</w:t>
      </w:r>
      <w:r>
        <w:rPr>
          <w:rFonts w:ascii="Calibri" w:eastAsia="Calibri" w:hAnsi="Calibri" w:cs="Calibri"/>
          <w:lang w:val="en-US"/>
        </w:rPr>
        <w:t>.  Treatment did not</w:t>
      </w:r>
      <w:r w:rsidRPr="003422F8">
        <w:rPr>
          <w:rFonts w:ascii="Calibri" w:eastAsia="Calibri" w:hAnsi="Calibri" w:cs="Calibri"/>
          <w:lang w:val="en-US"/>
        </w:rPr>
        <w:t xml:space="preserve"> </w:t>
      </w:r>
      <w:r>
        <w:rPr>
          <w:rFonts w:ascii="Calibri" w:eastAsia="Calibri" w:hAnsi="Calibri" w:cs="Calibri"/>
          <w:lang w:val="en-US"/>
        </w:rPr>
        <w:t>a</w:t>
      </w:r>
      <w:r w:rsidRPr="003422F8">
        <w:rPr>
          <w:rFonts w:ascii="Calibri" w:eastAsia="Calibri" w:hAnsi="Calibri" w:cs="Calibri"/>
          <w:lang w:val="en-US"/>
        </w:rPr>
        <w:t xml:space="preserve">ffect the rate of cerebral atrophy, </w:t>
      </w:r>
      <w:r>
        <w:rPr>
          <w:rFonts w:ascii="Calibri" w:eastAsia="Calibri" w:hAnsi="Calibri" w:cs="Calibri"/>
          <w:lang w:val="en-US"/>
        </w:rPr>
        <w:t>although</w:t>
      </w:r>
      <w:r w:rsidRPr="003422F8">
        <w:rPr>
          <w:rFonts w:ascii="Calibri" w:eastAsia="Calibri" w:hAnsi="Calibri" w:cs="Calibri"/>
          <w:lang w:val="en-US"/>
        </w:rPr>
        <w:t xml:space="preserve"> interpretation was hampered by a high rate of non-adherence, and there w</w:t>
      </w:r>
      <w:r>
        <w:rPr>
          <w:rFonts w:ascii="Calibri" w:eastAsia="Calibri" w:hAnsi="Calibri" w:cs="Calibri"/>
          <w:lang w:val="en-US"/>
        </w:rPr>
        <w:t>ere</w:t>
      </w:r>
      <w:r w:rsidRPr="003422F8">
        <w:rPr>
          <w:rFonts w:ascii="Calibri" w:eastAsia="Calibri" w:hAnsi="Calibri" w:cs="Calibri"/>
          <w:lang w:val="en-US"/>
        </w:rPr>
        <w:t xml:space="preserve"> positive </w:t>
      </w:r>
      <w:r>
        <w:rPr>
          <w:rFonts w:ascii="Calibri" w:eastAsia="Calibri" w:hAnsi="Calibri" w:cs="Calibri"/>
          <w:lang w:val="en-US"/>
        </w:rPr>
        <w:t xml:space="preserve">treatment </w:t>
      </w:r>
      <w:r w:rsidRPr="003422F8">
        <w:rPr>
          <w:rFonts w:ascii="Calibri" w:eastAsia="Calibri" w:hAnsi="Calibri" w:cs="Calibri"/>
          <w:lang w:val="en-US"/>
        </w:rPr>
        <w:t>signals</w:t>
      </w:r>
      <w:r>
        <w:rPr>
          <w:rFonts w:ascii="Calibri" w:eastAsia="Calibri" w:hAnsi="Calibri" w:cs="Calibri"/>
          <w:lang w:val="en-US"/>
        </w:rPr>
        <w:t>,</w:t>
      </w:r>
      <w:r w:rsidRPr="003422F8">
        <w:rPr>
          <w:rFonts w:ascii="Calibri" w:eastAsia="Calibri" w:hAnsi="Calibri" w:cs="Calibri"/>
          <w:lang w:val="en-US"/>
        </w:rPr>
        <w:t xml:space="preserve"> including significant </w:t>
      </w:r>
      <w:r>
        <w:rPr>
          <w:rFonts w:ascii="Calibri" w:eastAsia="Calibri" w:hAnsi="Calibri" w:cs="Calibri"/>
          <w:lang w:val="en-US"/>
        </w:rPr>
        <w:t>slowing of</w:t>
      </w:r>
      <w:r w:rsidRPr="003422F8">
        <w:rPr>
          <w:rFonts w:ascii="Calibri" w:eastAsia="Calibri" w:hAnsi="Calibri" w:cs="Calibri"/>
          <w:lang w:val="en-US"/>
        </w:rPr>
        <w:t xml:space="preserve"> the rate of deterioration of the timed walk</w:t>
      </w:r>
      <w:r>
        <w:rPr>
          <w:rFonts w:ascii="Calibri" w:eastAsia="Calibri" w:hAnsi="Calibri" w:cs="Calibri"/>
          <w:lang w:val="en-US"/>
        </w:rPr>
        <w:t xml:space="preserve"> and</w:t>
      </w:r>
      <w:r w:rsidRPr="003422F8">
        <w:rPr>
          <w:rFonts w:ascii="Calibri" w:eastAsia="Calibri" w:hAnsi="Calibri" w:cs="Calibri"/>
          <w:lang w:val="en-US"/>
        </w:rPr>
        <w:t xml:space="preserve"> </w:t>
      </w:r>
      <w:r>
        <w:rPr>
          <w:rFonts w:ascii="Calibri" w:eastAsia="Calibri" w:hAnsi="Calibri" w:cs="Calibri"/>
          <w:lang w:val="en-US"/>
        </w:rPr>
        <w:t>lower</w:t>
      </w:r>
      <w:r w:rsidRPr="003422F8">
        <w:rPr>
          <w:rFonts w:ascii="Calibri" w:eastAsia="Calibri" w:hAnsi="Calibri" w:cs="Calibri"/>
          <w:lang w:val="en-US"/>
        </w:rPr>
        <w:t xml:space="preserve"> serum </w:t>
      </w:r>
      <w:proofErr w:type="spellStart"/>
      <w:r w:rsidRPr="003422F8">
        <w:rPr>
          <w:rFonts w:ascii="Calibri" w:eastAsia="Calibri" w:hAnsi="Calibri" w:cs="Calibri"/>
          <w:lang w:val="en-US"/>
        </w:rPr>
        <w:t>neurofilament</w:t>
      </w:r>
      <w:proofErr w:type="spellEnd"/>
      <w:r w:rsidRPr="003422F8">
        <w:rPr>
          <w:rFonts w:ascii="Calibri" w:eastAsia="Calibri" w:hAnsi="Calibri" w:cs="Calibri"/>
          <w:lang w:val="en-US"/>
        </w:rPr>
        <w:t xml:space="preserve"> concentrations in the adherent group of </w:t>
      </w:r>
      <w:r w:rsidR="00C14376">
        <w:rPr>
          <w:rFonts w:ascii="Calibri" w:eastAsia="Calibri" w:hAnsi="Calibri" w:cs="Calibri"/>
          <w:lang w:val="en-US"/>
        </w:rPr>
        <w:t>participant</w:t>
      </w:r>
      <w:r w:rsidRPr="003422F8">
        <w:rPr>
          <w:rFonts w:ascii="Calibri" w:eastAsia="Calibri" w:hAnsi="Calibri" w:cs="Calibri"/>
          <w:lang w:val="en-US"/>
        </w:rPr>
        <w:t>s</w:t>
      </w:r>
      <w:r>
        <w:rPr>
          <w:rFonts w:ascii="Calibri" w:eastAsia="Calibri" w:hAnsi="Calibri" w:cs="Calibri"/>
          <w:vertAlign w:val="superscript"/>
          <w:lang w:val="en-US"/>
        </w:rPr>
        <w:t>3</w:t>
      </w:r>
      <w:r w:rsidR="00291F2F">
        <w:rPr>
          <w:rFonts w:ascii="Calibri" w:eastAsia="Calibri" w:hAnsi="Calibri" w:cs="Calibri"/>
          <w:vertAlign w:val="superscript"/>
          <w:lang w:val="en-US"/>
        </w:rPr>
        <w:t>2</w:t>
      </w:r>
      <w:r w:rsidRPr="003422F8">
        <w:rPr>
          <w:rFonts w:ascii="Calibri" w:eastAsia="Calibri" w:hAnsi="Calibri" w:cs="Calibri"/>
          <w:lang w:val="en-US"/>
        </w:rPr>
        <w:t>.</w:t>
      </w:r>
    </w:p>
    <w:p w14:paraId="69E62E2B" w14:textId="42A65F60" w:rsidR="007A0D21" w:rsidRPr="003422F8" w:rsidRDefault="007A0D21" w:rsidP="0050008E">
      <w:pPr>
        <w:pStyle w:val="Body"/>
        <w:jc w:val="both"/>
        <w:rPr>
          <w:rFonts w:ascii="Calibri" w:eastAsia="Calibri" w:hAnsi="Calibri" w:cs="Calibri"/>
        </w:rPr>
      </w:pPr>
      <w:r w:rsidRPr="003422F8">
        <w:rPr>
          <w:rFonts w:ascii="Calibri" w:eastAsia="Calibri" w:hAnsi="Calibri" w:cs="Calibri"/>
          <w:lang w:val="en-US"/>
        </w:rPr>
        <w:t xml:space="preserve">In conclusion, the results of this clinical trial support the concept of </w:t>
      </w:r>
      <w:proofErr w:type="spellStart"/>
      <w:r w:rsidRPr="003422F8">
        <w:rPr>
          <w:rFonts w:ascii="Calibri" w:eastAsia="Calibri" w:hAnsi="Calibri" w:cs="Calibri"/>
          <w:lang w:val="en-US"/>
        </w:rPr>
        <w:t>neuroprotection</w:t>
      </w:r>
      <w:proofErr w:type="spellEnd"/>
      <w:r w:rsidRPr="003422F8">
        <w:rPr>
          <w:rFonts w:ascii="Calibri" w:eastAsia="Calibri" w:hAnsi="Calibri" w:cs="Calibri"/>
          <w:lang w:val="en-US"/>
        </w:rPr>
        <w:t xml:space="preserve"> using phenytoin to inhibit voltage-gated sodium channels in </w:t>
      </w:r>
      <w:r>
        <w:rPr>
          <w:rFonts w:ascii="Calibri" w:eastAsia="Calibri" w:hAnsi="Calibri" w:cs="Calibri"/>
          <w:lang w:val="en-US"/>
        </w:rPr>
        <w:t>AON</w:t>
      </w:r>
      <w:r w:rsidRPr="003422F8">
        <w:rPr>
          <w:rFonts w:ascii="Calibri" w:eastAsia="Calibri" w:hAnsi="Calibri" w:cs="Calibri"/>
          <w:lang w:val="en-US"/>
        </w:rPr>
        <w:t xml:space="preserve">. These results should encourage larger, phase 3 trials of sodium channel inhibitors in optic neuritis and other relapses of MS. Future studies should also establish more precisely the optimal therapeutic window for </w:t>
      </w:r>
      <w:proofErr w:type="spellStart"/>
      <w:r w:rsidRPr="003422F8">
        <w:rPr>
          <w:rFonts w:ascii="Calibri" w:eastAsia="Calibri" w:hAnsi="Calibri" w:cs="Calibri"/>
          <w:lang w:val="en-US"/>
        </w:rPr>
        <w:t>neuroprotection</w:t>
      </w:r>
      <w:proofErr w:type="spellEnd"/>
      <w:r w:rsidRPr="003422F8">
        <w:rPr>
          <w:rFonts w:ascii="Calibri" w:eastAsia="Calibri" w:hAnsi="Calibri" w:cs="Calibri"/>
          <w:lang w:val="en-US"/>
        </w:rPr>
        <w:t xml:space="preserve"> in relapses</w:t>
      </w:r>
      <w:r w:rsidRPr="003422F8">
        <w:rPr>
          <w:rFonts w:ascii="Calibri" w:eastAsia="Calibri" w:hAnsi="Calibri" w:cs="Calibri"/>
        </w:rPr>
        <w:t xml:space="preserve">. </w:t>
      </w:r>
    </w:p>
    <w:p w14:paraId="3E861398" w14:textId="77777777" w:rsidR="007A0D21" w:rsidRPr="0088149C" w:rsidRDefault="007A0D21" w:rsidP="0050008E">
      <w:pPr>
        <w:pStyle w:val="Body"/>
        <w:rPr>
          <w:rFonts w:ascii="Calibri" w:hAnsi="Calibri"/>
        </w:rPr>
      </w:pPr>
    </w:p>
    <w:p w14:paraId="78EFDC08" w14:textId="77777777" w:rsidR="00FF78C2" w:rsidRDefault="00FF78C2" w:rsidP="0050008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iCs/>
          <w:color w:val="000000"/>
          <w:u w:color="000000"/>
          <w:lang w:eastAsia="en-GB"/>
        </w:rPr>
      </w:pPr>
      <w:r>
        <w:rPr>
          <w:rFonts w:ascii="Calibri" w:eastAsia="Calibri" w:hAnsi="Calibri" w:cs="Calibri"/>
          <w:iCs/>
        </w:rPr>
        <w:br w:type="page"/>
      </w:r>
    </w:p>
    <w:p w14:paraId="1B71FE3F" w14:textId="5438B6F7" w:rsidR="00B053A8" w:rsidRPr="00AB622C" w:rsidRDefault="0039201C" w:rsidP="0050008E">
      <w:pPr>
        <w:pStyle w:val="Body"/>
        <w:jc w:val="both"/>
        <w:rPr>
          <w:rFonts w:ascii="Calibri" w:eastAsia="Calibri" w:hAnsi="Calibri" w:cs="Calibri"/>
          <w:iCs/>
          <w:lang w:val="en-US"/>
        </w:rPr>
      </w:pPr>
      <w:r w:rsidRPr="00904A1C">
        <w:rPr>
          <w:rFonts w:ascii="Calibri" w:eastAsia="Calibri" w:hAnsi="Calibri" w:cs="Calibri"/>
          <w:iCs/>
          <w:u w:val="single"/>
          <w:lang w:val="en-US"/>
        </w:rPr>
        <w:lastRenderedPageBreak/>
        <w:t>Contributors</w:t>
      </w:r>
    </w:p>
    <w:p w14:paraId="7F337EF7" w14:textId="75A0373C" w:rsidR="00B053A8" w:rsidRPr="00AB622C" w:rsidRDefault="00B053A8" w:rsidP="0050008E">
      <w:pPr>
        <w:pStyle w:val="Body"/>
        <w:jc w:val="both"/>
        <w:rPr>
          <w:rFonts w:ascii="Calibri" w:eastAsia="Calibri" w:hAnsi="Calibri" w:cs="Calibri"/>
          <w:iCs/>
          <w:lang w:val="en-US"/>
        </w:rPr>
      </w:pPr>
      <w:r w:rsidRPr="00AB622C">
        <w:rPr>
          <w:rFonts w:ascii="Calibri" w:eastAsia="Calibri" w:hAnsi="Calibri" w:cs="Calibri"/>
          <w:iCs/>
          <w:lang w:val="en-US"/>
        </w:rPr>
        <w:t>RK was the principal investiga</w:t>
      </w:r>
      <w:r w:rsidR="009C59E7" w:rsidRPr="00AB622C">
        <w:rPr>
          <w:rFonts w:ascii="Calibri" w:eastAsia="Calibri" w:hAnsi="Calibri" w:cs="Calibri"/>
          <w:iCs/>
          <w:lang w:val="en-US"/>
        </w:rPr>
        <w:t>tor</w:t>
      </w:r>
      <w:r w:rsidR="00BA244D">
        <w:rPr>
          <w:rFonts w:ascii="Calibri" w:eastAsia="Calibri" w:hAnsi="Calibri" w:cs="Calibri"/>
          <w:iCs/>
          <w:lang w:val="en-US"/>
        </w:rPr>
        <w:t xml:space="preserve"> and RS the project manager</w:t>
      </w:r>
      <w:r w:rsidR="009C59E7" w:rsidRPr="00AB622C">
        <w:rPr>
          <w:rFonts w:ascii="Calibri" w:eastAsia="Calibri" w:hAnsi="Calibri" w:cs="Calibri"/>
          <w:iCs/>
          <w:lang w:val="en-US"/>
        </w:rPr>
        <w:t xml:space="preserve">. DRA, </w:t>
      </w:r>
      <w:r w:rsidR="00C722EA">
        <w:rPr>
          <w:rFonts w:ascii="Calibri" w:eastAsia="Calibri" w:hAnsi="Calibri" w:cs="Calibri"/>
          <w:iCs/>
          <w:lang w:val="en-US"/>
        </w:rPr>
        <w:t>KS</w:t>
      </w:r>
      <w:r w:rsidRPr="00AB622C">
        <w:rPr>
          <w:rFonts w:ascii="Calibri" w:eastAsia="Calibri" w:hAnsi="Calibri" w:cs="Calibri"/>
          <w:iCs/>
          <w:lang w:val="en-US"/>
        </w:rPr>
        <w:t xml:space="preserve">, </w:t>
      </w:r>
      <w:r w:rsidR="0030425D">
        <w:rPr>
          <w:rFonts w:ascii="Calibri" w:eastAsia="Calibri" w:hAnsi="Calibri" w:cs="Calibri"/>
          <w:iCs/>
          <w:lang w:val="en-US"/>
        </w:rPr>
        <w:t xml:space="preserve">GG, </w:t>
      </w:r>
      <w:r w:rsidRPr="00AB622C">
        <w:rPr>
          <w:rFonts w:ascii="Calibri" w:eastAsia="Calibri" w:hAnsi="Calibri" w:cs="Calibri"/>
          <w:iCs/>
          <w:lang w:val="en-US"/>
        </w:rPr>
        <w:t xml:space="preserve">DHM, and </w:t>
      </w:r>
      <w:r w:rsidR="00C722EA">
        <w:rPr>
          <w:rFonts w:ascii="Calibri" w:eastAsia="Calibri" w:hAnsi="Calibri" w:cs="Calibri"/>
          <w:iCs/>
          <w:lang w:val="en-US"/>
        </w:rPr>
        <w:t>RK</w:t>
      </w:r>
      <w:r w:rsidR="009C59E7" w:rsidRPr="00AB622C">
        <w:rPr>
          <w:rFonts w:ascii="Calibri" w:eastAsia="Calibri" w:hAnsi="Calibri" w:cs="Calibri"/>
          <w:iCs/>
          <w:lang w:val="en-US"/>
        </w:rPr>
        <w:t xml:space="preserve"> contributed to the concept and design of the study</w:t>
      </w:r>
      <w:r w:rsidRPr="00AB622C">
        <w:rPr>
          <w:rFonts w:ascii="Calibri" w:eastAsia="Calibri" w:hAnsi="Calibri" w:cs="Calibri"/>
          <w:iCs/>
          <w:lang w:val="en-US"/>
        </w:rPr>
        <w:t>. DRA did t</w:t>
      </w:r>
      <w:r w:rsidR="007C3183" w:rsidRPr="00AB622C">
        <w:rPr>
          <w:rFonts w:ascii="Calibri" w:eastAsia="Calibri" w:hAnsi="Calibri" w:cs="Calibri"/>
          <w:iCs/>
          <w:lang w:val="en-US"/>
        </w:rPr>
        <w:t>he statistical plan and</w:t>
      </w:r>
      <w:r w:rsidRPr="00AB622C">
        <w:rPr>
          <w:rFonts w:ascii="Calibri" w:eastAsia="Calibri" w:hAnsi="Calibri" w:cs="Calibri"/>
          <w:iCs/>
          <w:lang w:val="en-US"/>
        </w:rPr>
        <w:t xml:space="preserve"> </w:t>
      </w:r>
      <w:r w:rsidR="00D9150D">
        <w:rPr>
          <w:rFonts w:ascii="Calibri" w:eastAsia="Calibri" w:hAnsi="Calibri" w:cs="Calibri"/>
          <w:iCs/>
          <w:lang w:val="en-US"/>
        </w:rPr>
        <w:t xml:space="preserve">statistical </w:t>
      </w:r>
      <w:r w:rsidRPr="00AB622C">
        <w:rPr>
          <w:rFonts w:ascii="Calibri" w:eastAsia="Calibri" w:hAnsi="Calibri" w:cs="Calibri"/>
          <w:iCs/>
          <w:lang w:val="en-US"/>
        </w:rPr>
        <w:t xml:space="preserve">analysis. </w:t>
      </w:r>
      <w:r w:rsidR="00C722EA">
        <w:rPr>
          <w:rFonts w:ascii="Calibri" w:eastAsia="Calibri" w:hAnsi="Calibri" w:cs="Calibri"/>
          <w:iCs/>
          <w:lang w:val="en-US"/>
        </w:rPr>
        <w:t xml:space="preserve">RR, </w:t>
      </w:r>
      <w:r w:rsidRPr="00AB622C">
        <w:rPr>
          <w:rFonts w:ascii="Calibri" w:eastAsia="Calibri" w:hAnsi="Calibri" w:cs="Calibri"/>
          <w:iCs/>
          <w:lang w:val="en-US"/>
        </w:rPr>
        <w:t xml:space="preserve">SH, </w:t>
      </w:r>
      <w:r w:rsidR="00C722EA">
        <w:rPr>
          <w:rFonts w:ascii="Calibri" w:eastAsia="Calibri" w:hAnsi="Calibri" w:cs="Calibri"/>
          <w:iCs/>
          <w:lang w:val="en-US"/>
        </w:rPr>
        <w:t>AT, and</w:t>
      </w:r>
      <w:r w:rsidR="007C3183" w:rsidRPr="00AB622C">
        <w:rPr>
          <w:rFonts w:ascii="Calibri" w:eastAsia="Calibri" w:hAnsi="Calibri" w:cs="Calibri"/>
          <w:iCs/>
          <w:lang w:val="en-US"/>
        </w:rPr>
        <w:t xml:space="preserve"> </w:t>
      </w:r>
      <w:r w:rsidRPr="00AB622C">
        <w:rPr>
          <w:rFonts w:ascii="Calibri" w:eastAsia="Calibri" w:hAnsi="Calibri" w:cs="Calibri"/>
          <w:iCs/>
          <w:lang w:val="en-US"/>
        </w:rPr>
        <w:t xml:space="preserve">BS recruited the </w:t>
      </w:r>
      <w:r w:rsidR="009C59E7" w:rsidRPr="00AB622C">
        <w:rPr>
          <w:rFonts w:ascii="Calibri" w:eastAsia="Calibri" w:hAnsi="Calibri" w:cs="Calibri"/>
          <w:iCs/>
          <w:lang w:val="en-US"/>
        </w:rPr>
        <w:t>pa</w:t>
      </w:r>
      <w:r w:rsidR="0007226F">
        <w:rPr>
          <w:rFonts w:ascii="Calibri" w:eastAsia="Calibri" w:hAnsi="Calibri" w:cs="Calibri"/>
          <w:iCs/>
          <w:lang w:val="en-US"/>
        </w:rPr>
        <w:t>rticipants</w:t>
      </w:r>
      <w:r w:rsidR="009C59E7" w:rsidRPr="00AB622C">
        <w:rPr>
          <w:rFonts w:ascii="Calibri" w:eastAsia="Calibri" w:hAnsi="Calibri" w:cs="Calibri"/>
          <w:iCs/>
          <w:lang w:val="en-US"/>
        </w:rPr>
        <w:t xml:space="preserve"> and followed them up</w:t>
      </w:r>
      <w:r w:rsidRPr="00AB622C">
        <w:rPr>
          <w:rFonts w:ascii="Calibri" w:eastAsia="Calibri" w:hAnsi="Calibri" w:cs="Calibri"/>
          <w:iCs/>
          <w:lang w:val="en-US"/>
        </w:rPr>
        <w:t>.</w:t>
      </w:r>
      <w:r w:rsidR="009C59E7" w:rsidRPr="00AB622C">
        <w:rPr>
          <w:rFonts w:ascii="Calibri" w:eastAsia="Calibri" w:hAnsi="Calibri" w:cs="Calibri"/>
          <w:iCs/>
          <w:lang w:val="en-US"/>
        </w:rPr>
        <w:t xml:space="preserve"> </w:t>
      </w:r>
      <w:r w:rsidR="00AB622C">
        <w:rPr>
          <w:rFonts w:ascii="Calibri" w:eastAsia="Calibri" w:hAnsi="Calibri" w:cs="Calibri"/>
          <w:iCs/>
          <w:lang w:val="en-US"/>
        </w:rPr>
        <w:t xml:space="preserve">SM and DP did the </w:t>
      </w:r>
      <w:r w:rsidR="003B0DFF">
        <w:rPr>
          <w:rFonts w:ascii="Calibri" w:eastAsia="Calibri" w:hAnsi="Calibri" w:cs="Calibri"/>
          <w:iCs/>
          <w:lang w:val="en-US"/>
        </w:rPr>
        <w:t>six</w:t>
      </w:r>
      <w:r w:rsidR="00AB622C">
        <w:rPr>
          <w:rFonts w:ascii="Calibri" w:eastAsia="Calibri" w:hAnsi="Calibri" w:cs="Calibri"/>
          <w:iCs/>
          <w:lang w:val="en-US"/>
        </w:rPr>
        <w:t xml:space="preserve">-month masked vision and OCT measurements. </w:t>
      </w:r>
      <w:r w:rsidR="00C722EA">
        <w:rPr>
          <w:rFonts w:ascii="Calibri" w:eastAsia="Calibri" w:hAnsi="Calibri" w:cs="Calibri"/>
          <w:iCs/>
          <w:lang w:val="en-US"/>
        </w:rPr>
        <w:t xml:space="preserve">RR, SH, AT, </w:t>
      </w:r>
      <w:r w:rsidR="0030425D">
        <w:rPr>
          <w:rFonts w:ascii="Calibri" w:eastAsia="Calibri" w:hAnsi="Calibri" w:cs="Calibri"/>
          <w:iCs/>
          <w:lang w:val="en-US"/>
        </w:rPr>
        <w:t xml:space="preserve">MY, </w:t>
      </w:r>
      <w:r w:rsidR="00AB622C">
        <w:rPr>
          <w:rFonts w:ascii="Calibri" w:eastAsia="Calibri" w:hAnsi="Calibri" w:cs="Calibri"/>
          <w:iCs/>
          <w:lang w:val="en-US"/>
        </w:rPr>
        <w:t>NH</w:t>
      </w:r>
      <w:r w:rsidR="00C722EA">
        <w:rPr>
          <w:rFonts w:ascii="Calibri" w:eastAsia="Calibri" w:hAnsi="Calibri" w:cs="Calibri"/>
          <w:iCs/>
          <w:lang w:val="en-US"/>
        </w:rPr>
        <w:t xml:space="preserve">, </w:t>
      </w:r>
      <w:r w:rsidR="00AB622C">
        <w:rPr>
          <w:rFonts w:ascii="Calibri" w:eastAsia="Calibri" w:hAnsi="Calibri" w:cs="Calibri"/>
          <w:iCs/>
          <w:lang w:val="en-US"/>
        </w:rPr>
        <w:t>C</w:t>
      </w:r>
      <w:r w:rsidR="003E773C">
        <w:rPr>
          <w:rFonts w:ascii="Calibri" w:eastAsia="Calibri" w:hAnsi="Calibri" w:cs="Calibri"/>
          <w:iCs/>
          <w:lang w:val="en-US"/>
        </w:rPr>
        <w:t>G</w:t>
      </w:r>
      <w:r w:rsidR="00AB622C">
        <w:rPr>
          <w:rFonts w:ascii="Calibri" w:eastAsia="Calibri" w:hAnsi="Calibri" w:cs="Calibri"/>
          <w:iCs/>
          <w:lang w:val="en-US"/>
        </w:rPr>
        <w:t>W-K</w:t>
      </w:r>
      <w:r w:rsidR="00C722EA">
        <w:rPr>
          <w:rFonts w:ascii="Calibri" w:eastAsia="Calibri" w:hAnsi="Calibri" w:cs="Calibri"/>
          <w:iCs/>
          <w:lang w:val="en-US"/>
        </w:rPr>
        <w:t>,</w:t>
      </w:r>
      <w:r w:rsidR="007C3183" w:rsidRPr="00AB622C">
        <w:rPr>
          <w:rFonts w:ascii="Calibri" w:eastAsia="Calibri" w:hAnsi="Calibri" w:cs="Calibri"/>
          <w:iCs/>
          <w:lang w:val="en-US"/>
        </w:rPr>
        <w:t xml:space="preserve"> and </w:t>
      </w:r>
      <w:r w:rsidR="00C722EA">
        <w:rPr>
          <w:rFonts w:ascii="Calibri" w:eastAsia="Calibri" w:hAnsi="Calibri" w:cs="Calibri"/>
          <w:iCs/>
          <w:lang w:val="en-US"/>
        </w:rPr>
        <w:t>DHM</w:t>
      </w:r>
      <w:r w:rsidR="009C59E7" w:rsidRPr="00AB622C">
        <w:rPr>
          <w:rFonts w:ascii="Calibri" w:eastAsia="Calibri" w:hAnsi="Calibri" w:cs="Calibri"/>
          <w:iCs/>
          <w:lang w:val="en-US"/>
        </w:rPr>
        <w:t xml:space="preserve"> </w:t>
      </w:r>
      <w:r w:rsidR="00AB622C">
        <w:rPr>
          <w:rFonts w:ascii="Calibri" w:eastAsia="Calibri" w:hAnsi="Calibri" w:cs="Calibri"/>
          <w:iCs/>
          <w:lang w:val="en-US"/>
        </w:rPr>
        <w:t>were responsible for MRI</w:t>
      </w:r>
      <w:r w:rsidR="00D9150D">
        <w:rPr>
          <w:rFonts w:ascii="Calibri" w:eastAsia="Calibri" w:hAnsi="Calibri" w:cs="Calibri"/>
          <w:iCs/>
          <w:lang w:val="en-US"/>
        </w:rPr>
        <w:t xml:space="preserve"> acquisition and analysis</w:t>
      </w:r>
      <w:r w:rsidR="00BA244D">
        <w:rPr>
          <w:rFonts w:ascii="Calibri" w:eastAsia="Calibri" w:hAnsi="Calibri" w:cs="Calibri"/>
          <w:iCs/>
          <w:lang w:val="en-US"/>
        </w:rPr>
        <w:t xml:space="preserve">, and </w:t>
      </w:r>
      <w:r w:rsidR="00C722EA">
        <w:rPr>
          <w:rFonts w:ascii="Calibri" w:eastAsia="Calibri" w:hAnsi="Calibri" w:cs="Calibri"/>
          <w:iCs/>
          <w:lang w:val="en-US"/>
        </w:rPr>
        <w:t xml:space="preserve">RR, PM, PS, and </w:t>
      </w:r>
      <w:r w:rsidR="00BA244D">
        <w:rPr>
          <w:rFonts w:ascii="Calibri" w:eastAsia="Calibri" w:hAnsi="Calibri" w:cs="Calibri"/>
          <w:iCs/>
          <w:lang w:val="en-US"/>
        </w:rPr>
        <w:t>MK for VEP</w:t>
      </w:r>
      <w:r w:rsidR="00D9150D">
        <w:rPr>
          <w:rFonts w:ascii="Calibri" w:eastAsia="Calibri" w:hAnsi="Calibri" w:cs="Calibri"/>
          <w:iCs/>
          <w:lang w:val="en-US"/>
        </w:rPr>
        <w:t xml:space="preserve"> acquisition and analysis</w:t>
      </w:r>
      <w:r w:rsidR="00BA244D">
        <w:rPr>
          <w:rFonts w:ascii="Calibri" w:eastAsia="Calibri" w:hAnsi="Calibri" w:cs="Calibri"/>
          <w:iCs/>
          <w:lang w:val="en-US"/>
        </w:rPr>
        <w:t>.</w:t>
      </w:r>
      <w:r w:rsidR="007C3183" w:rsidRPr="00AB622C">
        <w:rPr>
          <w:rFonts w:ascii="Calibri" w:eastAsia="Calibri" w:hAnsi="Calibri" w:cs="Calibri"/>
          <w:iCs/>
          <w:lang w:val="en-US"/>
        </w:rPr>
        <w:t xml:space="preserve"> </w:t>
      </w:r>
      <w:r w:rsidR="00C722EA">
        <w:rPr>
          <w:rFonts w:ascii="Calibri" w:eastAsia="Calibri" w:hAnsi="Calibri" w:cs="Calibri"/>
          <w:iCs/>
          <w:lang w:val="en-US"/>
        </w:rPr>
        <w:t xml:space="preserve">RR, </w:t>
      </w:r>
      <w:r w:rsidR="009C59E7" w:rsidRPr="00AB622C">
        <w:rPr>
          <w:rFonts w:ascii="Calibri" w:eastAsia="Calibri" w:hAnsi="Calibri" w:cs="Calibri"/>
          <w:iCs/>
          <w:lang w:val="en-US"/>
        </w:rPr>
        <w:t xml:space="preserve">DRA, </w:t>
      </w:r>
      <w:r w:rsidR="00C722EA">
        <w:rPr>
          <w:rFonts w:ascii="Calibri" w:eastAsia="Calibri" w:hAnsi="Calibri" w:cs="Calibri"/>
          <w:iCs/>
          <w:lang w:val="en-US"/>
        </w:rPr>
        <w:t>and RK</w:t>
      </w:r>
      <w:r w:rsidR="009C59E7" w:rsidRPr="00AB622C">
        <w:rPr>
          <w:rFonts w:ascii="Calibri" w:eastAsia="Calibri" w:hAnsi="Calibri" w:cs="Calibri"/>
          <w:iCs/>
          <w:lang w:val="en-US"/>
        </w:rPr>
        <w:t xml:space="preserve"> wrote the first draft, and all the authors contributed to and approved the final version.</w:t>
      </w:r>
    </w:p>
    <w:p w14:paraId="790B7FFD" w14:textId="77777777" w:rsidR="006458CD" w:rsidRDefault="006458CD" w:rsidP="0050008E">
      <w:pPr>
        <w:pStyle w:val="Body"/>
        <w:jc w:val="both"/>
        <w:rPr>
          <w:rFonts w:ascii="Calibri" w:eastAsia="Calibri" w:hAnsi="Calibri" w:cs="Calibri"/>
          <w:b/>
          <w:iCs/>
          <w:lang w:val="en-US"/>
        </w:rPr>
      </w:pPr>
    </w:p>
    <w:p w14:paraId="3B50C59D" w14:textId="77777777" w:rsidR="0039201C" w:rsidRPr="00C41308" w:rsidRDefault="0039201C" w:rsidP="0050008E">
      <w:pPr>
        <w:pStyle w:val="Body"/>
        <w:jc w:val="both"/>
        <w:rPr>
          <w:rFonts w:ascii="Calibri" w:eastAsia="Calibri" w:hAnsi="Calibri" w:cs="Calibri"/>
          <w:iCs/>
          <w:u w:val="single"/>
          <w:lang w:val="en-US"/>
        </w:rPr>
      </w:pPr>
      <w:r w:rsidRPr="006825E1">
        <w:rPr>
          <w:rFonts w:ascii="Calibri" w:eastAsia="Calibri" w:hAnsi="Calibri" w:cs="Calibri"/>
          <w:iCs/>
          <w:u w:val="single"/>
          <w:lang w:val="en-US"/>
        </w:rPr>
        <w:t>Declaration of interests</w:t>
      </w:r>
    </w:p>
    <w:p w14:paraId="3A18B356" w14:textId="0754A7C2" w:rsidR="00F93294" w:rsidRPr="00C41308" w:rsidRDefault="006742C5" w:rsidP="00F93294">
      <w:pPr>
        <w:jc w:val="both"/>
        <w:rPr>
          <w:rFonts w:asciiTheme="majorHAnsi" w:hAnsiTheme="majorHAnsi" w:cs="Arial"/>
        </w:rPr>
      </w:pPr>
      <w:r w:rsidRPr="00C41308">
        <w:rPr>
          <w:rFonts w:asciiTheme="majorHAnsi" w:hAnsiTheme="majorHAnsi" w:cs="Myriad Pro"/>
        </w:rPr>
        <w:t>RR</w:t>
      </w:r>
      <w:r w:rsidR="00C35577">
        <w:rPr>
          <w:rFonts w:asciiTheme="majorHAnsi" w:hAnsiTheme="majorHAnsi" w:cs="Myriad Pro"/>
        </w:rPr>
        <w:t xml:space="preserve">, </w:t>
      </w:r>
      <w:r w:rsidR="00A5410B">
        <w:rPr>
          <w:rFonts w:asciiTheme="majorHAnsi" w:hAnsiTheme="majorHAnsi" w:cs="Myriad Pro"/>
        </w:rPr>
        <w:t>RS</w:t>
      </w:r>
      <w:r w:rsidR="00C35577">
        <w:rPr>
          <w:rFonts w:asciiTheme="majorHAnsi" w:hAnsiTheme="majorHAnsi" w:cs="Myriad Pro"/>
        </w:rPr>
        <w:t xml:space="preserve">, </w:t>
      </w:r>
      <w:r w:rsidR="004B4BF0">
        <w:rPr>
          <w:rFonts w:asciiTheme="majorHAnsi" w:hAnsiTheme="majorHAnsi" w:cs="Myriad Pro"/>
        </w:rPr>
        <w:t xml:space="preserve">DRA, </w:t>
      </w:r>
      <w:r w:rsidR="00C35577">
        <w:rPr>
          <w:rFonts w:asciiTheme="majorHAnsi" w:hAnsiTheme="majorHAnsi" w:cs="Myriad Pro"/>
        </w:rPr>
        <w:t>DHM and RK</w:t>
      </w:r>
      <w:r w:rsidRPr="00C41308">
        <w:rPr>
          <w:rFonts w:asciiTheme="majorHAnsi" w:hAnsiTheme="majorHAnsi" w:cs="Myriad Pro"/>
        </w:rPr>
        <w:t xml:space="preserve"> report grants from The MS National MS Society and grants from MS Society of Great Britain and </w:t>
      </w:r>
      <w:proofErr w:type="spellStart"/>
      <w:r w:rsidRPr="00C41308">
        <w:rPr>
          <w:rFonts w:asciiTheme="majorHAnsi" w:hAnsiTheme="majorHAnsi" w:cs="Myriad Pro"/>
        </w:rPr>
        <w:t>Northen</w:t>
      </w:r>
      <w:proofErr w:type="spellEnd"/>
      <w:r w:rsidRPr="00C41308">
        <w:rPr>
          <w:rFonts w:asciiTheme="majorHAnsi" w:hAnsiTheme="majorHAnsi" w:cs="Myriad Pro"/>
        </w:rPr>
        <w:t xml:space="preserve"> Ireland, during the conduct of the study; </w:t>
      </w:r>
      <w:r w:rsidR="006D3666" w:rsidRPr="00C41308">
        <w:rPr>
          <w:rFonts w:asciiTheme="majorHAnsi" w:hAnsiTheme="majorHAnsi" w:cs="Myriad Pro"/>
        </w:rPr>
        <w:t xml:space="preserve">RK </w:t>
      </w:r>
      <w:r w:rsidR="006D3666">
        <w:rPr>
          <w:rFonts w:asciiTheme="majorHAnsi" w:hAnsiTheme="majorHAnsi" w:cs="Myriad Pro"/>
        </w:rPr>
        <w:t>also reports grants from Novartis,</w:t>
      </w:r>
      <w:r w:rsidR="006D3666" w:rsidRPr="00C41308">
        <w:rPr>
          <w:rFonts w:asciiTheme="majorHAnsi" w:hAnsiTheme="majorHAnsi" w:cs="Myriad Pro"/>
        </w:rPr>
        <w:t xml:space="preserve"> during the conduct of the study;</w:t>
      </w:r>
      <w:r w:rsidR="006D3666" w:rsidRPr="006D3666">
        <w:rPr>
          <w:rFonts w:asciiTheme="majorHAnsi" w:hAnsiTheme="majorHAnsi" w:cs="Myriad Pro"/>
        </w:rPr>
        <w:t xml:space="preserve"> </w:t>
      </w:r>
      <w:r w:rsidR="002650A2">
        <w:rPr>
          <w:rFonts w:asciiTheme="majorHAnsi" w:hAnsiTheme="majorHAnsi" w:cs="Myriad Pro"/>
        </w:rPr>
        <w:t>i</w:t>
      </w:r>
      <w:r w:rsidR="006D3666" w:rsidRPr="00C41308">
        <w:rPr>
          <w:rFonts w:asciiTheme="majorHAnsi" w:hAnsiTheme="majorHAnsi" w:cs="Myriad Pro"/>
        </w:rPr>
        <w:t xml:space="preserve">n addition, RK has a patent pending. </w:t>
      </w:r>
      <w:r w:rsidR="006D3666">
        <w:rPr>
          <w:rFonts w:asciiTheme="majorHAnsi" w:hAnsiTheme="majorHAnsi" w:cs="Myriad Pro"/>
        </w:rPr>
        <w:t xml:space="preserve">Outside the submitted work: </w:t>
      </w:r>
      <w:r w:rsidR="00793E79">
        <w:rPr>
          <w:rFonts w:asciiTheme="majorHAnsi" w:hAnsiTheme="majorHAnsi" w:cs="Myriad Pro"/>
          <w:lang w:val="en-GB"/>
        </w:rPr>
        <w:t>AT reports personal fees from</w:t>
      </w:r>
      <w:r w:rsidR="00793E79" w:rsidRPr="0076097E">
        <w:rPr>
          <w:rFonts w:asciiTheme="majorHAnsi" w:hAnsiTheme="majorHAnsi" w:cs="Myriad Pro"/>
          <w:lang w:val="en-GB"/>
        </w:rPr>
        <w:t xml:space="preserve"> </w:t>
      </w:r>
      <w:proofErr w:type="spellStart"/>
      <w:r w:rsidR="00793E79" w:rsidRPr="0076097E">
        <w:rPr>
          <w:rFonts w:asciiTheme="majorHAnsi" w:hAnsiTheme="majorHAnsi" w:cs="Myriad Pro"/>
          <w:lang w:val="en-GB"/>
        </w:rPr>
        <w:t>from</w:t>
      </w:r>
      <w:proofErr w:type="spellEnd"/>
      <w:r w:rsidR="00793E79" w:rsidRPr="0076097E">
        <w:rPr>
          <w:rFonts w:asciiTheme="majorHAnsi" w:hAnsiTheme="majorHAnsi" w:cs="Myriad Pro"/>
          <w:lang w:val="en-GB"/>
        </w:rPr>
        <w:t xml:space="preserve"> </w:t>
      </w:r>
      <w:proofErr w:type="spellStart"/>
      <w:r w:rsidR="00793E79">
        <w:rPr>
          <w:rFonts w:asciiTheme="majorHAnsi" w:hAnsiTheme="majorHAnsi" w:cs="Myriad Pro"/>
          <w:lang w:val="en-GB"/>
        </w:rPr>
        <w:t>Biomedia</w:t>
      </w:r>
      <w:proofErr w:type="spellEnd"/>
      <w:r w:rsidR="00793E79">
        <w:rPr>
          <w:rFonts w:asciiTheme="majorHAnsi" w:hAnsiTheme="majorHAnsi" w:cs="Myriad Pro"/>
          <w:lang w:val="en-GB"/>
        </w:rPr>
        <w:t>, EXCEMED (formerly SSIF) and</w:t>
      </w:r>
      <w:r w:rsidR="00793E79" w:rsidRPr="0076097E">
        <w:rPr>
          <w:rFonts w:asciiTheme="majorHAnsi" w:hAnsiTheme="majorHAnsi" w:cs="Myriad Pro"/>
          <w:lang w:val="en-GB"/>
        </w:rPr>
        <w:t xml:space="preserve"> Bayer and meeting expenses from </w:t>
      </w:r>
      <w:proofErr w:type="spellStart"/>
      <w:r w:rsidR="00793E79" w:rsidRPr="0076097E">
        <w:rPr>
          <w:rFonts w:asciiTheme="majorHAnsi" w:hAnsiTheme="majorHAnsi" w:cs="Myriad Pro"/>
          <w:lang w:val="en-GB"/>
        </w:rPr>
        <w:t>Biogen</w:t>
      </w:r>
      <w:proofErr w:type="spellEnd"/>
      <w:r w:rsidR="00793E79" w:rsidRPr="0076097E">
        <w:rPr>
          <w:rFonts w:asciiTheme="majorHAnsi" w:hAnsiTheme="majorHAnsi" w:cs="Myriad Pro"/>
          <w:lang w:val="en-GB"/>
        </w:rPr>
        <w:t xml:space="preserve"> Idec</w:t>
      </w:r>
      <w:r w:rsidR="00793E79">
        <w:rPr>
          <w:rFonts w:asciiTheme="majorHAnsi" w:hAnsiTheme="majorHAnsi" w:cs="Myriad Pro"/>
          <w:lang w:val="en-GB"/>
        </w:rPr>
        <w:t xml:space="preserve">; </w:t>
      </w:r>
      <w:r w:rsidRPr="00C41308">
        <w:rPr>
          <w:rFonts w:asciiTheme="majorHAnsi" w:hAnsiTheme="majorHAnsi" w:cs="Myriad Pro"/>
        </w:rPr>
        <w:t xml:space="preserve">DP reports personal fees from </w:t>
      </w:r>
      <w:proofErr w:type="spellStart"/>
      <w:r w:rsidRPr="005152C2">
        <w:rPr>
          <w:rFonts w:asciiTheme="majorHAnsi" w:hAnsiTheme="majorHAnsi" w:cs="Myriad Pro"/>
        </w:rPr>
        <w:t>Teva</w:t>
      </w:r>
      <w:proofErr w:type="spellEnd"/>
      <w:r w:rsidRPr="005152C2">
        <w:rPr>
          <w:rFonts w:asciiTheme="majorHAnsi" w:hAnsiTheme="majorHAnsi" w:cs="Myriad Pro"/>
        </w:rPr>
        <w:t xml:space="preserve"> pharmaceuticals; DRA reports personal fees from Merck &amp; Co., Inc.; </w:t>
      </w:r>
      <w:r w:rsidRPr="00CF5B56">
        <w:rPr>
          <w:rFonts w:asciiTheme="majorHAnsi" w:hAnsiTheme="majorHAnsi" w:cs="Myriad Pro"/>
        </w:rPr>
        <w:t xml:space="preserve">MK reports grants and personal fees from Pfizer, personal fees from GSK, </w:t>
      </w:r>
      <w:r w:rsidRPr="0024020A">
        <w:rPr>
          <w:rFonts w:asciiTheme="majorHAnsi" w:hAnsiTheme="majorHAnsi" w:cs="Myriad Pro"/>
        </w:rPr>
        <w:t>Merck</w:t>
      </w:r>
      <w:r w:rsidR="000607A9">
        <w:rPr>
          <w:rFonts w:asciiTheme="majorHAnsi" w:hAnsiTheme="majorHAnsi" w:cs="Myriad Pro"/>
        </w:rPr>
        <w:t xml:space="preserve">, </w:t>
      </w:r>
      <w:proofErr w:type="spellStart"/>
      <w:r w:rsidR="000607A9">
        <w:rPr>
          <w:rFonts w:asciiTheme="majorHAnsi" w:hAnsiTheme="majorHAnsi" w:cs="Myriad Pro"/>
        </w:rPr>
        <w:t>Neuro</w:t>
      </w:r>
      <w:r w:rsidR="00A671AF">
        <w:rPr>
          <w:rFonts w:asciiTheme="majorHAnsi" w:hAnsiTheme="majorHAnsi" w:cs="Myriad Pro"/>
        </w:rPr>
        <w:t>merics</w:t>
      </w:r>
      <w:proofErr w:type="spellEnd"/>
      <w:r w:rsidR="00A671AF">
        <w:rPr>
          <w:rFonts w:asciiTheme="majorHAnsi" w:hAnsiTheme="majorHAnsi" w:cs="Myriad Pro"/>
        </w:rPr>
        <w:t xml:space="preserve"> and </w:t>
      </w:r>
      <w:proofErr w:type="spellStart"/>
      <w:r w:rsidR="00A671AF">
        <w:rPr>
          <w:rFonts w:asciiTheme="majorHAnsi" w:hAnsiTheme="majorHAnsi" w:cs="Myriad Pro"/>
        </w:rPr>
        <w:t>Calchan</w:t>
      </w:r>
      <w:proofErr w:type="spellEnd"/>
      <w:r w:rsidRPr="0024020A">
        <w:rPr>
          <w:rFonts w:asciiTheme="majorHAnsi" w:hAnsiTheme="majorHAnsi" w:cs="Myriad Pro"/>
        </w:rPr>
        <w:t xml:space="preserve">; </w:t>
      </w:r>
      <w:r w:rsidR="00CF5B56" w:rsidRPr="0024020A">
        <w:rPr>
          <w:rFonts w:asciiTheme="majorHAnsi" w:eastAsiaTheme="minorEastAsia" w:hAnsiTheme="majorHAnsi" w:cs="Myriad Pro"/>
          <w:color w:val="000000"/>
          <w:bdr w:val="none" w:sz="0" w:space="0" w:color="auto"/>
        </w:rPr>
        <w:t xml:space="preserve">CGW-K reports </w:t>
      </w:r>
      <w:r w:rsidR="006F1217">
        <w:rPr>
          <w:rFonts w:asciiTheme="majorHAnsi" w:eastAsiaTheme="minorEastAsia" w:hAnsiTheme="majorHAnsi" w:cs="Myriad Pro"/>
          <w:color w:val="000000"/>
          <w:bdr w:val="none" w:sz="0" w:space="0" w:color="auto"/>
        </w:rPr>
        <w:t xml:space="preserve">clinical </w:t>
      </w:r>
      <w:r w:rsidR="00763A58">
        <w:rPr>
          <w:rFonts w:asciiTheme="majorHAnsi" w:eastAsiaTheme="minorEastAsia" w:hAnsiTheme="majorHAnsi" w:cs="Myriad Pro"/>
          <w:color w:val="000000"/>
          <w:bdr w:val="none" w:sz="0" w:space="0" w:color="auto"/>
        </w:rPr>
        <w:t>trial</w:t>
      </w:r>
      <w:r w:rsidR="007B5CE0">
        <w:rPr>
          <w:rFonts w:asciiTheme="majorHAnsi" w:eastAsiaTheme="minorEastAsia" w:hAnsiTheme="majorHAnsi" w:cs="Myriad Pro"/>
          <w:color w:val="000000"/>
          <w:bdr w:val="none" w:sz="0" w:space="0" w:color="auto"/>
        </w:rPr>
        <w:t>s</w:t>
      </w:r>
      <w:r w:rsidR="00763A58">
        <w:rPr>
          <w:rFonts w:asciiTheme="majorHAnsi" w:eastAsiaTheme="minorEastAsia" w:hAnsiTheme="majorHAnsi" w:cs="Myriad Pro"/>
          <w:color w:val="000000"/>
          <w:bdr w:val="none" w:sz="0" w:space="0" w:color="auto"/>
        </w:rPr>
        <w:t xml:space="preserve"> work</w:t>
      </w:r>
      <w:r w:rsidR="00CF5B56" w:rsidRPr="0024020A">
        <w:rPr>
          <w:rFonts w:asciiTheme="majorHAnsi" w:eastAsiaTheme="minorEastAsia" w:hAnsiTheme="majorHAnsi" w:cs="Myriad Pro"/>
          <w:color w:val="000000"/>
          <w:bdr w:val="none" w:sz="0" w:space="0" w:color="auto"/>
        </w:rPr>
        <w:t xml:space="preserve"> from </w:t>
      </w:r>
      <w:proofErr w:type="spellStart"/>
      <w:r w:rsidR="00CF5B56" w:rsidRPr="0024020A">
        <w:rPr>
          <w:rFonts w:asciiTheme="majorHAnsi" w:eastAsiaTheme="minorEastAsia" w:hAnsiTheme="majorHAnsi" w:cs="Myriad Pro"/>
          <w:color w:val="000000"/>
          <w:bdr w:val="none" w:sz="0" w:space="0" w:color="auto"/>
        </w:rPr>
        <w:t>Biogen</w:t>
      </w:r>
      <w:proofErr w:type="spellEnd"/>
      <w:r w:rsidR="00CF5B56" w:rsidRPr="0024020A">
        <w:rPr>
          <w:rFonts w:asciiTheme="majorHAnsi" w:eastAsiaTheme="minorEastAsia" w:hAnsiTheme="majorHAnsi" w:cs="Myriad Pro"/>
          <w:color w:val="000000"/>
          <w:bdr w:val="none" w:sz="0" w:space="0" w:color="auto"/>
        </w:rPr>
        <w:t xml:space="preserve"> Idec</w:t>
      </w:r>
      <w:r w:rsidR="006F1217">
        <w:rPr>
          <w:rFonts w:asciiTheme="majorHAnsi" w:eastAsiaTheme="minorEastAsia" w:hAnsiTheme="majorHAnsi" w:cs="Myriad Pro"/>
          <w:color w:val="000000"/>
          <w:bdr w:val="none" w:sz="0" w:space="0" w:color="auto"/>
        </w:rPr>
        <w:t xml:space="preserve"> and</w:t>
      </w:r>
      <w:r w:rsidR="00CF5B56" w:rsidRPr="0024020A">
        <w:rPr>
          <w:rFonts w:asciiTheme="majorHAnsi" w:eastAsiaTheme="minorEastAsia" w:hAnsiTheme="majorHAnsi" w:cs="Myriad Pro"/>
          <w:color w:val="000000"/>
          <w:bdr w:val="none" w:sz="0" w:space="0" w:color="auto"/>
        </w:rPr>
        <w:t xml:space="preserve"> Novartis; </w:t>
      </w:r>
      <w:r w:rsidR="005152C2" w:rsidRPr="0024020A">
        <w:rPr>
          <w:rFonts w:asciiTheme="majorHAnsi" w:eastAsiaTheme="minorEastAsia" w:hAnsiTheme="majorHAnsi" w:cs="Myriad Pro"/>
          <w:color w:val="000000"/>
          <w:bdr w:val="none" w:sz="0" w:space="0" w:color="auto"/>
        </w:rPr>
        <w:t xml:space="preserve">KS reports </w:t>
      </w:r>
      <w:r w:rsidR="00763A58">
        <w:rPr>
          <w:rFonts w:asciiTheme="majorHAnsi" w:eastAsiaTheme="minorEastAsia" w:hAnsiTheme="majorHAnsi" w:cs="Myriad Pro"/>
          <w:color w:val="000000"/>
          <w:bdr w:val="none" w:sz="0" w:space="0" w:color="auto"/>
        </w:rPr>
        <w:t xml:space="preserve">clinical trials work from </w:t>
      </w:r>
      <w:r w:rsidR="005152C2" w:rsidRPr="0024020A">
        <w:rPr>
          <w:rFonts w:asciiTheme="majorHAnsi" w:eastAsiaTheme="minorEastAsia" w:hAnsiTheme="majorHAnsi" w:cs="Myriad Pro"/>
          <w:color w:val="000000"/>
          <w:bdr w:val="none" w:sz="0" w:space="0" w:color="auto"/>
        </w:rPr>
        <w:t>Roche</w:t>
      </w:r>
      <w:r w:rsidR="00763A58">
        <w:rPr>
          <w:rFonts w:asciiTheme="majorHAnsi" w:eastAsiaTheme="minorEastAsia" w:hAnsiTheme="majorHAnsi" w:cs="Myriad Pro"/>
          <w:color w:val="000000"/>
          <w:bdr w:val="none" w:sz="0" w:space="0" w:color="auto"/>
        </w:rPr>
        <w:t xml:space="preserve">, </w:t>
      </w:r>
      <w:proofErr w:type="spellStart"/>
      <w:r w:rsidR="00763A58">
        <w:rPr>
          <w:rFonts w:asciiTheme="majorHAnsi" w:eastAsiaTheme="minorEastAsia" w:hAnsiTheme="majorHAnsi" w:cs="Myriad Pro"/>
          <w:color w:val="000000"/>
          <w:bdr w:val="none" w:sz="0" w:space="0" w:color="auto"/>
        </w:rPr>
        <w:t>Teva</w:t>
      </w:r>
      <w:proofErr w:type="spellEnd"/>
      <w:r w:rsidR="00763A58">
        <w:rPr>
          <w:rFonts w:asciiTheme="majorHAnsi" w:eastAsiaTheme="minorEastAsia" w:hAnsiTheme="majorHAnsi" w:cs="Myriad Pro"/>
          <w:color w:val="000000"/>
          <w:bdr w:val="none" w:sz="0" w:space="0" w:color="auto"/>
        </w:rPr>
        <w:t xml:space="preserve"> and Novartis</w:t>
      </w:r>
      <w:r w:rsidR="002650A2">
        <w:rPr>
          <w:rFonts w:asciiTheme="majorHAnsi" w:eastAsiaTheme="minorEastAsia" w:hAnsiTheme="majorHAnsi" w:cs="Myriad Pro"/>
          <w:color w:val="000000"/>
          <w:bdr w:val="none" w:sz="0" w:space="0" w:color="auto"/>
        </w:rPr>
        <w:t>;</w:t>
      </w:r>
      <w:r w:rsidR="00763A58">
        <w:rPr>
          <w:rFonts w:asciiTheme="majorHAnsi" w:eastAsiaTheme="minorEastAsia" w:hAnsiTheme="majorHAnsi" w:cs="Myriad Pro"/>
          <w:color w:val="000000"/>
          <w:bdr w:val="none" w:sz="0" w:space="0" w:color="auto"/>
        </w:rPr>
        <w:t xml:space="preserve"> </w:t>
      </w:r>
      <w:r w:rsidR="005152C2" w:rsidRPr="0024020A">
        <w:rPr>
          <w:rFonts w:asciiTheme="majorHAnsi" w:eastAsiaTheme="minorEastAsia" w:hAnsiTheme="majorHAnsi" w:cs="Myriad Pro"/>
          <w:color w:val="000000"/>
          <w:bdr w:val="none" w:sz="0" w:space="0" w:color="auto"/>
        </w:rPr>
        <w:t xml:space="preserve">personal fees from </w:t>
      </w:r>
      <w:proofErr w:type="spellStart"/>
      <w:r w:rsidR="005152C2" w:rsidRPr="0024020A">
        <w:rPr>
          <w:rFonts w:asciiTheme="majorHAnsi" w:eastAsiaTheme="minorEastAsia" w:hAnsiTheme="majorHAnsi" w:cs="Myriad Pro"/>
          <w:color w:val="000000"/>
          <w:bdr w:val="none" w:sz="0" w:space="0" w:color="auto"/>
        </w:rPr>
        <w:t>Biogen</w:t>
      </w:r>
      <w:proofErr w:type="spellEnd"/>
      <w:r w:rsidR="005152C2" w:rsidRPr="0024020A">
        <w:rPr>
          <w:rFonts w:asciiTheme="majorHAnsi" w:eastAsiaTheme="minorEastAsia" w:hAnsiTheme="majorHAnsi" w:cs="Myriad Pro"/>
          <w:color w:val="000000"/>
          <w:bdr w:val="none" w:sz="0" w:space="0" w:color="auto"/>
        </w:rPr>
        <w:t xml:space="preserve"> </w:t>
      </w:r>
      <w:proofErr w:type="spellStart"/>
      <w:r w:rsidR="005152C2" w:rsidRPr="0024020A">
        <w:rPr>
          <w:rFonts w:asciiTheme="majorHAnsi" w:eastAsiaTheme="minorEastAsia" w:hAnsiTheme="majorHAnsi" w:cs="Myriad Pro"/>
          <w:color w:val="000000"/>
          <w:bdr w:val="none" w:sz="0" w:space="0" w:color="auto"/>
        </w:rPr>
        <w:t>Teva</w:t>
      </w:r>
      <w:proofErr w:type="spellEnd"/>
      <w:r w:rsidR="005152C2" w:rsidRPr="0024020A">
        <w:rPr>
          <w:rFonts w:asciiTheme="majorHAnsi" w:eastAsiaTheme="minorEastAsia" w:hAnsiTheme="majorHAnsi" w:cs="Myriad Pro"/>
          <w:color w:val="000000"/>
          <w:bdr w:val="none" w:sz="0" w:space="0" w:color="auto"/>
        </w:rPr>
        <w:t>,</w:t>
      </w:r>
      <w:r w:rsidR="00763A58">
        <w:rPr>
          <w:rFonts w:asciiTheme="majorHAnsi" w:eastAsiaTheme="minorEastAsia" w:hAnsiTheme="majorHAnsi" w:cs="Myriad Pro"/>
          <w:color w:val="000000"/>
          <w:bdr w:val="none" w:sz="0" w:space="0" w:color="auto"/>
        </w:rPr>
        <w:t xml:space="preserve"> and </w:t>
      </w:r>
      <w:r w:rsidR="005152C2" w:rsidRPr="0024020A">
        <w:rPr>
          <w:rFonts w:asciiTheme="majorHAnsi" w:eastAsiaTheme="minorEastAsia" w:hAnsiTheme="majorHAnsi" w:cs="Myriad Pro"/>
          <w:color w:val="000000"/>
          <w:bdr w:val="none" w:sz="0" w:space="0" w:color="auto"/>
        </w:rPr>
        <w:t xml:space="preserve">Novartis; </w:t>
      </w:r>
      <w:r w:rsidR="0024020A">
        <w:rPr>
          <w:rFonts w:asciiTheme="majorHAnsi" w:eastAsiaTheme="minorEastAsia" w:hAnsiTheme="majorHAnsi" w:cs="Myriad Pro"/>
          <w:color w:val="000000"/>
          <w:bdr w:val="none" w:sz="0" w:space="0" w:color="auto"/>
        </w:rPr>
        <w:t xml:space="preserve">GG </w:t>
      </w:r>
      <w:r w:rsidR="0024020A" w:rsidRPr="0024020A">
        <w:rPr>
          <w:rFonts w:asciiTheme="majorHAnsi" w:eastAsiaTheme="minorEastAsia" w:hAnsiTheme="majorHAnsi" w:cs="Myriad Pro"/>
          <w:color w:val="000000"/>
          <w:bdr w:val="none" w:sz="0" w:space="0" w:color="auto"/>
        </w:rPr>
        <w:t xml:space="preserve">reports </w:t>
      </w:r>
      <w:r w:rsidR="000A48C9">
        <w:rPr>
          <w:rFonts w:asciiTheme="majorHAnsi" w:eastAsiaTheme="minorEastAsia" w:hAnsiTheme="majorHAnsi" w:cs="Myriad Pro"/>
          <w:color w:val="000000"/>
          <w:bdr w:val="none" w:sz="0" w:space="0" w:color="auto"/>
        </w:rPr>
        <w:t>clinical trial steering committees</w:t>
      </w:r>
      <w:r w:rsidR="0024020A" w:rsidRPr="0024020A">
        <w:rPr>
          <w:rFonts w:asciiTheme="majorHAnsi" w:eastAsiaTheme="minorEastAsia" w:hAnsiTheme="majorHAnsi" w:cs="Myriad Pro"/>
          <w:color w:val="000000"/>
          <w:bdr w:val="none" w:sz="0" w:space="0" w:color="auto"/>
        </w:rPr>
        <w:t xml:space="preserve"> from </w:t>
      </w:r>
      <w:proofErr w:type="spellStart"/>
      <w:r w:rsidR="0024020A" w:rsidRPr="0024020A">
        <w:rPr>
          <w:rFonts w:asciiTheme="majorHAnsi" w:eastAsiaTheme="minorEastAsia" w:hAnsiTheme="majorHAnsi" w:cs="Myriad Pro"/>
          <w:color w:val="000000"/>
          <w:bdr w:val="none" w:sz="0" w:space="0" w:color="auto"/>
        </w:rPr>
        <w:t>AbbVie</w:t>
      </w:r>
      <w:proofErr w:type="spellEnd"/>
      <w:r w:rsidR="0024020A" w:rsidRPr="0024020A">
        <w:rPr>
          <w:rFonts w:asciiTheme="majorHAnsi" w:eastAsiaTheme="minorEastAsia" w:hAnsiTheme="majorHAnsi" w:cs="Myriad Pro"/>
          <w:color w:val="000000"/>
          <w:bdr w:val="none" w:sz="0" w:space="0" w:color="auto"/>
        </w:rPr>
        <w:t xml:space="preserve">, </w:t>
      </w:r>
      <w:proofErr w:type="spellStart"/>
      <w:r w:rsidR="000A48C9">
        <w:rPr>
          <w:rFonts w:asciiTheme="majorHAnsi" w:eastAsiaTheme="minorEastAsia" w:hAnsiTheme="majorHAnsi" w:cs="Myriad Pro"/>
          <w:color w:val="000000"/>
          <w:bdr w:val="none" w:sz="0" w:space="0" w:color="auto"/>
        </w:rPr>
        <w:t>Biogen</w:t>
      </w:r>
      <w:proofErr w:type="spellEnd"/>
      <w:r w:rsidR="000A48C9">
        <w:rPr>
          <w:rFonts w:asciiTheme="majorHAnsi" w:eastAsiaTheme="minorEastAsia" w:hAnsiTheme="majorHAnsi" w:cs="Myriad Pro"/>
          <w:color w:val="000000"/>
          <w:bdr w:val="none" w:sz="0" w:space="0" w:color="auto"/>
        </w:rPr>
        <w:t xml:space="preserve">, Novartis </w:t>
      </w:r>
      <w:proofErr w:type="spellStart"/>
      <w:r w:rsidR="000A48C9">
        <w:rPr>
          <w:rFonts w:asciiTheme="majorHAnsi" w:eastAsiaTheme="minorEastAsia" w:hAnsiTheme="majorHAnsi" w:cs="Myriad Pro"/>
          <w:color w:val="000000"/>
          <w:bdr w:val="none" w:sz="0" w:space="0" w:color="auto"/>
        </w:rPr>
        <w:t>Teva</w:t>
      </w:r>
      <w:proofErr w:type="spellEnd"/>
      <w:r w:rsidR="000A48C9">
        <w:rPr>
          <w:rFonts w:asciiTheme="majorHAnsi" w:eastAsiaTheme="minorEastAsia" w:hAnsiTheme="majorHAnsi" w:cs="Myriad Pro"/>
          <w:color w:val="000000"/>
          <w:bdr w:val="none" w:sz="0" w:space="0" w:color="auto"/>
        </w:rPr>
        <w:t>, and Roche</w:t>
      </w:r>
      <w:r w:rsidR="002650A2">
        <w:rPr>
          <w:rFonts w:asciiTheme="majorHAnsi" w:eastAsiaTheme="minorEastAsia" w:hAnsiTheme="majorHAnsi" w:cs="Myriad Pro"/>
          <w:color w:val="000000"/>
          <w:bdr w:val="none" w:sz="0" w:space="0" w:color="auto"/>
        </w:rPr>
        <w:t xml:space="preserve">; </w:t>
      </w:r>
      <w:r w:rsidR="0024020A" w:rsidRPr="0024020A">
        <w:rPr>
          <w:rFonts w:asciiTheme="majorHAnsi" w:eastAsiaTheme="minorEastAsia" w:hAnsiTheme="majorHAnsi" w:cs="Myriad Pro"/>
          <w:color w:val="000000"/>
          <w:bdr w:val="none" w:sz="0" w:space="0" w:color="auto"/>
        </w:rPr>
        <w:t xml:space="preserve">personal fees </w:t>
      </w:r>
      <w:r w:rsidR="000A48C9">
        <w:rPr>
          <w:rFonts w:asciiTheme="majorHAnsi" w:eastAsiaTheme="minorEastAsia" w:hAnsiTheme="majorHAnsi" w:cs="Myriad Pro"/>
          <w:color w:val="000000"/>
          <w:bdr w:val="none" w:sz="0" w:space="0" w:color="auto"/>
        </w:rPr>
        <w:t>from</w:t>
      </w:r>
      <w:r w:rsidR="0024020A" w:rsidRPr="0024020A">
        <w:rPr>
          <w:rFonts w:asciiTheme="majorHAnsi" w:eastAsiaTheme="minorEastAsia" w:hAnsiTheme="majorHAnsi" w:cs="Myriad Pro"/>
          <w:color w:val="000000"/>
          <w:bdr w:val="none" w:sz="0" w:space="0" w:color="auto"/>
        </w:rPr>
        <w:t xml:space="preserve"> </w:t>
      </w:r>
      <w:proofErr w:type="spellStart"/>
      <w:r w:rsidR="0024020A" w:rsidRPr="0024020A">
        <w:rPr>
          <w:rFonts w:asciiTheme="majorHAnsi" w:eastAsiaTheme="minorEastAsia" w:hAnsiTheme="majorHAnsi" w:cs="Myriad Pro"/>
          <w:color w:val="000000"/>
          <w:bdr w:val="none" w:sz="0" w:space="0" w:color="auto"/>
        </w:rPr>
        <w:t>Biogen</w:t>
      </w:r>
      <w:proofErr w:type="spellEnd"/>
      <w:r w:rsidR="0024020A" w:rsidRPr="0024020A">
        <w:rPr>
          <w:rFonts w:asciiTheme="majorHAnsi" w:eastAsiaTheme="minorEastAsia" w:hAnsiTheme="majorHAnsi" w:cs="Myriad Pro"/>
          <w:color w:val="000000"/>
          <w:bdr w:val="none" w:sz="0" w:space="0" w:color="auto"/>
        </w:rPr>
        <w:t>, GSK,</w:t>
      </w:r>
      <w:r w:rsidR="000A48C9">
        <w:rPr>
          <w:rFonts w:asciiTheme="majorHAnsi" w:eastAsiaTheme="minorEastAsia" w:hAnsiTheme="majorHAnsi" w:cs="Myriad Pro"/>
          <w:color w:val="000000"/>
          <w:bdr w:val="none" w:sz="0" w:space="0" w:color="auto"/>
        </w:rPr>
        <w:t xml:space="preserve"> </w:t>
      </w:r>
      <w:r w:rsidR="0024020A" w:rsidRPr="0024020A">
        <w:rPr>
          <w:rFonts w:asciiTheme="majorHAnsi" w:eastAsiaTheme="minorEastAsia" w:hAnsiTheme="majorHAnsi" w:cs="Myriad Pro"/>
          <w:color w:val="000000"/>
          <w:bdr w:val="none" w:sz="0" w:space="0" w:color="auto"/>
        </w:rPr>
        <w:t>Merck-</w:t>
      </w:r>
      <w:proofErr w:type="spellStart"/>
      <w:r w:rsidR="0024020A" w:rsidRPr="0024020A">
        <w:rPr>
          <w:rFonts w:asciiTheme="majorHAnsi" w:eastAsiaTheme="minorEastAsia" w:hAnsiTheme="majorHAnsi" w:cs="Myriad Pro"/>
          <w:color w:val="000000"/>
          <w:bdr w:val="none" w:sz="0" w:space="0" w:color="auto"/>
        </w:rPr>
        <w:t>Serono</w:t>
      </w:r>
      <w:proofErr w:type="spellEnd"/>
      <w:r w:rsidR="0024020A" w:rsidRPr="0024020A">
        <w:rPr>
          <w:rFonts w:asciiTheme="majorHAnsi" w:eastAsiaTheme="minorEastAsia" w:hAnsiTheme="majorHAnsi" w:cs="Myriad Pro"/>
          <w:color w:val="000000"/>
          <w:bdr w:val="none" w:sz="0" w:space="0" w:color="auto"/>
        </w:rPr>
        <w:t>, Novartis, Genzyme-</w:t>
      </w:r>
      <w:proofErr w:type="spellStart"/>
      <w:r w:rsidR="0024020A" w:rsidRPr="0024020A">
        <w:rPr>
          <w:rFonts w:asciiTheme="majorHAnsi" w:eastAsiaTheme="minorEastAsia" w:hAnsiTheme="majorHAnsi" w:cs="Myriad Pro"/>
          <w:color w:val="000000"/>
          <w:bdr w:val="none" w:sz="0" w:space="0" w:color="auto"/>
        </w:rPr>
        <w:t>Sanofi</w:t>
      </w:r>
      <w:proofErr w:type="spellEnd"/>
      <w:r w:rsidR="000A48C9">
        <w:rPr>
          <w:rFonts w:asciiTheme="majorHAnsi" w:eastAsiaTheme="minorEastAsia" w:hAnsiTheme="majorHAnsi" w:cs="Myriad Pro"/>
          <w:color w:val="000000"/>
          <w:bdr w:val="none" w:sz="0" w:space="0" w:color="auto"/>
        </w:rPr>
        <w:t>, and</w:t>
      </w:r>
      <w:r w:rsidR="0024020A" w:rsidRPr="0024020A">
        <w:rPr>
          <w:rFonts w:asciiTheme="majorHAnsi" w:eastAsiaTheme="minorEastAsia" w:hAnsiTheme="majorHAnsi" w:cs="Myriad Pro"/>
          <w:color w:val="000000"/>
          <w:bdr w:val="none" w:sz="0" w:space="0" w:color="auto"/>
        </w:rPr>
        <w:t xml:space="preserve"> </w:t>
      </w:r>
      <w:proofErr w:type="spellStart"/>
      <w:r w:rsidR="0024020A" w:rsidRPr="0024020A">
        <w:rPr>
          <w:rFonts w:asciiTheme="majorHAnsi" w:eastAsiaTheme="minorEastAsia" w:hAnsiTheme="majorHAnsi" w:cs="Myriad Pro"/>
          <w:color w:val="000000"/>
          <w:bdr w:val="none" w:sz="0" w:space="0" w:color="auto"/>
        </w:rPr>
        <w:t>Synthon</w:t>
      </w:r>
      <w:proofErr w:type="spellEnd"/>
      <w:r w:rsidR="0024020A" w:rsidRPr="0024020A">
        <w:rPr>
          <w:rFonts w:asciiTheme="majorHAnsi" w:eastAsiaTheme="minorEastAsia" w:hAnsiTheme="majorHAnsi" w:cs="Myriad Pro"/>
          <w:color w:val="000000"/>
          <w:bdr w:val="none" w:sz="0" w:space="0" w:color="auto"/>
        </w:rPr>
        <w:t xml:space="preserve"> BV; and Co-chief editor Multiple Sclerosis and Related disorders (Elsevier)</w:t>
      </w:r>
      <w:r w:rsidR="00A5410B">
        <w:rPr>
          <w:rFonts w:asciiTheme="majorHAnsi" w:eastAsiaTheme="minorEastAsia" w:hAnsiTheme="majorHAnsi" w:cs="Myriad Pro"/>
          <w:color w:val="000000"/>
          <w:bdr w:val="none" w:sz="0" w:space="0" w:color="auto"/>
        </w:rPr>
        <w:t>;</w:t>
      </w:r>
      <w:r w:rsidR="00BC2DDD">
        <w:rPr>
          <w:rFonts w:asciiTheme="majorHAnsi" w:eastAsiaTheme="minorEastAsia" w:hAnsiTheme="majorHAnsi" w:cs="Myriad Pro"/>
          <w:color w:val="000000"/>
          <w:bdr w:val="none" w:sz="0" w:space="0" w:color="auto"/>
        </w:rPr>
        <w:t xml:space="preserve"> </w:t>
      </w:r>
      <w:r w:rsidRPr="0024020A">
        <w:rPr>
          <w:rFonts w:asciiTheme="majorHAnsi" w:hAnsiTheme="majorHAnsi" w:cs="Myriad Pro"/>
        </w:rPr>
        <w:t>DHM</w:t>
      </w:r>
      <w:r w:rsidR="00A5410B">
        <w:rPr>
          <w:rFonts w:asciiTheme="majorHAnsi" w:hAnsiTheme="majorHAnsi" w:cs="Myriad Pro"/>
        </w:rPr>
        <w:t xml:space="preserve"> </w:t>
      </w:r>
      <w:r w:rsidRPr="0024020A">
        <w:rPr>
          <w:rFonts w:asciiTheme="majorHAnsi" w:hAnsiTheme="majorHAnsi" w:cs="Myriad Pro"/>
        </w:rPr>
        <w:t xml:space="preserve">reports </w:t>
      </w:r>
      <w:r w:rsidRPr="00CF5B56">
        <w:rPr>
          <w:rFonts w:asciiTheme="majorHAnsi" w:hAnsiTheme="majorHAnsi" w:cs="Myriad Pro"/>
        </w:rPr>
        <w:t xml:space="preserve">grants from UCL/UCLH Biomedical Research Centre, during the conduct of the study; grants </w:t>
      </w:r>
      <w:r w:rsidR="00EA7EE2">
        <w:rPr>
          <w:rFonts w:asciiTheme="majorHAnsi" w:hAnsiTheme="majorHAnsi" w:cs="Myriad Pro"/>
        </w:rPr>
        <w:t xml:space="preserve">from  </w:t>
      </w:r>
      <w:proofErr w:type="spellStart"/>
      <w:r w:rsidR="00EA7EE2">
        <w:rPr>
          <w:rFonts w:asciiTheme="majorHAnsi" w:hAnsiTheme="majorHAnsi" w:cs="Myriad Pro"/>
        </w:rPr>
        <w:t>Biogen</w:t>
      </w:r>
      <w:proofErr w:type="spellEnd"/>
      <w:r w:rsidR="00EA7EE2">
        <w:rPr>
          <w:rFonts w:asciiTheme="majorHAnsi" w:hAnsiTheme="majorHAnsi" w:cs="Myriad Pro"/>
        </w:rPr>
        <w:t xml:space="preserve">, GSK, NIHR, Novartis, and </w:t>
      </w:r>
      <w:proofErr w:type="spellStart"/>
      <w:r w:rsidR="00EA7EE2">
        <w:rPr>
          <w:rFonts w:asciiTheme="majorHAnsi" w:hAnsiTheme="majorHAnsi" w:cs="Myriad Pro"/>
        </w:rPr>
        <w:t>Apitope</w:t>
      </w:r>
      <w:proofErr w:type="spellEnd"/>
      <w:r w:rsidR="00EA7EE2">
        <w:rPr>
          <w:rFonts w:asciiTheme="majorHAnsi" w:hAnsiTheme="majorHAnsi" w:cs="Myriad Pro"/>
        </w:rPr>
        <w:t xml:space="preserve">, </w:t>
      </w:r>
      <w:r w:rsidRPr="00CF5B56">
        <w:rPr>
          <w:rFonts w:asciiTheme="majorHAnsi" w:hAnsiTheme="majorHAnsi" w:cs="Myriad Pro"/>
        </w:rPr>
        <w:t xml:space="preserve">and </w:t>
      </w:r>
      <w:r w:rsidR="00EA7EE2">
        <w:rPr>
          <w:rFonts w:asciiTheme="majorHAnsi" w:hAnsiTheme="majorHAnsi" w:cs="Myriad Pro"/>
        </w:rPr>
        <w:t xml:space="preserve">Board membership </w:t>
      </w:r>
      <w:r w:rsidRPr="00CF5B56">
        <w:rPr>
          <w:rFonts w:asciiTheme="majorHAnsi" w:hAnsiTheme="majorHAnsi" w:cs="Myriad Pro"/>
        </w:rPr>
        <w:t xml:space="preserve">from </w:t>
      </w:r>
      <w:proofErr w:type="spellStart"/>
      <w:r w:rsidRPr="00CF5B56">
        <w:rPr>
          <w:rFonts w:asciiTheme="majorHAnsi" w:hAnsiTheme="majorHAnsi" w:cs="Myriad Pro"/>
        </w:rPr>
        <w:t>Biogen</w:t>
      </w:r>
      <w:proofErr w:type="spellEnd"/>
      <w:r w:rsidRPr="00CF5B56">
        <w:rPr>
          <w:rFonts w:asciiTheme="majorHAnsi" w:hAnsiTheme="majorHAnsi" w:cs="Myriad Pro"/>
        </w:rPr>
        <w:t xml:space="preserve"> Idec,</w:t>
      </w:r>
      <w:r w:rsidRPr="00C41308">
        <w:rPr>
          <w:rFonts w:asciiTheme="majorHAnsi" w:hAnsiTheme="majorHAnsi" w:cs="Myriad Pro"/>
        </w:rPr>
        <w:t xml:space="preserve"> G</w:t>
      </w:r>
      <w:r w:rsidR="00EA7EE2">
        <w:rPr>
          <w:rFonts w:asciiTheme="majorHAnsi" w:hAnsiTheme="majorHAnsi" w:cs="Myriad Pro"/>
        </w:rPr>
        <w:t xml:space="preserve">SK, </w:t>
      </w:r>
      <w:r w:rsidRPr="00C41308">
        <w:rPr>
          <w:rFonts w:asciiTheme="majorHAnsi" w:hAnsiTheme="majorHAnsi" w:cs="Myriad Pro"/>
        </w:rPr>
        <w:t xml:space="preserve"> Bayer Schering </w:t>
      </w:r>
      <w:proofErr w:type="spellStart"/>
      <w:r w:rsidRPr="00C41308">
        <w:rPr>
          <w:rFonts w:asciiTheme="majorHAnsi" w:hAnsiTheme="majorHAnsi" w:cs="Myriad Pro"/>
        </w:rPr>
        <w:t>Pharma</w:t>
      </w:r>
      <w:proofErr w:type="spellEnd"/>
      <w:r w:rsidRPr="00C41308">
        <w:rPr>
          <w:rFonts w:asciiTheme="majorHAnsi" w:hAnsiTheme="majorHAnsi" w:cs="Myriad Pro"/>
        </w:rPr>
        <w:t xml:space="preserve">, </w:t>
      </w:r>
      <w:r w:rsidR="00BB042C">
        <w:rPr>
          <w:rFonts w:asciiTheme="majorHAnsi" w:hAnsiTheme="majorHAnsi" w:cs="Myriad Pro"/>
        </w:rPr>
        <w:t>and</w:t>
      </w:r>
      <w:r w:rsidRPr="00C41308">
        <w:rPr>
          <w:rFonts w:asciiTheme="majorHAnsi" w:hAnsiTheme="majorHAnsi" w:cs="Myriad Pro"/>
        </w:rPr>
        <w:t xml:space="preserve"> Mitsubishi </w:t>
      </w:r>
      <w:proofErr w:type="spellStart"/>
      <w:r w:rsidRPr="00C41308">
        <w:rPr>
          <w:rFonts w:asciiTheme="majorHAnsi" w:hAnsiTheme="majorHAnsi" w:cs="Myriad Pro"/>
        </w:rPr>
        <w:t>Pharma</w:t>
      </w:r>
      <w:proofErr w:type="spellEnd"/>
      <w:r w:rsidRPr="00C41308">
        <w:rPr>
          <w:rFonts w:asciiTheme="majorHAnsi" w:hAnsiTheme="majorHAnsi" w:cs="Myriad Pro"/>
        </w:rPr>
        <w:t xml:space="preserve"> Europe</w:t>
      </w:r>
      <w:r w:rsidR="002650A2">
        <w:rPr>
          <w:rFonts w:asciiTheme="majorHAnsi" w:hAnsiTheme="majorHAnsi" w:cs="Myriad Pro"/>
        </w:rPr>
        <w:t xml:space="preserve">; </w:t>
      </w:r>
      <w:r w:rsidR="00BB042C">
        <w:rPr>
          <w:rFonts w:asciiTheme="majorHAnsi" w:hAnsiTheme="majorHAnsi" w:cs="Myriad Pro"/>
        </w:rPr>
        <w:t xml:space="preserve">consultancies </w:t>
      </w:r>
      <w:r w:rsidRPr="00C41308">
        <w:rPr>
          <w:rFonts w:asciiTheme="majorHAnsi" w:hAnsiTheme="majorHAnsi" w:cs="Myriad Pro"/>
        </w:rPr>
        <w:t>from Merck</w:t>
      </w:r>
      <w:r w:rsidR="00BB042C">
        <w:rPr>
          <w:rFonts w:asciiTheme="majorHAnsi" w:hAnsiTheme="majorHAnsi" w:cs="Myriad Pro"/>
        </w:rPr>
        <w:t xml:space="preserve"> and</w:t>
      </w:r>
      <w:r w:rsidRPr="00C41308">
        <w:rPr>
          <w:rFonts w:asciiTheme="majorHAnsi" w:hAnsiTheme="majorHAnsi" w:cs="Myriad Pro"/>
        </w:rPr>
        <w:t xml:space="preserve"> Chugai</w:t>
      </w:r>
      <w:r w:rsidR="002650A2">
        <w:rPr>
          <w:rFonts w:asciiTheme="majorHAnsi" w:hAnsiTheme="majorHAnsi" w:cs="Myriad Pro"/>
        </w:rPr>
        <w:t>;</w:t>
      </w:r>
      <w:r w:rsidRPr="00C41308">
        <w:rPr>
          <w:rFonts w:asciiTheme="majorHAnsi" w:hAnsiTheme="majorHAnsi" w:cs="Myriad Pro"/>
        </w:rPr>
        <w:t xml:space="preserve"> personal fees from </w:t>
      </w:r>
      <w:proofErr w:type="spellStart"/>
      <w:r w:rsidRPr="00C41308">
        <w:rPr>
          <w:rFonts w:asciiTheme="majorHAnsi" w:hAnsiTheme="majorHAnsi" w:cs="Myriad Pro"/>
        </w:rPr>
        <w:t>McAlpine</w:t>
      </w:r>
      <w:r w:rsidR="004B4BF0">
        <w:rPr>
          <w:rFonts w:asciiTheme="majorHAnsi" w:hAnsiTheme="majorHAnsi" w:cs="Myriad Pro"/>
        </w:rPr>
        <w:t>’</w:t>
      </w:r>
      <w:r w:rsidRPr="00C41308">
        <w:rPr>
          <w:rFonts w:asciiTheme="majorHAnsi" w:hAnsiTheme="majorHAnsi" w:cs="Myriad Pro"/>
        </w:rPr>
        <w:t>s</w:t>
      </w:r>
      <w:proofErr w:type="spellEnd"/>
      <w:r w:rsidRPr="00C41308">
        <w:rPr>
          <w:rFonts w:asciiTheme="majorHAnsi" w:hAnsiTheme="majorHAnsi" w:cs="Myriad Pro"/>
        </w:rPr>
        <w:t xml:space="preserve"> Multiple Sclerosis, 4th edition; </w:t>
      </w:r>
      <w:r w:rsidR="006D3666">
        <w:rPr>
          <w:rFonts w:asciiTheme="majorHAnsi" w:hAnsiTheme="majorHAnsi" w:cs="Myriad Pro"/>
        </w:rPr>
        <w:t xml:space="preserve">RK reports </w:t>
      </w:r>
      <w:r w:rsidR="008457D5">
        <w:rPr>
          <w:rFonts w:asciiTheme="majorHAnsi" w:hAnsiTheme="majorHAnsi" w:cs="Myriad Pro"/>
        </w:rPr>
        <w:t xml:space="preserve">clinical trial steering committees with </w:t>
      </w:r>
      <w:proofErr w:type="spellStart"/>
      <w:r w:rsidR="008457D5">
        <w:rPr>
          <w:rFonts w:asciiTheme="majorHAnsi" w:hAnsiTheme="majorHAnsi" w:cs="Myriad Pro"/>
        </w:rPr>
        <w:t>Biogen</w:t>
      </w:r>
      <w:proofErr w:type="spellEnd"/>
      <w:r w:rsidR="002650A2">
        <w:rPr>
          <w:rFonts w:asciiTheme="majorHAnsi" w:hAnsiTheme="majorHAnsi" w:cs="Myriad Pro"/>
        </w:rPr>
        <w:t xml:space="preserve">; </w:t>
      </w:r>
      <w:r w:rsidRPr="00C41308">
        <w:rPr>
          <w:rFonts w:asciiTheme="majorHAnsi" w:hAnsiTheme="majorHAnsi" w:cs="Myriad Pro"/>
        </w:rPr>
        <w:t xml:space="preserve">personal fees and </w:t>
      </w:r>
      <w:r w:rsidR="008457D5">
        <w:rPr>
          <w:rFonts w:asciiTheme="majorHAnsi" w:hAnsiTheme="majorHAnsi" w:cs="Myriad Pro"/>
        </w:rPr>
        <w:t>travel support from</w:t>
      </w:r>
      <w:r w:rsidRPr="00C41308">
        <w:rPr>
          <w:rFonts w:asciiTheme="majorHAnsi" w:hAnsiTheme="majorHAnsi" w:cs="Myriad Pro"/>
        </w:rPr>
        <w:t xml:space="preserve"> </w:t>
      </w:r>
      <w:proofErr w:type="spellStart"/>
      <w:r w:rsidRPr="00C41308">
        <w:rPr>
          <w:rFonts w:asciiTheme="majorHAnsi" w:hAnsiTheme="majorHAnsi" w:cs="Myriad Pro"/>
        </w:rPr>
        <w:t>Biogen</w:t>
      </w:r>
      <w:proofErr w:type="spellEnd"/>
      <w:r w:rsidR="008457D5">
        <w:rPr>
          <w:rFonts w:asciiTheme="majorHAnsi" w:hAnsiTheme="majorHAnsi" w:cs="Myriad Pro"/>
        </w:rPr>
        <w:t xml:space="preserve">, </w:t>
      </w:r>
      <w:r w:rsidRPr="00C41308">
        <w:rPr>
          <w:rFonts w:asciiTheme="majorHAnsi" w:hAnsiTheme="majorHAnsi" w:cs="Myriad Pro"/>
        </w:rPr>
        <w:t xml:space="preserve">Genzyme, grants, Novartis, </w:t>
      </w:r>
      <w:r w:rsidR="008457D5">
        <w:rPr>
          <w:rFonts w:asciiTheme="majorHAnsi" w:hAnsiTheme="majorHAnsi" w:cs="Myriad Pro"/>
        </w:rPr>
        <w:t xml:space="preserve">and </w:t>
      </w:r>
      <w:proofErr w:type="spellStart"/>
      <w:r w:rsidRPr="00C41308">
        <w:rPr>
          <w:rFonts w:asciiTheme="majorHAnsi" w:hAnsiTheme="majorHAnsi" w:cs="Myriad Pro"/>
        </w:rPr>
        <w:t>Teva</w:t>
      </w:r>
      <w:proofErr w:type="spellEnd"/>
      <w:r w:rsidR="002650A2">
        <w:rPr>
          <w:rFonts w:asciiTheme="majorHAnsi" w:hAnsiTheme="majorHAnsi" w:cs="Myriad Pro"/>
        </w:rPr>
        <w:t xml:space="preserve">; </w:t>
      </w:r>
      <w:r w:rsidRPr="00C41308">
        <w:rPr>
          <w:rFonts w:asciiTheme="majorHAnsi" w:hAnsiTheme="majorHAnsi" w:cs="Myriad Pro"/>
        </w:rPr>
        <w:t>personal fees</w:t>
      </w:r>
      <w:r w:rsidR="008457D5">
        <w:rPr>
          <w:rFonts w:asciiTheme="majorHAnsi" w:hAnsiTheme="majorHAnsi" w:cs="Myriad Pro"/>
        </w:rPr>
        <w:t xml:space="preserve"> from</w:t>
      </w:r>
      <w:r w:rsidRPr="00C41308">
        <w:rPr>
          <w:rFonts w:asciiTheme="majorHAnsi" w:hAnsiTheme="majorHAnsi" w:cs="Myriad Pro"/>
        </w:rPr>
        <w:t xml:space="preserve"> Roche, </w:t>
      </w:r>
      <w:r w:rsidR="008457D5">
        <w:rPr>
          <w:rFonts w:asciiTheme="majorHAnsi" w:hAnsiTheme="majorHAnsi" w:cs="Myriad Pro"/>
        </w:rPr>
        <w:t>and</w:t>
      </w:r>
      <w:r w:rsidRPr="00C41308">
        <w:rPr>
          <w:rFonts w:asciiTheme="majorHAnsi" w:hAnsiTheme="majorHAnsi" w:cs="Myriad Pro"/>
        </w:rPr>
        <w:t xml:space="preserve"> </w:t>
      </w:r>
      <w:proofErr w:type="spellStart"/>
      <w:r w:rsidRPr="00C41308">
        <w:rPr>
          <w:rFonts w:asciiTheme="majorHAnsi" w:hAnsiTheme="majorHAnsi" w:cs="Myriad Pro"/>
        </w:rPr>
        <w:t>KaroBio</w:t>
      </w:r>
      <w:proofErr w:type="spellEnd"/>
      <w:r w:rsidRPr="00C41308">
        <w:rPr>
          <w:rFonts w:asciiTheme="majorHAnsi" w:hAnsiTheme="majorHAnsi" w:cs="Myriad Pro"/>
        </w:rPr>
        <w:t xml:space="preserve">; SH, </w:t>
      </w:r>
      <w:r w:rsidR="000E6002">
        <w:rPr>
          <w:rFonts w:asciiTheme="majorHAnsi" w:hAnsiTheme="majorHAnsi" w:cs="Myriad Pro"/>
        </w:rPr>
        <w:t xml:space="preserve">BS, </w:t>
      </w:r>
      <w:r w:rsidRPr="00C41308">
        <w:rPr>
          <w:rFonts w:asciiTheme="majorHAnsi" w:hAnsiTheme="majorHAnsi" w:cs="Myriad Pro"/>
        </w:rPr>
        <w:t>SM, MY, PM, PS, NH have nothing to disclose.</w:t>
      </w:r>
    </w:p>
    <w:p w14:paraId="1AF992CF" w14:textId="77777777" w:rsidR="00B06AF9" w:rsidRDefault="00B06AF9" w:rsidP="0050008E">
      <w:pPr>
        <w:pStyle w:val="Body"/>
        <w:jc w:val="both"/>
        <w:rPr>
          <w:rFonts w:ascii="Calibri" w:eastAsia="Calibri" w:hAnsi="Calibri" w:cs="Calibri"/>
          <w:iCs/>
          <w:u w:val="single"/>
          <w:lang w:val="en-US"/>
        </w:rPr>
      </w:pPr>
    </w:p>
    <w:p w14:paraId="163A0FD3" w14:textId="4B52C8F0" w:rsidR="00E531CE" w:rsidRDefault="007A0D21" w:rsidP="0050008E">
      <w:pPr>
        <w:pStyle w:val="Body"/>
        <w:jc w:val="both"/>
        <w:rPr>
          <w:rFonts w:ascii="Calibri" w:eastAsia="Calibri" w:hAnsi="Calibri" w:cs="Calibri"/>
          <w:iCs/>
          <w:u w:val="single"/>
          <w:lang w:val="en-US"/>
        </w:rPr>
      </w:pPr>
      <w:r w:rsidRPr="0050008E">
        <w:rPr>
          <w:rFonts w:ascii="Calibri" w:eastAsia="Calibri" w:hAnsi="Calibri" w:cs="Calibri"/>
          <w:iCs/>
          <w:u w:val="single"/>
          <w:lang w:val="en-US"/>
        </w:rPr>
        <w:t>Acknowledgeme</w:t>
      </w:r>
      <w:r w:rsidR="006458CD" w:rsidRPr="0050008E">
        <w:rPr>
          <w:rFonts w:ascii="Calibri" w:eastAsia="Calibri" w:hAnsi="Calibri" w:cs="Calibri"/>
          <w:iCs/>
          <w:u w:val="single"/>
          <w:lang w:val="en-US"/>
        </w:rPr>
        <w:t>nts</w:t>
      </w:r>
      <w:r w:rsidRPr="0050008E">
        <w:rPr>
          <w:rFonts w:ascii="Calibri" w:eastAsia="Calibri" w:hAnsi="Calibri" w:cs="Calibri"/>
          <w:iCs/>
          <w:u w:val="single"/>
          <w:lang w:val="en-US"/>
        </w:rPr>
        <w:t xml:space="preserve"> </w:t>
      </w:r>
    </w:p>
    <w:p w14:paraId="1C8B5888" w14:textId="592AD27D" w:rsidR="00102205" w:rsidRDefault="00E531CE" w:rsidP="00E531CE">
      <w:pPr>
        <w:pStyle w:val="Body"/>
        <w:jc w:val="both"/>
        <w:rPr>
          <w:rFonts w:ascii="Calibri" w:eastAsia="Calibri" w:hAnsi="Calibri" w:cs="Calibri"/>
          <w:iCs/>
          <w:lang w:val="en-US"/>
        </w:rPr>
      </w:pPr>
      <w:r>
        <w:rPr>
          <w:rFonts w:ascii="Calibri" w:eastAsia="Calibri" w:hAnsi="Calibri" w:cs="Calibri"/>
          <w:iCs/>
          <w:lang w:val="en-US"/>
        </w:rPr>
        <w:t>The study was s</w:t>
      </w:r>
      <w:r w:rsidRPr="005B40CF">
        <w:rPr>
          <w:rFonts w:ascii="Calibri" w:eastAsia="Calibri" w:hAnsi="Calibri" w:cs="Calibri"/>
          <w:iCs/>
          <w:lang w:val="en-US"/>
        </w:rPr>
        <w:t xml:space="preserve">upported by the </w:t>
      </w:r>
      <w:r>
        <w:rPr>
          <w:rFonts w:ascii="Calibri" w:eastAsia="Calibri" w:hAnsi="Calibri" w:cs="Calibri"/>
          <w:iCs/>
          <w:lang w:val="en-US"/>
        </w:rPr>
        <w:t xml:space="preserve">US </w:t>
      </w:r>
      <w:r w:rsidRPr="005B40CF">
        <w:rPr>
          <w:rFonts w:ascii="Calibri" w:eastAsia="Calibri" w:hAnsi="Calibri" w:cs="Calibri"/>
          <w:iCs/>
          <w:lang w:val="en-US"/>
        </w:rPr>
        <w:t>National Multiple Sclerosis Society</w:t>
      </w:r>
      <w:r>
        <w:rPr>
          <w:rFonts w:ascii="Calibri" w:eastAsia="Calibri" w:hAnsi="Calibri" w:cs="Calibri"/>
          <w:iCs/>
          <w:lang w:val="en-US"/>
        </w:rPr>
        <w:t>,</w:t>
      </w:r>
      <w:r w:rsidRPr="005B40CF">
        <w:rPr>
          <w:rFonts w:ascii="Calibri" w:eastAsia="Calibri" w:hAnsi="Calibri" w:cs="Calibri"/>
          <w:iCs/>
          <w:lang w:val="en-US"/>
        </w:rPr>
        <w:t xml:space="preserve"> the Multiple Sclerosis Society of Great Britain and Northern Ireland</w:t>
      </w:r>
      <w:r>
        <w:rPr>
          <w:rFonts w:ascii="Calibri" w:eastAsia="Calibri" w:hAnsi="Calibri" w:cs="Calibri"/>
          <w:iCs/>
          <w:lang w:val="en-US"/>
        </w:rPr>
        <w:t xml:space="preserve"> (equal funding through NMSS grant 4421A1/1)</w:t>
      </w:r>
      <w:r w:rsidRPr="005B40CF">
        <w:rPr>
          <w:rFonts w:ascii="Calibri" w:eastAsia="Calibri" w:hAnsi="Calibri" w:cs="Calibri"/>
          <w:iCs/>
          <w:lang w:val="en-US"/>
        </w:rPr>
        <w:t>, a non-promotional grant from Novartis, the National Institute for Health Research Clinical Research Network</w:t>
      </w:r>
      <w:r>
        <w:rPr>
          <w:rFonts w:ascii="Calibri" w:eastAsia="Calibri" w:hAnsi="Calibri" w:cs="Calibri"/>
          <w:iCs/>
          <w:lang w:val="en-US"/>
        </w:rPr>
        <w:t>,</w:t>
      </w:r>
      <w:r w:rsidRPr="005B40CF">
        <w:rPr>
          <w:rFonts w:ascii="Calibri" w:eastAsia="Calibri" w:hAnsi="Calibri" w:cs="Calibri"/>
          <w:iCs/>
          <w:lang w:val="en-US"/>
        </w:rPr>
        <w:t xml:space="preserve"> and University College London Hospitals Biomedical Research Centre. </w:t>
      </w:r>
      <w:r w:rsidR="007701F2">
        <w:rPr>
          <w:rFonts w:ascii="Calibri" w:eastAsia="Calibri" w:hAnsi="Calibri" w:cs="Calibri"/>
          <w:iCs/>
          <w:lang w:val="en-US"/>
        </w:rPr>
        <w:t>The study was sponsored by University College London.</w:t>
      </w:r>
    </w:p>
    <w:p w14:paraId="541D917B" w14:textId="72DAD17B" w:rsidR="007A0D21" w:rsidRPr="005B40CF" w:rsidRDefault="00102205" w:rsidP="0050008E">
      <w:pPr>
        <w:pStyle w:val="Body"/>
        <w:jc w:val="both"/>
        <w:rPr>
          <w:rFonts w:ascii="Calibri" w:eastAsia="Calibri" w:hAnsi="Calibri" w:cs="Calibri"/>
          <w:iCs/>
          <w:lang w:val="en-US"/>
        </w:rPr>
      </w:pPr>
      <w:r w:rsidRPr="00071833">
        <w:rPr>
          <w:rFonts w:ascii="Calibri" w:eastAsia="Calibri" w:hAnsi="Calibri" w:cs="Calibri"/>
          <w:iCs/>
        </w:rPr>
        <w:t xml:space="preserve">This </w:t>
      </w:r>
      <w:r>
        <w:rPr>
          <w:rFonts w:ascii="Calibri" w:eastAsia="Calibri" w:hAnsi="Calibri" w:cs="Calibri"/>
          <w:iCs/>
        </w:rPr>
        <w:t>study</w:t>
      </w:r>
      <w:r w:rsidRPr="00071833">
        <w:rPr>
          <w:rFonts w:ascii="Calibri" w:eastAsia="Calibri" w:hAnsi="Calibri" w:cs="Calibri"/>
          <w:iCs/>
        </w:rPr>
        <w:t xml:space="preserve"> presents independent research supported by the National Institute for Health Research (NIHR). The views ex</w:t>
      </w:r>
      <w:r>
        <w:rPr>
          <w:rFonts w:ascii="Calibri" w:eastAsia="Calibri" w:hAnsi="Calibri" w:cs="Calibri"/>
          <w:iCs/>
        </w:rPr>
        <w:t>pressed are those of the author</w:t>
      </w:r>
      <w:r w:rsidRPr="00071833">
        <w:rPr>
          <w:rFonts w:ascii="Calibri" w:eastAsia="Calibri" w:hAnsi="Calibri" w:cs="Calibri"/>
          <w:iCs/>
        </w:rPr>
        <w:t>s and not necessarily those of the NHS, the NIHR or the Department of Health</w:t>
      </w:r>
      <w:r>
        <w:rPr>
          <w:rFonts w:ascii="Calibri" w:eastAsia="Calibri" w:hAnsi="Calibri" w:cs="Calibri"/>
          <w:iCs/>
        </w:rPr>
        <w:t>.</w:t>
      </w:r>
    </w:p>
    <w:p w14:paraId="0D62F65A" w14:textId="3CF2FB89" w:rsidR="007A0D21" w:rsidRPr="000D7F9C" w:rsidRDefault="007A0D21" w:rsidP="0050008E">
      <w:pPr>
        <w:pStyle w:val="Body"/>
        <w:jc w:val="both"/>
        <w:rPr>
          <w:rFonts w:ascii="Calibri" w:eastAsia="Calibri" w:hAnsi="Calibri" w:cs="Calibri"/>
          <w:iCs/>
          <w:lang w:val="en-US"/>
        </w:rPr>
      </w:pPr>
      <w:r>
        <w:rPr>
          <w:rFonts w:ascii="Calibri" w:eastAsia="Calibri" w:hAnsi="Calibri" w:cs="Calibri"/>
          <w:iCs/>
          <w:lang w:val="en-US"/>
        </w:rPr>
        <w:t xml:space="preserve">We are grateful for their generous input </w:t>
      </w:r>
      <w:r w:rsidR="00904A1C">
        <w:rPr>
          <w:rFonts w:ascii="Calibri" w:eastAsia="Calibri" w:hAnsi="Calibri" w:cs="Calibri"/>
          <w:iCs/>
          <w:lang w:val="en-US"/>
        </w:rPr>
        <w:t>to the</w:t>
      </w:r>
      <w:r>
        <w:rPr>
          <w:rFonts w:ascii="Calibri" w:eastAsia="Calibri" w:hAnsi="Calibri" w:cs="Calibri"/>
          <w:iCs/>
          <w:lang w:val="en-US"/>
        </w:rPr>
        <w:t xml:space="preserve"> members of the Data Monitoring and Ethics Committee. We also thank Kelvin Hunter for database support, </w:t>
      </w:r>
      <w:r w:rsidRPr="005B40CF">
        <w:rPr>
          <w:rFonts w:ascii="Calibri" w:eastAsia="Calibri" w:hAnsi="Calibri" w:cs="Calibri"/>
          <w:iCs/>
          <w:lang w:val="en-US"/>
        </w:rPr>
        <w:t xml:space="preserve">Vicente Gonzalez </w:t>
      </w:r>
      <w:proofErr w:type="spellStart"/>
      <w:r w:rsidRPr="005B40CF">
        <w:rPr>
          <w:rFonts w:ascii="Calibri" w:eastAsia="Calibri" w:hAnsi="Calibri" w:cs="Calibri"/>
          <w:iCs/>
          <w:lang w:val="en-US"/>
        </w:rPr>
        <w:t>Qunitanilla</w:t>
      </w:r>
      <w:proofErr w:type="spellEnd"/>
      <w:r w:rsidRPr="005B40CF">
        <w:rPr>
          <w:rFonts w:ascii="Calibri" w:eastAsia="Calibri" w:hAnsi="Calibri" w:cs="Calibri"/>
          <w:iCs/>
          <w:lang w:val="en-US"/>
        </w:rPr>
        <w:t xml:space="preserve"> (</w:t>
      </w:r>
      <w:r w:rsidRPr="005B40CF">
        <w:rPr>
          <w:rFonts w:ascii="Calibri" w:eastAsia="Calibri" w:hAnsi="Calibri" w:cs="Calibri"/>
          <w:iCs/>
          <w:lang w:val="es-ES"/>
        </w:rPr>
        <w:t xml:space="preserve">Hospital Universitario Marqués de </w:t>
      </w:r>
      <w:proofErr w:type="spellStart"/>
      <w:r w:rsidRPr="005B40CF">
        <w:rPr>
          <w:rFonts w:ascii="Calibri" w:eastAsia="Calibri" w:hAnsi="Calibri" w:cs="Calibri"/>
          <w:iCs/>
          <w:lang w:val="es-ES"/>
        </w:rPr>
        <w:t>Valdecilla</w:t>
      </w:r>
      <w:proofErr w:type="spellEnd"/>
      <w:r w:rsidRPr="005B40CF">
        <w:rPr>
          <w:rFonts w:ascii="Calibri" w:eastAsia="Calibri" w:hAnsi="Calibri" w:cs="Calibri"/>
          <w:iCs/>
          <w:lang w:val="es-ES"/>
        </w:rPr>
        <w:t xml:space="preserve">, </w:t>
      </w:r>
      <w:proofErr w:type="spellStart"/>
      <w:r w:rsidRPr="005B40CF">
        <w:rPr>
          <w:rFonts w:ascii="Calibri" w:eastAsia="Calibri" w:hAnsi="Calibri" w:cs="Calibri"/>
          <w:iCs/>
          <w:lang w:val="es-ES"/>
        </w:rPr>
        <w:t>Spain</w:t>
      </w:r>
      <w:proofErr w:type="spellEnd"/>
      <w:r w:rsidRPr="005B40CF">
        <w:rPr>
          <w:rFonts w:ascii="Calibri" w:eastAsia="Calibri" w:hAnsi="Calibri" w:cs="Calibri"/>
          <w:iCs/>
          <w:lang w:val="es-ES"/>
        </w:rPr>
        <w:t>)</w:t>
      </w:r>
      <w:r>
        <w:rPr>
          <w:rFonts w:ascii="Calibri" w:eastAsia="Calibri" w:hAnsi="Calibri" w:cs="Calibri"/>
          <w:iCs/>
          <w:lang w:val="es-ES"/>
        </w:rPr>
        <w:t xml:space="preserve"> </w:t>
      </w:r>
      <w:proofErr w:type="spellStart"/>
      <w:r>
        <w:rPr>
          <w:rFonts w:ascii="Calibri" w:eastAsia="Calibri" w:hAnsi="Calibri" w:cs="Calibri"/>
          <w:iCs/>
          <w:lang w:val="es-ES"/>
        </w:rPr>
        <w:t>for</w:t>
      </w:r>
      <w:proofErr w:type="spellEnd"/>
      <w:r>
        <w:rPr>
          <w:rFonts w:ascii="Calibri" w:eastAsia="Calibri" w:hAnsi="Calibri" w:cs="Calibri"/>
          <w:iCs/>
          <w:lang w:val="es-ES"/>
        </w:rPr>
        <w:t xml:space="preserve"> </w:t>
      </w:r>
      <w:proofErr w:type="spellStart"/>
      <w:r>
        <w:rPr>
          <w:rFonts w:ascii="Calibri" w:eastAsia="Calibri" w:hAnsi="Calibri" w:cs="Calibri"/>
          <w:iCs/>
          <w:lang w:val="es-ES"/>
        </w:rPr>
        <w:t>contributions</w:t>
      </w:r>
      <w:proofErr w:type="spellEnd"/>
      <w:r>
        <w:rPr>
          <w:rFonts w:ascii="Calibri" w:eastAsia="Calibri" w:hAnsi="Calibri" w:cs="Calibri"/>
          <w:iCs/>
          <w:lang w:val="es-ES"/>
        </w:rPr>
        <w:t xml:space="preserve"> to </w:t>
      </w:r>
      <w:proofErr w:type="spellStart"/>
      <w:r>
        <w:rPr>
          <w:rFonts w:ascii="Calibri" w:eastAsia="Calibri" w:hAnsi="Calibri" w:cs="Calibri"/>
          <w:iCs/>
          <w:lang w:val="es-ES"/>
        </w:rPr>
        <w:t>the</w:t>
      </w:r>
      <w:proofErr w:type="spellEnd"/>
      <w:r>
        <w:rPr>
          <w:rFonts w:ascii="Calibri" w:eastAsia="Calibri" w:hAnsi="Calibri" w:cs="Calibri"/>
          <w:iCs/>
          <w:lang w:val="es-ES"/>
        </w:rPr>
        <w:t xml:space="preserve"> MRI Work</w:t>
      </w:r>
      <w:r>
        <w:rPr>
          <w:rFonts w:ascii="Calibri" w:eastAsia="Calibri" w:hAnsi="Calibri" w:cs="Calibri"/>
          <w:iCs/>
          <w:lang w:val="en-US"/>
        </w:rPr>
        <w:t>, and</w:t>
      </w:r>
      <w:r w:rsidRPr="005B40CF">
        <w:rPr>
          <w:rFonts w:ascii="Calibri" w:eastAsia="Calibri" w:hAnsi="Calibri" w:cs="Calibri"/>
          <w:iCs/>
          <w:lang w:val="en-US"/>
        </w:rPr>
        <w:t xml:space="preserve"> </w:t>
      </w:r>
      <w:r w:rsidR="000C7DB1">
        <w:rPr>
          <w:rFonts w:ascii="Calibri" w:eastAsia="Calibri" w:hAnsi="Calibri" w:cs="Calibri"/>
          <w:iCs/>
          <w:lang w:val="en-US"/>
        </w:rPr>
        <w:t>to our</w:t>
      </w:r>
      <w:r w:rsidRPr="005B40CF">
        <w:rPr>
          <w:rFonts w:ascii="Calibri" w:eastAsia="Calibri" w:hAnsi="Calibri" w:cs="Calibri"/>
          <w:iCs/>
          <w:lang w:val="en-US"/>
        </w:rPr>
        <w:t xml:space="preserve"> colleagues in the </w:t>
      </w:r>
      <w:r>
        <w:rPr>
          <w:rFonts w:ascii="Calibri" w:eastAsia="Calibri" w:hAnsi="Calibri" w:cs="Calibri"/>
          <w:iCs/>
          <w:lang w:val="en-US"/>
        </w:rPr>
        <w:t>P</w:t>
      </w:r>
      <w:r w:rsidRPr="005B40CF">
        <w:rPr>
          <w:rFonts w:ascii="Calibri" w:eastAsia="Calibri" w:hAnsi="Calibri" w:cs="Calibri"/>
          <w:iCs/>
          <w:lang w:val="en-US"/>
        </w:rPr>
        <w:t xml:space="preserve">atient </w:t>
      </w:r>
      <w:r>
        <w:rPr>
          <w:rFonts w:ascii="Calibri" w:eastAsia="Calibri" w:hAnsi="Calibri" w:cs="Calibri"/>
          <w:iCs/>
          <w:lang w:val="en-US"/>
        </w:rPr>
        <w:t>I</w:t>
      </w:r>
      <w:r w:rsidRPr="005B40CF">
        <w:rPr>
          <w:rFonts w:ascii="Calibri" w:eastAsia="Calibri" w:hAnsi="Calibri" w:cs="Calibri"/>
          <w:iCs/>
          <w:lang w:val="en-US"/>
        </w:rPr>
        <w:t xml:space="preserve">dentification </w:t>
      </w:r>
      <w:proofErr w:type="spellStart"/>
      <w:r w:rsidR="004B50B6">
        <w:rPr>
          <w:rFonts w:ascii="Calibri" w:eastAsia="Calibri" w:hAnsi="Calibri" w:cs="Calibri"/>
          <w:iCs/>
          <w:lang w:val="en-US"/>
        </w:rPr>
        <w:lastRenderedPageBreak/>
        <w:t>Centre</w:t>
      </w:r>
      <w:r w:rsidRPr="005B40CF">
        <w:rPr>
          <w:rFonts w:ascii="Calibri" w:eastAsia="Calibri" w:hAnsi="Calibri" w:cs="Calibri"/>
          <w:iCs/>
          <w:lang w:val="en-US"/>
        </w:rPr>
        <w:t>s</w:t>
      </w:r>
      <w:proofErr w:type="spellEnd"/>
      <w:r w:rsidRPr="005B40CF">
        <w:rPr>
          <w:rFonts w:ascii="Calibri" w:eastAsia="Calibri" w:hAnsi="Calibri" w:cs="Calibri"/>
          <w:iCs/>
          <w:lang w:val="en-US"/>
        </w:rPr>
        <w:t xml:space="preserve"> </w:t>
      </w:r>
      <w:r>
        <w:rPr>
          <w:rFonts w:ascii="Calibri" w:eastAsia="Calibri" w:hAnsi="Calibri" w:cs="Calibri"/>
          <w:iCs/>
          <w:lang w:val="en-US"/>
        </w:rPr>
        <w:t xml:space="preserve">who </w:t>
      </w:r>
      <w:r w:rsidRPr="005B40CF">
        <w:rPr>
          <w:rFonts w:ascii="Calibri" w:eastAsia="Calibri" w:hAnsi="Calibri" w:cs="Calibri"/>
          <w:iCs/>
          <w:lang w:val="en-US"/>
        </w:rPr>
        <w:t>referr</w:t>
      </w:r>
      <w:r>
        <w:rPr>
          <w:rFonts w:ascii="Calibri" w:eastAsia="Calibri" w:hAnsi="Calibri" w:cs="Calibri"/>
          <w:iCs/>
          <w:lang w:val="en-US"/>
        </w:rPr>
        <w:t>ed</w:t>
      </w:r>
      <w:r w:rsidRPr="005B40CF">
        <w:rPr>
          <w:rFonts w:ascii="Calibri" w:eastAsia="Calibri" w:hAnsi="Calibri" w:cs="Calibri"/>
          <w:iCs/>
          <w:lang w:val="en-US"/>
        </w:rPr>
        <w:t xml:space="preserve"> patients to the trial</w:t>
      </w:r>
      <w:r w:rsidR="000C7DB1">
        <w:rPr>
          <w:rFonts w:ascii="Calibri" w:eastAsia="Calibri" w:hAnsi="Calibri" w:cs="Calibri"/>
          <w:iCs/>
          <w:lang w:val="en-US"/>
        </w:rPr>
        <w:t xml:space="preserve">. </w:t>
      </w:r>
      <w:r>
        <w:rPr>
          <w:rFonts w:ascii="Calibri" w:eastAsia="Calibri" w:hAnsi="Calibri" w:cs="Calibri"/>
          <w:iCs/>
          <w:lang w:val="en-US"/>
        </w:rPr>
        <w:t>Finally we</w:t>
      </w:r>
      <w:r w:rsidRPr="005B40CF">
        <w:rPr>
          <w:rFonts w:ascii="Calibri" w:eastAsia="Calibri" w:hAnsi="Calibri" w:cs="Calibri"/>
          <w:iCs/>
          <w:lang w:val="en-US"/>
        </w:rPr>
        <w:t xml:space="preserve"> thank the pa</w:t>
      </w:r>
      <w:r w:rsidR="00F67D39">
        <w:rPr>
          <w:rFonts w:ascii="Calibri" w:eastAsia="Calibri" w:hAnsi="Calibri" w:cs="Calibri"/>
          <w:iCs/>
          <w:lang w:val="en-US"/>
        </w:rPr>
        <w:t>rticipants</w:t>
      </w:r>
      <w:r w:rsidR="000D2A1E">
        <w:rPr>
          <w:rFonts w:ascii="Calibri" w:eastAsia="Calibri" w:hAnsi="Calibri" w:cs="Calibri"/>
          <w:iCs/>
          <w:lang w:val="en-US"/>
        </w:rPr>
        <w:t>,</w:t>
      </w:r>
      <w:r w:rsidRPr="005B40CF">
        <w:rPr>
          <w:rFonts w:ascii="Calibri" w:eastAsia="Calibri" w:hAnsi="Calibri" w:cs="Calibri"/>
          <w:iCs/>
          <w:lang w:val="en-US"/>
        </w:rPr>
        <w:t xml:space="preserve"> without whom this study would not have been possible. </w:t>
      </w:r>
    </w:p>
    <w:p w14:paraId="289185EE" w14:textId="77777777" w:rsidR="007A0D21" w:rsidRPr="005B40CF" w:rsidRDefault="007A0D21" w:rsidP="0050008E">
      <w:pPr>
        <w:pStyle w:val="Body"/>
        <w:jc w:val="both"/>
        <w:rPr>
          <w:rFonts w:ascii="Calibri" w:eastAsia="Calibri" w:hAnsi="Calibri" w:cs="Calibri"/>
          <w:iCs/>
          <w:lang w:val="en-US"/>
        </w:rPr>
      </w:pPr>
      <w:r w:rsidRPr="005B40CF">
        <w:rPr>
          <w:rFonts w:ascii="Calibri" w:eastAsia="Calibri" w:hAnsi="Calibri" w:cs="Calibri"/>
          <w:iCs/>
        </w:rPr>
        <w:tab/>
      </w:r>
      <w:r w:rsidRPr="005B40CF">
        <w:rPr>
          <w:rFonts w:ascii="Calibri" w:eastAsia="Calibri" w:hAnsi="Calibri" w:cs="Calibri"/>
          <w:iCs/>
        </w:rPr>
        <w:tab/>
      </w:r>
      <w:r w:rsidRPr="005B40CF">
        <w:rPr>
          <w:rFonts w:ascii="Calibri" w:eastAsia="Calibri" w:hAnsi="Calibri" w:cs="Calibri"/>
          <w:iCs/>
        </w:rPr>
        <w:tab/>
        <w:t xml:space="preserve"> </w:t>
      </w:r>
    </w:p>
    <w:p w14:paraId="60EC455A" w14:textId="77777777" w:rsidR="006763E4" w:rsidRDefault="006763E4">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Calibri" w:hAnsiTheme="majorHAnsi" w:cs="Calibri"/>
          <w:bCs/>
          <w:color w:val="000000"/>
          <w:u w:val="single" w:color="000000"/>
          <w:lang w:eastAsia="en-GB"/>
        </w:rPr>
      </w:pPr>
      <w:r>
        <w:rPr>
          <w:rFonts w:asciiTheme="majorHAnsi" w:eastAsia="Calibri" w:hAnsiTheme="majorHAnsi" w:cs="Calibri"/>
          <w:bCs/>
          <w:u w:val="single"/>
        </w:rPr>
        <w:br w:type="page"/>
      </w:r>
    </w:p>
    <w:p w14:paraId="70C28DEB" w14:textId="1665F81E" w:rsidR="007A0D21" w:rsidRPr="005B3F94" w:rsidRDefault="007A0D21" w:rsidP="00380A59">
      <w:pPr>
        <w:pStyle w:val="Body"/>
        <w:rPr>
          <w:rFonts w:asciiTheme="majorHAnsi" w:eastAsia="Calibri" w:hAnsiTheme="majorHAnsi" w:cs="Calibri"/>
          <w:bCs/>
          <w:u w:val="single"/>
          <w:lang w:val="en-US"/>
        </w:rPr>
      </w:pPr>
      <w:r w:rsidRPr="005B3F94">
        <w:rPr>
          <w:rFonts w:asciiTheme="majorHAnsi" w:eastAsia="Calibri" w:hAnsiTheme="majorHAnsi" w:cs="Calibri"/>
          <w:bCs/>
          <w:u w:val="single"/>
          <w:lang w:val="en-US"/>
        </w:rPr>
        <w:lastRenderedPageBreak/>
        <w:t>References</w:t>
      </w:r>
    </w:p>
    <w:p w14:paraId="0E1F03A0" w14:textId="77777777" w:rsidR="0050008E" w:rsidRPr="005B3F94" w:rsidRDefault="0050008E" w:rsidP="0050008E">
      <w:pPr>
        <w:pStyle w:val="Body"/>
        <w:jc w:val="both"/>
        <w:rPr>
          <w:rFonts w:asciiTheme="majorHAnsi" w:eastAsia="Calibri" w:hAnsiTheme="majorHAnsi" w:cs="Calibri"/>
          <w:b/>
          <w:bCs/>
          <w:lang w:val="en-US"/>
        </w:rPr>
      </w:pPr>
    </w:p>
    <w:p w14:paraId="66398054" w14:textId="01B12177" w:rsidR="002976F5" w:rsidRPr="005B3F94" w:rsidRDefault="002976F5" w:rsidP="0050008E">
      <w:pPr>
        <w:pStyle w:val="EndNoteBibliography"/>
        <w:rPr>
          <w:rFonts w:asciiTheme="majorHAnsi" w:hAnsiTheme="majorHAnsi"/>
          <w:noProof/>
        </w:rPr>
      </w:pPr>
      <w:r w:rsidRPr="005B3F94">
        <w:rPr>
          <w:rFonts w:asciiTheme="majorHAnsi" w:hAnsiTheme="majorHAnsi"/>
          <w:noProof/>
        </w:rPr>
        <w:t>1.</w:t>
      </w:r>
      <w:r w:rsidRPr="005B3F94">
        <w:rPr>
          <w:rFonts w:asciiTheme="majorHAnsi" w:hAnsiTheme="majorHAnsi"/>
          <w:noProof/>
        </w:rPr>
        <w:tab/>
        <w:t xml:space="preserve">Trapp BD, Ransohoff R, Rudick R. Axonal pathology in multiple sclerosis: relationship to neurologic disability. </w:t>
      </w:r>
      <w:r w:rsidRPr="00327C40">
        <w:rPr>
          <w:rFonts w:asciiTheme="majorHAnsi" w:hAnsiTheme="majorHAnsi"/>
          <w:i/>
          <w:noProof/>
        </w:rPr>
        <w:t>Curr Opin Neurol.</w:t>
      </w:r>
      <w:r w:rsidRPr="005B3F94">
        <w:rPr>
          <w:rFonts w:asciiTheme="majorHAnsi" w:hAnsiTheme="majorHAnsi"/>
          <w:noProof/>
        </w:rPr>
        <w:t xml:space="preserve"> 1999;</w:t>
      </w:r>
      <w:r w:rsidRPr="00327C40">
        <w:rPr>
          <w:rFonts w:asciiTheme="majorHAnsi" w:hAnsiTheme="majorHAnsi"/>
          <w:b/>
          <w:noProof/>
        </w:rPr>
        <w:t>12</w:t>
      </w:r>
      <w:r w:rsidRPr="005B3F94">
        <w:rPr>
          <w:rFonts w:asciiTheme="majorHAnsi" w:hAnsiTheme="majorHAnsi"/>
          <w:noProof/>
        </w:rPr>
        <w:t>:295-302.</w:t>
      </w:r>
    </w:p>
    <w:p w14:paraId="46FD0243" w14:textId="4D175ABF" w:rsidR="002976F5" w:rsidRPr="005B3F94" w:rsidRDefault="002976F5" w:rsidP="00412D99">
      <w:pPr>
        <w:pStyle w:val="EndNoteBibliography"/>
        <w:rPr>
          <w:rFonts w:asciiTheme="majorHAnsi" w:hAnsiTheme="majorHAnsi"/>
          <w:noProof/>
        </w:rPr>
      </w:pPr>
      <w:r w:rsidRPr="005B3F94">
        <w:rPr>
          <w:rFonts w:asciiTheme="majorHAnsi" w:hAnsiTheme="majorHAnsi"/>
          <w:noProof/>
        </w:rPr>
        <w:t>2.</w:t>
      </w:r>
      <w:r w:rsidRPr="005B3F94">
        <w:rPr>
          <w:rFonts w:asciiTheme="majorHAnsi" w:hAnsiTheme="majorHAnsi"/>
          <w:noProof/>
        </w:rPr>
        <w:tab/>
        <w:t xml:space="preserve">Beck RW, Cleary PA, Anderson MM, et al. A randomized, controlled trial of corticosteroids in the treatment of acute optic neuritis. The Optic Neuritis Study Group. </w:t>
      </w:r>
      <w:r w:rsidRPr="00327C40">
        <w:rPr>
          <w:rFonts w:asciiTheme="majorHAnsi" w:hAnsiTheme="majorHAnsi"/>
          <w:i/>
          <w:noProof/>
        </w:rPr>
        <w:t>N Engl J Med.</w:t>
      </w:r>
      <w:r w:rsidRPr="005B3F94">
        <w:rPr>
          <w:rFonts w:asciiTheme="majorHAnsi" w:hAnsiTheme="majorHAnsi"/>
          <w:noProof/>
        </w:rPr>
        <w:t xml:space="preserve"> 1992;</w:t>
      </w:r>
      <w:r w:rsidRPr="00327C40">
        <w:rPr>
          <w:rFonts w:asciiTheme="majorHAnsi" w:hAnsiTheme="majorHAnsi"/>
          <w:b/>
          <w:noProof/>
        </w:rPr>
        <w:t>326</w:t>
      </w:r>
      <w:r w:rsidRPr="005B3F94">
        <w:rPr>
          <w:rFonts w:asciiTheme="majorHAnsi" w:hAnsiTheme="majorHAnsi"/>
          <w:noProof/>
        </w:rPr>
        <w:t>:581-8.</w:t>
      </w:r>
    </w:p>
    <w:p w14:paraId="734CA5D2" w14:textId="7F1C11BD" w:rsidR="002976F5" w:rsidRPr="005B3F94" w:rsidRDefault="002976F5" w:rsidP="00AB1495">
      <w:pPr>
        <w:pStyle w:val="EndNoteBibliography"/>
        <w:rPr>
          <w:rFonts w:asciiTheme="majorHAnsi" w:hAnsiTheme="majorHAnsi"/>
          <w:noProof/>
        </w:rPr>
      </w:pPr>
      <w:r w:rsidRPr="005B3F94">
        <w:rPr>
          <w:rFonts w:asciiTheme="majorHAnsi" w:hAnsiTheme="majorHAnsi"/>
          <w:noProof/>
        </w:rPr>
        <w:t>3.</w:t>
      </w:r>
      <w:r w:rsidRPr="005B3F94">
        <w:rPr>
          <w:rFonts w:asciiTheme="majorHAnsi" w:hAnsiTheme="majorHAnsi"/>
          <w:noProof/>
        </w:rPr>
        <w:tab/>
        <w:t xml:space="preserve">Kapoor R, Miller DH, Jones SJ, et al. Effects of intravenous methylprednisolone on outcome in MRI-based prognostic subgroups in acute optic neuritis. </w:t>
      </w:r>
      <w:r w:rsidRPr="00327C40">
        <w:rPr>
          <w:rFonts w:asciiTheme="majorHAnsi" w:hAnsiTheme="majorHAnsi"/>
          <w:i/>
          <w:noProof/>
        </w:rPr>
        <w:t>Neurology</w:t>
      </w:r>
      <w:r w:rsidRPr="005B3F94">
        <w:rPr>
          <w:rFonts w:asciiTheme="majorHAnsi" w:hAnsiTheme="majorHAnsi"/>
          <w:noProof/>
        </w:rPr>
        <w:t>. 1998;</w:t>
      </w:r>
      <w:r w:rsidRPr="00327C40">
        <w:rPr>
          <w:rFonts w:asciiTheme="majorHAnsi" w:hAnsiTheme="majorHAnsi"/>
          <w:b/>
          <w:noProof/>
        </w:rPr>
        <w:t>50</w:t>
      </w:r>
      <w:r w:rsidRPr="005B3F94">
        <w:rPr>
          <w:rFonts w:asciiTheme="majorHAnsi" w:hAnsiTheme="majorHAnsi"/>
          <w:noProof/>
        </w:rPr>
        <w:t>:230-7.</w:t>
      </w:r>
    </w:p>
    <w:p w14:paraId="5E824F31" w14:textId="4E0A6904" w:rsidR="002976F5" w:rsidRPr="005B3F94" w:rsidRDefault="002976F5" w:rsidP="00022CC3">
      <w:pPr>
        <w:pStyle w:val="EndNoteBibliography"/>
        <w:rPr>
          <w:rFonts w:asciiTheme="majorHAnsi" w:hAnsiTheme="majorHAnsi"/>
          <w:noProof/>
        </w:rPr>
      </w:pPr>
      <w:r w:rsidRPr="005B3F94">
        <w:rPr>
          <w:rFonts w:asciiTheme="majorHAnsi" w:hAnsiTheme="majorHAnsi"/>
          <w:noProof/>
        </w:rPr>
        <w:t>4.</w:t>
      </w:r>
      <w:r w:rsidRPr="005B3F94">
        <w:rPr>
          <w:rFonts w:asciiTheme="majorHAnsi" w:hAnsiTheme="majorHAnsi"/>
          <w:noProof/>
        </w:rPr>
        <w:tab/>
        <w:t xml:space="preserve">Filippini G, Brusaferri F, Sibley WA, et al. Corticosteroids or ACTH for acute exacerbations in multiple sclerosis. </w:t>
      </w:r>
      <w:r w:rsidRPr="00327C40">
        <w:rPr>
          <w:rFonts w:asciiTheme="majorHAnsi" w:hAnsiTheme="majorHAnsi"/>
          <w:i/>
          <w:noProof/>
        </w:rPr>
        <w:t>Cochrane Database Syst Rev.</w:t>
      </w:r>
      <w:r w:rsidRPr="005B3F94">
        <w:rPr>
          <w:rFonts w:asciiTheme="majorHAnsi" w:hAnsiTheme="majorHAnsi"/>
          <w:noProof/>
        </w:rPr>
        <w:t xml:space="preserve"> </w:t>
      </w:r>
      <w:r w:rsidRPr="00327C40">
        <w:rPr>
          <w:rFonts w:asciiTheme="majorHAnsi" w:hAnsiTheme="majorHAnsi"/>
          <w:b/>
          <w:noProof/>
        </w:rPr>
        <w:t>2000</w:t>
      </w:r>
      <w:r w:rsidR="00327C40">
        <w:rPr>
          <w:rFonts w:asciiTheme="majorHAnsi" w:hAnsiTheme="majorHAnsi"/>
          <w:b/>
          <w:noProof/>
        </w:rPr>
        <w:t xml:space="preserve"> (4)</w:t>
      </w:r>
      <w:r w:rsidR="00327C40">
        <w:rPr>
          <w:rFonts w:asciiTheme="majorHAnsi" w:hAnsiTheme="majorHAnsi"/>
          <w:noProof/>
        </w:rPr>
        <w:t>:</w:t>
      </w:r>
      <w:r w:rsidRPr="005B3F94">
        <w:rPr>
          <w:rFonts w:asciiTheme="majorHAnsi" w:hAnsiTheme="majorHAnsi"/>
          <w:noProof/>
        </w:rPr>
        <w:t>CD001331.</w:t>
      </w:r>
    </w:p>
    <w:p w14:paraId="4824E5D7" w14:textId="239B92AC" w:rsidR="002976F5" w:rsidRPr="005B3F94" w:rsidRDefault="002976F5" w:rsidP="00022CC3">
      <w:pPr>
        <w:pStyle w:val="EndNoteBibliography"/>
        <w:rPr>
          <w:rFonts w:asciiTheme="majorHAnsi" w:hAnsiTheme="majorHAnsi"/>
          <w:noProof/>
        </w:rPr>
      </w:pPr>
      <w:r w:rsidRPr="005B3F94">
        <w:rPr>
          <w:rFonts w:asciiTheme="majorHAnsi" w:hAnsiTheme="majorHAnsi"/>
          <w:noProof/>
        </w:rPr>
        <w:t>5.</w:t>
      </w:r>
      <w:r w:rsidRPr="005B3F94">
        <w:rPr>
          <w:rFonts w:asciiTheme="majorHAnsi" w:hAnsiTheme="majorHAnsi"/>
          <w:noProof/>
        </w:rPr>
        <w:tab/>
        <w:t xml:space="preserve">Coles AJ, Cox A, Le Page E, et al. The window of therapeutic opportunity in multiple sclerosis: evidence from monoclonal antibody therapy. </w:t>
      </w:r>
      <w:r w:rsidRPr="00892FF3">
        <w:rPr>
          <w:rFonts w:asciiTheme="majorHAnsi" w:hAnsiTheme="majorHAnsi"/>
          <w:i/>
          <w:noProof/>
        </w:rPr>
        <w:t>J Neurol.</w:t>
      </w:r>
      <w:r w:rsidRPr="005B3F94">
        <w:rPr>
          <w:rFonts w:asciiTheme="majorHAnsi" w:hAnsiTheme="majorHAnsi"/>
          <w:noProof/>
        </w:rPr>
        <w:t xml:space="preserve"> 2006;</w:t>
      </w:r>
      <w:r w:rsidRPr="00892FF3">
        <w:rPr>
          <w:rFonts w:asciiTheme="majorHAnsi" w:hAnsiTheme="majorHAnsi"/>
          <w:b/>
          <w:noProof/>
        </w:rPr>
        <w:t>253</w:t>
      </w:r>
      <w:r w:rsidRPr="005B3F94">
        <w:rPr>
          <w:rFonts w:asciiTheme="majorHAnsi" w:hAnsiTheme="majorHAnsi"/>
          <w:noProof/>
        </w:rPr>
        <w:t>:98-108.</w:t>
      </w:r>
    </w:p>
    <w:p w14:paraId="4A92372E" w14:textId="22C66C3F" w:rsidR="002976F5" w:rsidRPr="005B3F94" w:rsidRDefault="002976F5">
      <w:pPr>
        <w:pStyle w:val="EndNoteBibliography"/>
        <w:rPr>
          <w:rFonts w:asciiTheme="majorHAnsi" w:hAnsiTheme="majorHAnsi"/>
          <w:noProof/>
        </w:rPr>
      </w:pPr>
      <w:r w:rsidRPr="005B3F94">
        <w:rPr>
          <w:rFonts w:asciiTheme="majorHAnsi" w:hAnsiTheme="majorHAnsi"/>
          <w:noProof/>
        </w:rPr>
        <w:t>6.</w:t>
      </w:r>
      <w:r w:rsidRPr="005B3F94">
        <w:rPr>
          <w:rFonts w:asciiTheme="majorHAnsi" w:hAnsiTheme="majorHAnsi"/>
          <w:noProof/>
        </w:rPr>
        <w:tab/>
        <w:t xml:space="preserve">Trapp BD, Stys PK. Virtual hypoxia and chronic necrosis of demyelinated axons in multiple sclerosis. </w:t>
      </w:r>
      <w:r w:rsidRPr="00892FF3">
        <w:rPr>
          <w:rFonts w:asciiTheme="majorHAnsi" w:hAnsiTheme="majorHAnsi"/>
          <w:i/>
          <w:noProof/>
        </w:rPr>
        <w:t>Lancet Neurol.</w:t>
      </w:r>
      <w:r w:rsidRPr="005B3F94">
        <w:rPr>
          <w:rFonts w:asciiTheme="majorHAnsi" w:hAnsiTheme="majorHAnsi"/>
          <w:noProof/>
        </w:rPr>
        <w:t xml:space="preserve"> 2009;</w:t>
      </w:r>
      <w:r w:rsidRPr="00892FF3">
        <w:rPr>
          <w:rFonts w:asciiTheme="majorHAnsi" w:hAnsiTheme="majorHAnsi"/>
          <w:b/>
          <w:noProof/>
        </w:rPr>
        <w:t>8</w:t>
      </w:r>
      <w:r w:rsidRPr="005B3F94">
        <w:rPr>
          <w:rFonts w:asciiTheme="majorHAnsi" w:hAnsiTheme="majorHAnsi"/>
          <w:noProof/>
        </w:rPr>
        <w:t>:280-91.</w:t>
      </w:r>
    </w:p>
    <w:p w14:paraId="665BC3E3" w14:textId="4E9B65D6" w:rsidR="002976F5" w:rsidRPr="005B3F94" w:rsidRDefault="002976F5">
      <w:pPr>
        <w:pStyle w:val="EndNoteBibliography"/>
        <w:rPr>
          <w:rFonts w:asciiTheme="majorHAnsi" w:hAnsiTheme="majorHAnsi"/>
          <w:noProof/>
        </w:rPr>
      </w:pPr>
      <w:r w:rsidRPr="005B3F94">
        <w:rPr>
          <w:rFonts w:asciiTheme="majorHAnsi" w:hAnsiTheme="majorHAnsi"/>
          <w:noProof/>
        </w:rPr>
        <w:t>7.</w:t>
      </w:r>
      <w:r w:rsidRPr="005B3F94">
        <w:rPr>
          <w:rFonts w:asciiTheme="majorHAnsi" w:hAnsiTheme="majorHAnsi"/>
          <w:noProof/>
        </w:rPr>
        <w:tab/>
        <w:t xml:space="preserve">Craner MJ, Damarjian TG, Liu S, et al. Sodium channels contribute to microglia/macrophage activation and function in EAE and MS. </w:t>
      </w:r>
      <w:r w:rsidRPr="00892FF3">
        <w:rPr>
          <w:rFonts w:asciiTheme="majorHAnsi" w:hAnsiTheme="majorHAnsi"/>
          <w:i/>
          <w:noProof/>
        </w:rPr>
        <w:t xml:space="preserve">Glia. </w:t>
      </w:r>
      <w:r w:rsidRPr="005B3F94">
        <w:rPr>
          <w:rFonts w:asciiTheme="majorHAnsi" w:hAnsiTheme="majorHAnsi"/>
          <w:noProof/>
        </w:rPr>
        <w:t>2005;</w:t>
      </w:r>
      <w:r w:rsidRPr="00892FF3">
        <w:rPr>
          <w:rFonts w:asciiTheme="majorHAnsi" w:hAnsiTheme="majorHAnsi"/>
          <w:b/>
          <w:noProof/>
        </w:rPr>
        <w:t>49</w:t>
      </w:r>
      <w:r w:rsidRPr="005B3F94">
        <w:rPr>
          <w:rFonts w:asciiTheme="majorHAnsi" w:hAnsiTheme="majorHAnsi"/>
          <w:noProof/>
        </w:rPr>
        <w:t>:220-9.</w:t>
      </w:r>
    </w:p>
    <w:p w14:paraId="6976D60C" w14:textId="5F373C81" w:rsidR="002976F5" w:rsidRPr="005B3F94" w:rsidRDefault="002976F5">
      <w:pPr>
        <w:pStyle w:val="EndNoteBibliography"/>
        <w:rPr>
          <w:rFonts w:asciiTheme="majorHAnsi" w:hAnsiTheme="majorHAnsi"/>
          <w:noProof/>
        </w:rPr>
      </w:pPr>
      <w:r w:rsidRPr="005B3F94">
        <w:rPr>
          <w:rFonts w:asciiTheme="majorHAnsi" w:hAnsiTheme="majorHAnsi"/>
          <w:noProof/>
        </w:rPr>
        <w:t>8.</w:t>
      </w:r>
      <w:r w:rsidRPr="005B3F94">
        <w:rPr>
          <w:rFonts w:asciiTheme="majorHAnsi" w:hAnsiTheme="majorHAnsi"/>
          <w:noProof/>
        </w:rPr>
        <w:tab/>
        <w:t xml:space="preserve">Lo AC, Saab CY, Black JA, Waxman SG. Phenytoin protects spinal cord axons and preserves axonal conduction and neurological function in a model of neuroinflammation in vivo. </w:t>
      </w:r>
      <w:r w:rsidRPr="00892FF3">
        <w:rPr>
          <w:rFonts w:asciiTheme="majorHAnsi" w:hAnsiTheme="majorHAnsi"/>
          <w:i/>
          <w:noProof/>
        </w:rPr>
        <w:t>J Neurophysiol.</w:t>
      </w:r>
      <w:r w:rsidRPr="005B3F94">
        <w:rPr>
          <w:rFonts w:asciiTheme="majorHAnsi" w:hAnsiTheme="majorHAnsi"/>
          <w:noProof/>
        </w:rPr>
        <w:t xml:space="preserve"> 2003;</w:t>
      </w:r>
      <w:r w:rsidRPr="00892FF3">
        <w:rPr>
          <w:rFonts w:asciiTheme="majorHAnsi" w:hAnsiTheme="majorHAnsi"/>
          <w:b/>
          <w:noProof/>
        </w:rPr>
        <w:t>90</w:t>
      </w:r>
      <w:r w:rsidRPr="005B3F94">
        <w:rPr>
          <w:rFonts w:asciiTheme="majorHAnsi" w:hAnsiTheme="majorHAnsi"/>
          <w:noProof/>
        </w:rPr>
        <w:t>:3566-71.</w:t>
      </w:r>
    </w:p>
    <w:p w14:paraId="246B4438" w14:textId="77777777" w:rsidR="00990085" w:rsidRDefault="002976F5" w:rsidP="00990085">
      <w:pPr>
        <w:pStyle w:val="EndNoteBibliography"/>
        <w:rPr>
          <w:rFonts w:asciiTheme="majorHAnsi" w:hAnsiTheme="majorHAnsi"/>
          <w:noProof/>
        </w:rPr>
      </w:pPr>
      <w:r w:rsidRPr="005B3F94">
        <w:rPr>
          <w:rFonts w:asciiTheme="majorHAnsi" w:hAnsiTheme="majorHAnsi"/>
          <w:noProof/>
        </w:rPr>
        <w:t>9.</w:t>
      </w:r>
      <w:r w:rsidRPr="005B3F94">
        <w:rPr>
          <w:rFonts w:asciiTheme="majorHAnsi" w:hAnsiTheme="majorHAnsi"/>
          <w:noProof/>
        </w:rPr>
        <w:tab/>
        <w:t xml:space="preserve">Garthwaite G, Goodwin DA, Batchelor AM, Leeming K, Garthwaite J. Nitric oxide toxicity in CNS white matter: an in vitro study using rat optic nerve. </w:t>
      </w:r>
      <w:r w:rsidRPr="00892FF3">
        <w:rPr>
          <w:rFonts w:asciiTheme="majorHAnsi" w:hAnsiTheme="majorHAnsi"/>
          <w:i/>
          <w:noProof/>
        </w:rPr>
        <w:t>Neuroscience.</w:t>
      </w:r>
      <w:r w:rsidRPr="005B3F94">
        <w:rPr>
          <w:rFonts w:asciiTheme="majorHAnsi" w:hAnsiTheme="majorHAnsi"/>
          <w:noProof/>
        </w:rPr>
        <w:t xml:space="preserve"> 2002;</w:t>
      </w:r>
      <w:r w:rsidRPr="00892FF3">
        <w:rPr>
          <w:rFonts w:asciiTheme="majorHAnsi" w:hAnsiTheme="majorHAnsi"/>
          <w:b/>
          <w:noProof/>
        </w:rPr>
        <w:t>109</w:t>
      </w:r>
      <w:r w:rsidRPr="005B3F94">
        <w:rPr>
          <w:rFonts w:asciiTheme="majorHAnsi" w:hAnsiTheme="majorHAnsi"/>
          <w:noProof/>
        </w:rPr>
        <w:t>:145-55.</w:t>
      </w:r>
      <w:r w:rsidR="00990085" w:rsidRPr="00990085">
        <w:rPr>
          <w:rFonts w:asciiTheme="majorHAnsi" w:hAnsiTheme="majorHAnsi"/>
          <w:noProof/>
        </w:rPr>
        <w:t xml:space="preserve"> </w:t>
      </w:r>
    </w:p>
    <w:p w14:paraId="51483F56" w14:textId="78F6FF47" w:rsidR="002976F5" w:rsidRPr="005B3F94" w:rsidRDefault="00990085">
      <w:pPr>
        <w:pStyle w:val="EndNoteBibliography"/>
        <w:rPr>
          <w:rFonts w:asciiTheme="majorHAnsi" w:hAnsiTheme="majorHAnsi"/>
          <w:noProof/>
        </w:rPr>
      </w:pPr>
      <w:r w:rsidRPr="005B3F94">
        <w:rPr>
          <w:rFonts w:asciiTheme="majorHAnsi" w:hAnsiTheme="majorHAnsi"/>
          <w:noProof/>
        </w:rPr>
        <w:t>1</w:t>
      </w:r>
      <w:r>
        <w:rPr>
          <w:rFonts w:asciiTheme="majorHAnsi" w:hAnsiTheme="majorHAnsi"/>
          <w:noProof/>
        </w:rPr>
        <w:t>0</w:t>
      </w:r>
      <w:r w:rsidRPr="005B3F94">
        <w:rPr>
          <w:rFonts w:asciiTheme="majorHAnsi" w:hAnsiTheme="majorHAnsi"/>
          <w:noProof/>
        </w:rPr>
        <w:t>.</w:t>
      </w:r>
      <w:r w:rsidRPr="005B3F94">
        <w:rPr>
          <w:rFonts w:asciiTheme="majorHAnsi" w:hAnsiTheme="majorHAnsi"/>
          <w:noProof/>
        </w:rPr>
        <w:tab/>
        <w:t xml:space="preserve">Al-Izki S, Pryce G, Hankey DJ, et al. Lesional-targeting of neuroprotection to the inflammatory penumbra in experimental multiple sclerosis. </w:t>
      </w:r>
      <w:r w:rsidRPr="00AB5EDF">
        <w:rPr>
          <w:rFonts w:asciiTheme="majorHAnsi" w:hAnsiTheme="majorHAnsi"/>
          <w:i/>
          <w:noProof/>
        </w:rPr>
        <w:t>Brain.</w:t>
      </w:r>
      <w:r w:rsidRPr="005B3F94">
        <w:rPr>
          <w:rFonts w:asciiTheme="majorHAnsi" w:hAnsiTheme="majorHAnsi"/>
          <w:noProof/>
        </w:rPr>
        <w:t xml:space="preserve"> 2014;</w:t>
      </w:r>
      <w:r w:rsidRPr="00AB5EDF">
        <w:rPr>
          <w:rFonts w:asciiTheme="majorHAnsi" w:hAnsiTheme="majorHAnsi"/>
          <w:b/>
          <w:noProof/>
        </w:rPr>
        <w:t>137</w:t>
      </w:r>
      <w:r w:rsidRPr="005B3F94">
        <w:rPr>
          <w:rFonts w:asciiTheme="majorHAnsi" w:hAnsiTheme="majorHAnsi"/>
          <w:noProof/>
        </w:rPr>
        <w:t>:92-108.</w:t>
      </w:r>
    </w:p>
    <w:p w14:paraId="5BB29EBB" w14:textId="03FFD81A" w:rsidR="002976F5" w:rsidRPr="005B3F94" w:rsidRDefault="002976F5">
      <w:pPr>
        <w:pStyle w:val="EndNoteBibliography"/>
        <w:rPr>
          <w:rFonts w:asciiTheme="majorHAnsi" w:hAnsiTheme="majorHAnsi"/>
          <w:noProof/>
        </w:rPr>
      </w:pPr>
      <w:r w:rsidRPr="005B3F94">
        <w:rPr>
          <w:rFonts w:asciiTheme="majorHAnsi" w:hAnsiTheme="majorHAnsi"/>
          <w:noProof/>
        </w:rPr>
        <w:t>11.</w:t>
      </w:r>
      <w:r w:rsidRPr="005B3F94">
        <w:rPr>
          <w:rFonts w:asciiTheme="majorHAnsi" w:hAnsiTheme="majorHAnsi"/>
          <w:noProof/>
        </w:rPr>
        <w:tab/>
        <w:t xml:space="preserve">Yaari Y, Selzer ME, Pincus JH. Phenytoin: mechanisms of its anticonvulsant action. </w:t>
      </w:r>
      <w:r w:rsidRPr="00AB5EDF">
        <w:rPr>
          <w:rFonts w:asciiTheme="majorHAnsi" w:hAnsiTheme="majorHAnsi"/>
          <w:i/>
          <w:noProof/>
        </w:rPr>
        <w:t>Ann Neurol.</w:t>
      </w:r>
      <w:r w:rsidRPr="005B3F94">
        <w:rPr>
          <w:rFonts w:asciiTheme="majorHAnsi" w:hAnsiTheme="majorHAnsi"/>
          <w:noProof/>
        </w:rPr>
        <w:t xml:space="preserve"> 1986;</w:t>
      </w:r>
      <w:r w:rsidRPr="00AB5EDF">
        <w:rPr>
          <w:rFonts w:asciiTheme="majorHAnsi" w:hAnsiTheme="majorHAnsi"/>
          <w:b/>
          <w:noProof/>
        </w:rPr>
        <w:t>20</w:t>
      </w:r>
      <w:r w:rsidRPr="005B3F94">
        <w:rPr>
          <w:rFonts w:asciiTheme="majorHAnsi" w:hAnsiTheme="majorHAnsi"/>
          <w:noProof/>
        </w:rPr>
        <w:t>:171-84.</w:t>
      </w:r>
    </w:p>
    <w:p w14:paraId="4CFB4C54" w14:textId="45028C7A" w:rsidR="002976F5" w:rsidRPr="005B3F94" w:rsidRDefault="002976F5">
      <w:pPr>
        <w:pStyle w:val="EndNoteBibliography"/>
        <w:rPr>
          <w:rFonts w:asciiTheme="majorHAnsi" w:hAnsiTheme="majorHAnsi"/>
          <w:noProof/>
        </w:rPr>
      </w:pPr>
      <w:r w:rsidRPr="005B3F94">
        <w:rPr>
          <w:rFonts w:asciiTheme="majorHAnsi" w:hAnsiTheme="majorHAnsi"/>
          <w:noProof/>
        </w:rPr>
        <w:t>1</w:t>
      </w:r>
      <w:r w:rsidR="00966A86">
        <w:rPr>
          <w:rFonts w:asciiTheme="majorHAnsi" w:hAnsiTheme="majorHAnsi"/>
          <w:noProof/>
        </w:rPr>
        <w:t>2</w:t>
      </w:r>
      <w:r w:rsidRPr="005B3F94">
        <w:rPr>
          <w:rFonts w:asciiTheme="majorHAnsi" w:hAnsiTheme="majorHAnsi"/>
          <w:noProof/>
        </w:rPr>
        <w:t>.</w:t>
      </w:r>
      <w:r w:rsidRPr="005B3F94">
        <w:rPr>
          <w:rFonts w:asciiTheme="majorHAnsi" w:hAnsiTheme="majorHAnsi"/>
          <w:noProof/>
        </w:rPr>
        <w:tab/>
      </w:r>
      <w:r w:rsidR="009A2FA1">
        <w:rPr>
          <w:rStyle w:val="PageNumber"/>
          <w:rFonts w:ascii="Calibri" w:eastAsia="Calibri" w:hAnsi="Calibri" w:cs="Calibri"/>
        </w:rPr>
        <w:t xml:space="preserve">Hickman SJ, Toosy AT, </w:t>
      </w:r>
      <w:proofErr w:type="spellStart"/>
      <w:r w:rsidR="009A2FA1">
        <w:rPr>
          <w:rStyle w:val="PageNumber"/>
          <w:rFonts w:ascii="Calibri" w:eastAsia="Calibri" w:hAnsi="Calibri" w:cs="Calibri"/>
        </w:rPr>
        <w:t>Miszkiel</w:t>
      </w:r>
      <w:proofErr w:type="spellEnd"/>
      <w:r w:rsidR="009A2FA1">
        <w:rPr>
          <w:rStyle w:val="PageNumber"/>
          <w:rFonts w:ascii="Calibri" w:eastAsia="Calibri" w:hAnsi="Calibri" w:cs="Calibri"/>
        </w:rPr>
        <w:t xml:space="preserve"> KA, et al.  Visual recovery following acute optic neuritis: A clinical, electrophysiological and magnetic resonance imaging study.   J </w:t>
      </w:r>
      <w:proofErr w:type="spellStart"/>
      <w:r w:rsidR="009A2FA1">
        <w:rPr>
          <w:rStyle w:val="PageNumber"/>
          <w:rFonts w:ascii="Calibri" w:eastAsia="Calibri" w:hAnsi="Calibri" w:cs="Calibri"/>
        </w:rPr>
        <w:t>Neurol</w:t>
      </w:r>
      <w:proofErr w:type="spellEnd"/>
      <w:r w:rsidR="009A2FA1">
        <w:rPr>
          <w:rStyle w:val="PageNumber"/>
          <w:rFonts w:ascii="Calibri" w:eastAsia="Calibri" w:hAnsi="Calibri" w:cs="Calibri"/>
        </w:rPr>
        <w:t xml:space="preserve"> 2004</w:t>
      </w:r>
      <w:proofErr w:type="gramStart"/>
      <w:r w:rsidR="009A2FA1">
        <w:rPr>
          <w:rStyle w:val="PageNumber"/>
          <w:rFonts w:ascii="Calibri" w:eastAsia="Calibri" w:hAnsi="Calibri" w:cs="Calibri"/>
        </w:rPr>
        <w:t>;</w:t>
      </w:r>
      <w:r w:rsidR="009A2FA1">
        <w:rPr>
          <w:rStyle w:val="PageNumber"/>
          <w:rFonts w:ascii="Calibri" w:eastAsia="Calibri" w:hAnsi="Calibri" w:cs="Calibri"/>
          <w:b/>
          <w:bCs/>
        </w:rPr>
        <w:t>251</w:t>
      </w:r>
      <w:r w:rsidR="009A2FA1">
        <w:rPr>
          <w:rStyle w:val="PageNumber"/>
          <w:rFonts w:ascii="Calibri" w:eastAsia="Calibri" w:hAnsi="Calibri" w:cs="Calibri"/>
        </w:rPr>
        <w:t>:996</w:t>
      </w:r>
      <w:proofErr w:type="gramEnd"/>
      <w:r w:rsidR="009A2FA1">
        <w:rPr>
          <w:rStyle w:val="PageNumber"/>
          <w:rFonts w:ascii="Calibri" w:eastAsia="Calibri" w:hAnsi="Calibri" w:cs="Calibri"/>
        </w:rPr>
        <w:t>-1005.</w:t>
      </w:r>
    </w:p>
    <w:p w14:paraId="5FAC206F" w14:textId="4E1031D2" w:rsidR="002976F5" w:rsidRPr="005B3F94" w:rsidRDefault="002976F5">
      <w:pPr>
        <w:pStyle w:val="EndNoteBibliography"/>
        <w:rPr>
          <w:rFonts w:asciiTheme="majorHAnsi" w:hAnsiTheme="majorHAnsi"/>
          <w:noProof/>
        </w:rPr>
      </w:pPr>
      <w:r w:rsidRPr="005B3F94">
        <w:rPr>
          <w:rFonts w:asciiTheme="majorHAnsi" w:hAnsiTheme="majorHAnsi"/>
          <w:noProof/>
        </w:rPr>
        <w:t>1</w:t>
      </w:r>
      <w:r w:rsidR="00966A86">
        <w:rPr>
          <w:rFonts w:asciiTheme="majorHAnsi" w:hAnsiTheme="majorHAnsi"/>
          <w:noProof/>
        </w:rPr>
        <w:t>3</w:t>
      </w:r>
      <w:r w:rsidRPr="005B3F94">
        <w:rPr>
          <w:rFonts w:asciiTheme="majorHAnsi" w:hAnsiTheme="majorHAnsi"/>
          <w:noProof/>
        </w:rPr>
        <w:t>.</w:t>
      </w:r>
      <w:r w:rsidRPr="005B3F94">
        <w:rPr>
          <w:rFonts w:asciiTheme="majorHAnsi" w:hAnsiTheme="majorHAnsi"/>
          <w:noProof/>
        </w:rPr>
        <w:tab/>
        <w:t xml:space="preserve">Balcer LJ, Miller DH, Reingold SC, Cohen JA. Vision and vision-related outcome measures in multiple sclerosis. </w:t>
      </w:r>
      <w:r w:rsidRPr="00AB5EDF">
        <w:rPr>
          <w:rFonts w:asciiTheme="majorHAnsi" w:hAnsiTheme="majorHAnsi"/>
          <w:i/>
          <w:noProof/>
        </w:rPr>
        <w:t>Brain.</w:t>
      </w:r>
      <w:r w:rsidRPr="005B3F94">
        <w:rPr>
          <w:rFonts w:asciiTheme="majorHAnsi" w:hAnsiTheme="majorHAnsi"/>
          <w:noProof/>
        </w:rPr>
        <w:t xml:space="preserve"> 2015;</w:t>
      </w:r>
      <w:r w:rsidRPr="00AB5EDF">
        <w:rPr>
          <w:rFonts w:asciiTheme="majorHAnsi" w:hAnsiTheme="majorHAnsi"/>
          <w:b/>
          <w:noProof/>
        </w:rPr>
        <w:t>138</w:t>
      </w:r>
      <w:r w:rsidRPr="005B3F94">
        <w:rPr>
          <w:rFonts w:asciiTheme="majorHAnsi" w:hAnsiTheme="majorHAnsi"/>
          <w:noProof/>
        </w:rPr>
        <w:t>:11-27.</w:t>
      </w:r>
    </w:p>
    <w:p w14:paraId="69652E12" w14:textId="5E54207A" w:rsidR="002976F5" w:rsidRDefault="002976F5">
      <w:pPr>
        <w:pStyle w:val="EndNoteBibliography"/>
        <w:rPr>
          <w:rFonts w:asciiTheme="majorHAnsi" w:hAnsiTheme="majorHAnsi"/>
          <w:noProof/>
        </w:rPr>
      </w:pPr>
      <w:r w:rsidRPr="005B3F94">
        <w:rPr>
          <w:rFonts w:asciiTheme="majorHAnsi" w:hAnsiTheme="majorHAnsi"/>
          <w:noProof/>
        </w:rPr>
        <w:t>1</w:t>
      </w:r>
      <w:r w:rsidR="00966A86">
        <w:rPr>
          <w:rFonts w:asciiTheme="majorHAnsi" w:hAnsiTheme="majorHAnsi"/>
          <w:noProof/>
        </w:rPr>
        <w:t>4</w:t>
      </w:r>
      <w:r w:rsidRPr="005B3F94">
        <w:rPr>
          <w:rFonts w:asciiTheme="majorHAnsi" w:hAnsiTheme="majorHAnsi"/>
          <w:noProof/>
        </w:rPr>
        <w:t>.</w:t>
      </w:r>
      <w:r w:rsidRPr="005B3F94">
        <w:rPr>
          <w:rFonts w:asciiTheme="majorHAnsi" w:hAnsiTheme="majorHAnsi"/>
          <w:noProof/>
        </w:rPr>
        <w:tab/>
        <w:t xml:space="preserve">Petzold A, de Boer JF, Schippling S, et al. Optical coherence tomography in multiple sclerosis: a systematic review and meta-analysis. </w:t>
      </w:r>
      <w:r w:rsidRPr="00AB5EDF">
        <w:rPr>
          <w:rFonts w:asciiTheme="majorHAnsi" w:hAnsiTheme="majorHAnsi"/>
          <w:i/>
          <w:noProof/>
        </w:rPr>
        <w:t>Lancet Neurol.</w:t>
      </w:r>
      <w:r w:rsidRPr="005B3F94">
        <w:rPr>
          <w:rFonts w:asciiTheme="majorHAnsi" w:hAnsiTheme="majorHAnsi"/>
          <w:noProof/>
        </w:rPr>
        <w:t xml:space="preserve"> 2010;</w:t>
      </w:r>
      <w:r w:rsidRPr="00AB5EDF">
        <w:rPr>
          <w:rFonts w:asciiTheme="majorHAnsi" w:hAnsiTheme="majorHAnsi"/>
          <w:b/>
          <w:noProof/>
        </w:rPr>
        <w:t>9</w:t>
      </w:r>
      <w:r w:rsidRPr="005B3F94">
        <w:rPr>
          <w:rFonts w:asciiTheme="majorHAnsi" w:hAnsiTheme="majorHAnsi"/>
          <w:noProof/>
        </w:rPr>
        <w:t>:921-32.</w:t>
      </w:r>
    </w:p>
    <w:p w14:paraId="3FAB279D" w14:textId="5F823277" w:rsidR="00B82403" w:rsidRPr="005B3F94" w:rsidRDefault="00E44756">
      <w:pPr>
        <w:pStyle w:val="EndNoteBibliography"/>
        <w:rPr>
          <w:rFonts w:asciiTheme="majorHAnsi" w:hAnsiTheme="majorHAnsi"/>
          <w:noProof/>
        </w:rPr>
      </w:pPr>
      <w:r w:rsidRPr="00E44756">
        <w:rPr>
          <w:rFonts w:asciiTheme="majorHAnsi" w:hAnsiTheme="majorHAnsi"/>
          <w:noProof/>
        </w:rPr>
        <w:t>15.</w:t>
      </w:r>
      <w:r w:rsidR="00B82403">
        <w:rPr>
          <w:rFonts w:asciiTheme="majorHAnsi" w:hAnsiTheme="majorHAnsi"/>
          <w:noProof/>
        </w:rPr>
        <w:tab/>
        <w:t>Burton JM, O’Connor PW, Hohol M, Beyene J. Oral versus intravenous steroids for treatmet of relapses in multiple sclerosis (Review)</w:t>
      </w:r>
      <w:r w:rsidR="008E42A1">
        <w:rPr>
          <w:rFonts w:asciiTheme="majorHAnsi" w:hAnsiTheme="majorHAnsi"/>
          <w:noProof/>
        </w:rPr>
        <w:t xml:space="preserve">. </w:t>
      </w:r>
      <w:r w:rsidR="008E42A1" w:rsidRPr="001256AC">
        <w:rPr>
          <w:rFonts w:asciiTheme="majorHAnsi" w:hAnsiTheme="majorHAnsi"/>
          <w:i/>
          <w:noProof/>
        </w:rPr>
        <w:t>Cochrane Database of Systematic Reviews</w:t>
      </w:r>
      <w:r w:rsidR="008E42A1">
        <w:rPr>
          <w:rFonts w:asciiTheme="majorHAnsi" w:hAnsiTheme="majorHAnsi"/>
          <w:noProof/>
        </w:rPr>
        <w:t xml:space="preserve">. 2012; </w:t>
      </w:r>
      <w:r w:rsidR="008E42A1" w:rsidRPr="001256AC">
        <w:rPr>
          <w:rFonts w:asciiTheme="majorHAnsi" w:hAnsiTheme="majorHAnsi"/>
          <w:b/>
          <w:noProof/>
        </w:rPr>
        <w:t>12</w:t>
      </w:r>
      <w:r w:rsidR="008E42A1">
        <w:rPr>
          <w:rFonts w:asciiTheme="majorHAnsi" w:hAnsiTheme="majorHAnsi"/>
          <w:noProof/>
        </w:rPr>
        <w:t>: CD006921.</w:t>
      </w:r>
    </w:p>
    <w:p w14:paraId="70310CD4" w14:textId="55B46710" w:rsidR="00AF56CA" w:rsidRPr="005B3F94" w:rsidRDefault="002976F5">
      <w:pPr>
        <w:pStyle w:val="EndNoteBibliography"/>
        <w:rPr>
          <w:rFonts w:asciiTheme="majorHAnsi" w:hAnsiTheme="majorHAnsi"/>
          <w:noProof/>
        </w:rPr>
      </w:pPr>
      <w:r w:rsidRPr="005B3F94">
        <w:rPr>
          <w:rFonts w:asciiTheme="majorHAnsi" w:hAnsiTheme="majorHAnsi"/>
          <w:noProof/>
        </w:rPr>
        <w:t>1</w:t>
      </w:r>
      <w:r w:rsidR="00827117">
        <w:rPr>
          <w:rFonts w:asciiTheme="majorHAnsi" w:hAnsiTheme="majorHAnsi"/>
          <w:noProof/>
        </w:rPr>
        <w:t>6</w:t>
      </w:r>
      <w:r w:rsidRPr="005B3F94">
        <w:rPr>
          <w:rFonts w:asciiTheme="majorHAnsi" w:hAnsiTheme="majorHAnsi"/>
          <w:noProof/>
        </w:rPr>
        <w:t>.</w:t>
      </w:r>
      <w:r w:rsidRPr="005B3F94">
        <w:rPr>
          <w:rFonts w:asciiTheme="majorHAnsi" w:hAnsiTheme="majorHAnsi"/>
          <w:noProof/>
        </w:rPr>
        <w:tab/>
        <w:t xml:space="preserve">Kapoor R, Furby J, Hayton T, et al. Lamotrigine for neuroprotection in secondary progressive multiple sclerosis: a randomised, double-blind, placebo-controlled, parallel-group trial. </w:t>
      </w:r>
      <w:r w:rsidRPr="00AB5EDF">
        <w:rPr>
          <w:rFonts w:asciiTheme="majorHAnsi" w:hAnsiTheme="majorHAnsi"/>
          <w:i/>
          <w:noProof/>
        </w:rPr>
        <w:t>Lancet Neurol.</w:t>
      </w:r>
      <w:r w:rsidRPr="005B3F94">
        <w:rPr>
          <w:rFonts w:asciiTheme="majorHAnsi" w:hAnsiTheme="majorHAnsi"/>
          <w:noProof/>
        </w:rPr>
        <w:t xml:space="preserve"> 2010;</w:t>
      </w:r>
      <w:r w:rsidR="00AB5EDF">
        <w:rPr>
          <w:rFonts w:asciiTheme="majorHAnsi" w:hAnsiTheme="majorHAnsi"/>
          <w:b/>
          <w:noProof/>
        </w:rPr>
        <w:t>9</w:t>
      </w:r>
      <w:r w:rsidRPr="005B3F94">
        <w:rPr>
          <w:rFonts w:asciiTheme="majorHAnsi" w:hAnsiTheme="majorHAnsi"/>
          <w:noProof/>
        </w:rPr>
        <w:t>:681-8.</w:t>
      </w:r>
    </w:p>
    <w:p w14:paraId="5C68DBF5" w14:textId="04E2A363" w:rsidR="00AF56CA" w:rsidRPr="005B3F94" w:rsidRDefault="00AF56CA" w:rsidP="0004641F">
      <w:pPr>
        <w:pStyle w:val="EndNoteBibliography"/>
        <w:rPr>
          <w:rFonts w:asciiTheme="majorHAnsi" w:hAnsiTheme="majorHAnsi"/>
          <w:noProof/>
        </w:rPr>
      </w:pPr>
      <w:r w:rsidRPr="005B3F94">
        <w:rPr>
          <w:rFonts w:asciiTheme="majorHAnsi" w:hAnsiTheme="majorHAnsi"/>
        </w:rPr>
        <w:fldChar w:fldCharType="begin"/>
      </w:r>
      <w:r w:rsidRPr="005B3F94">
        <w:rPr>
          <w:rFonts w:asciiTheme="majorHAnsi" w:hAnsiTheme="majorHAnsi"/>
        </w:rPr>
        <w:instrText xml:space="preserve"> ADDIN EN.REFLIST </w:instrText>
      </w:r>
      <w:r w:rsidRPr="005B3F94">
        <w:rPr>
          <w:rFonts w:asciiTheme="majorHAnsi" w:hAnsiTheme="majorHAnsi"/>
        </w:rPr>
        <w:fldChar w:fldCharType="separate"/>
      </w:r>
      <w:r w:rsidRPr="005B3F94">
        <w:rPr>
          <w:rFonts w:asciiTheme="majorHAnsi" w:hAnsiTheme="majorHAnsi"/>
          <w:noProof/>
        </w:rPr>
        <w:t>1</w:t>
      </w:r>
      <w:r w:rsidR="00827117">
        <w:rPr>
          <w:rFonts w:asciiTheme="majorHAnsi" w:hAnsiTheme="majorHAnsi"/>
          <w:noProof/>
        </w:rPr>
        <w:t>7</w:t>
      </w:r>
      <w:r w:rsidRPr="005B3F94">
        <w:rPr>
          <w:rFonts w:asciiTheme="majorHAnsi" w:hAnsiTheme="majorHAnsi"/>
          <w:noProof/>
        </w:rPr>
        <w:t>.</w:t>
      </w:r>
      <w:r w:rsidRPr="005B3F94">
        <w:rPr>
          <w:rFonts w:asciiTheme="majorHAnsi" w:hAnsiTheme="majorHAnsi"/>
          <w:noProof/>
        </w:rPr>
        <w:tab/>
        <w:t xml:space="preserve">Schippling S, Balk LJ, Costello F, et al. Quality control for retinal OCT in multiple sclerosis: validation of the OSCAR-IB criteria. </w:t>
      </w:r>
      <w:r w:rsidRPr="00A80FD3">
        <w:rPr>
          <w:rFonts w:asciiTheme="majorHAnsi" w:hAnsiTheme="majorHAnsi"/>
          <w:i/>
          <w:noProof/>
        </w:rPr>
        <w:t>Mult Scler.</w:t>
      </w:r>
      <w:r w:rsidRPr="005B3F94">
        <w:rPr>
          <w:rFonts w:asciiTheme="majorHAnsi" w:hAnsiTheme="majorHAnsi"/>
          <w:noProof/>
        </w:rPr>
        <w:t xml:space="preserve"> 2015;</w:t>
      </w:r>
      <w:r w:rsidRPr="00A80FD3">
        <w:rPr>
          <w:rFonts w:asciiTheme="majorHAnsi" w:hAnsiTheme="majorHAnsi"/>
          <w:b/>
          <w:noProof/>
        </w:rPr>
        <w:t>21</w:t>
      </w:r>
      <w:r w:rsidRPr="005B3F94">
        <w:rPr>
          <w:rFonts w:asciiTheme="majorHAnsi" w:hAnsiTheme="majorHAnsi"/>
          <w:noProof/>
        </w:rPr>
        <w:t>:163-70.</w:t>
      </w:r>
    </w:p>
    <w:p w14:paraId="35356D05" w14:textId="50B4B59A" w:rsidR="00AF56CA" w:rsidRPr="005B3F94" w:rsidRDefault="00AF56CA" w:rsidP="0004641F">
      <w:pPr>
        <w:pStyle w:val="EndNoteBibliography"/>
        <w:rPr>
          <w:rFonts w:asciiTheme="majorHAnsi" w:hAnsiTheme="majorHAnsi"/>
          <w:noProof/>
        </w:rPr>
      </w:pPr>
      <w:r w:rsidRPr="005B3F94">
        <w:rPr>
          <w:rFonts w:asciiTheme="majorHAnsi" w:hAnsiTheme="majorHAnsi"/>
          <w:noProof/>
        </w:rPr>
        <w:lastRenderedPageBreak/>
        <w:t>1</w:t>
      </w:r>
      <w:r w:rsidR="00827117">
        <w:rPr>
          <w:rFonts w:asciiTheme="majorHAnsi" w:hAnsiTheme="majorHAnsi"/>
          <w:noProof/>
        </w:rPr>
        <w:t>8</w:t>
      </w:r>
      <w:r w:rsidRPr="005B3F94">
        <w:rPr>
          <w:rFonts w:asciiTheme="majorHAnsi" w:hAnsiTheme="majorHAnsi"/>
          <w:noProof/>
        </w:rPr>
        <w:t>.</w:t>
      </w:r>
      <w:r w:rsidRPr="005B3F94">
        <w:rPr>
          <w:rFonts w:asciiTheme="majorHAnsi" w:hAnsiTheme="majorHAnsi"/>
          <w:noProof/>
        </w:rPr>
        <w:tab/>
        <w:t xml:space="preserve">Yiannakas MC, Toosy AT, Raftopoulos RE, Kapoor R, Miller DH, Wheeler-Kingshott CA. MRI acquisition and analysis protocol for in vivo intraorbital optic nerve segmentation at 3T. </w:t>
      </w:r>
      <w:r w:rsidRPr="00CE088B">
        <w:rPr>
          <w:rFonts w:asciiTheme="majorHAnsi" w:hAnsiTheme="majorHAnsi"/>
          <w:i/>
          <w:noProof/>
        </w:rPr>
        <w:t>Invest Ophthalmol Vis Sci.</w:t>
      </w:r>
      <w:r w:rsidRPr="005B3F94">
        <w:rPr>
          <w:rFonts w:asciiTheme="majorHAnsi" w:hAnsiTheme="majorHAnsi"/>
          <w:noProof/>
        </w:rPr>
        <w:t xml:space="preserve"> 2013;</w:t>
      </w:r>
      <w:r w:rsidRPr="00CE088B">
        <w:rPr>
          <w:rFonts w:asciiTheme="majorHAnsi" w:hAnsiTheme="majorHAnsi"/>
          <w:b/>
          <w:noProof/>
        </w:rPr>
        <w:t>54</w:t>
      </w:r>
      <w:r w:rsidRPr="005B3F94">
        <w:rPr>
          <w:rFonts w:asciiTheme="majorHAnsi" w:hAnsiTheme="majorHAnsi"/>
          <w:noProof/>
        </w:rPr>
        <w:t>:4235-40.</w:t>
      </w:r>
      <w:r w:rsidRPr="005B3F94">
        <w:rPr>
          <w:rFonts w:asciiTheme="majorHAnsi" w:hAnsiTheme="majorHAnsi"/>
          <w:noProof/>
        </w:rPr>
        <w:tab/>
      </w:r>
    </w:p>
    <w:p w14:paraId="7214C761" w14:textId="3FA7A532" w:rsidR="00022CC3" w:rsidRPr="00990085" w:rsidRDefault="00AF56CA" w:rsidP="00022CC3">
      <w:pPr>
        <w:widowControl w:val="0"/>
        <w:autoSpaceDE w:val="0"/>
        <w:autoSpaceDN w:val="0"/>
        <w:adjustRightInd w:val="0"/>
        <w:rPr>
          <w:rFonts w:asciiTheme="majorHAnsi" w:hAnsiTheme="majorHAnsi"/>
        </w:rPr>
      </w:pPr>
      <w:r w:rsidRPr="005B3F94">
        <w:rPr>
          <w:rFonts w:asciiTheme="majorHAnsi" w:hAnsiTheme="majorHAnsi"/>
        </w:rPr>
        <w:fldChar w:fldCharType="end"/>
      </w:r>
      <w:r w:rsidR="00990085">
        <w:rPr>
          <w:rFonts w:asciiTheme="majorHAnsi" w:hAnsiTheme="majorHAnsi"/>
          <w:noProof/>
        </w:rPr>
        <w:t>1</w:t>
      </w:r>
      <w:r w:rsidR="00827117">
        <w:rPr>
          <w:rFonts w:asciiTheme="majorHAnsi" w:hAnsiTheme="majorHAnsi"/>
          <w:noProof/>
        </w:rPr>
        <w:t>9</w:t>
      </w:r>
      <w:r w:rsidR="002976F5" w:rsidRPr="005B3F94">
        <w:rPr>
          <w:rFonts w:asciiTheme="majorHAnsi" w:hAnsiTheme="majorHAnsi"/>
          <w:noProof/>
        </w:rPr>
        <w:t>.</w:t>
      </w:r>
      <w:r w:rsidR="002976F5" w:rsidRPr="005B3F94">
        <w:rPr>
          <w:rFonts w:asciiTheme="majorHAnsi" w:hAnsiTheme="majorHAnsi"/>
          <w:noProof/>
        </w:rPr>
        <w:tab/>
      </w:r>
      <w:r w:rsidR="002976F5" w:rsidRPr="00990085">
        <w:rPr>
          <w:rFonts w:asciiTheme="majorHAnsi" w:hAnsiTheme="majorHAnsi"/>
          <w:noProof/>
        </w:rPr>
        <w:t xml:space="preserve">Henderson AP, Altmann DR, Trip AS, et al. A serial study of retinal changes following optic neuritis with sample size estimates for acute neuroprotection trials. </w:t>
      </w:r>
      <w:r w:rsidR="002976F5" w:rsidRPr="00990085">
        <w:rPr>
          <w:rFonts w:asciiTheme="majorHAnsi" w:hAnsiTheme="majorHAnsi"/>
          <w:i/>
          <w:noProof/>
        </w:rPr>
        <w:t>Brain.</w:t>
      </w:r>
      <w:r w:rsidR="002976F5" w:rsidRPr="00990085">
        <w:rPr>
          <w:rFonts w:asciiTheme="majorHAnsi" w:hAnsiTheme="majorHAnsi"/>
          <w:noProof/>
        </w:rPr>
        <w:t xml:space="preserve"> 2010;</w:t>
      </w:r>
      <w:r w:rsidR="002976F5" w:rsidRPr="00990085">
        <w:rPr>
          <w:rFonts w:asciiTheme="majorHAnsi" w:hAnsiTheme="majorHAnsi"/>
          <w:b/>
          <w:noProof/>
        </w:rPr>
        <w:t>133</w:t>
      </w:r>
      <w:r w:rsidR="002976F5" w:rsidRPr="00990085">
        <w:rPr>
          <w:rFonts w:asciiTheme="majorHAnsi" w:hAnsiTheme="majorHAnsi"/>
          <w:noProof/>
        </w:rPr>
        <w:t>:2592-602.</w:t>
      </w:r>
      <w:r w:rsidR="00022CC3" w:rsidRPr="00990085">
        <w:rPr>
          <w:rFonts w:asciiTheme="majorHAnsi" w:hAnsiTheme="majorHAnsi"/>
        </w:rPr>
        <w:t xml:space="preserve"> </w:t>
      </w:r>
    </w:p>
    <w:p w14:paraId="7629B6E5" w14:textId="1D79373F" w:rsidR="00082631" w:rsidRDefault="00022CC3" w:rsidP="00082631">
      <w:pPr>
        <w:pStyle w:val="EndNoteBibliography"/>
        <w:pBdr>
          <w:top w:val="nil"/>
        </w:pBdr>
        <w:rPr>
          <w:rFonts w:asciiTheme="majorHAnsi" w:hAnsiTheme="majorHAnsi"/>
          <w:noProof/>
        </w:rPr>
      </w:pPr>
      <w:r w:rsidRPr="00990085">
        <w:rPr>
          <w:rFonts w:asciiTheme="majorHAnsi" w:hAnsiTheme="majorHAnsi"/>
        </w:rPr>
        <w:fldChar w:fldCharType="begin"/>
      </w:r>
      <w:r w:rsidRPr="00990085">
        <w:rPr>
          <w:rFonts w:asciiTheme="majorHAnsi" w:hAnsiTheme="majorHAnsi"/>
        </w:rPr>
        <w:instrText xml:space="preserve"> ADDIN EN.REFLIST </w:instrText>
      </w:r>
      <w:r w:rsidRPr="00990085">
        <w:rPr>
          <w:rFonts w:asciiTheme="majorHAnsi" w:hAnsiTheme="majorHAnsi"/>
        </w:rPr>
        <w:fldChar w:fldCharType="separate"/>
      </w:r>
      <w:r w:rsidR="00827117">
        <w:rPr>
          <w:rFonts w:asciiTheme="majorHAnsi" w:hAnsiTheme="majorHAnsi"/>
          <w:noProof/>
        </w:rPr>
        <w:t>20</w:t>
      </w:r>
      <w:r w:rsidR="009740E8" w:rsidRPr="00990085">
        <w:rPr>
          <w:rFonts w:asciiTheme="majorHAnsi" w:hAnsiTheme="majorHAnsi"/>
          <w:noProof/>
        </w:rPr>
        <w:t>.</w:t>
      </w:r>
      <w:r w:rsidR="009740E8" w:rsidRPr="00990085">
        <w:rPr>
          <w:rFonts w:asciiTheme="majorHAnsi" w:hAnsiTheme="majorHAnsi"/>
          <w:noProof/>
        </w:rPr>
        <w:tab/>
        <w:t xml:space="preserve">Costello F, Coupland S, Hodge W, et al. Quantifying axonal loss after optic neuritis with optical coherence tomography. </w:t>
      </w:r>
      <w:r w:rsidR="009740E8" w:rsidRPr="00990085">
        <w:rPr>
          <w:rFonts w:asciiTheme="majorHAnsi" w:hAnsiTheme="majorHAnsi"/>
          <w:i/>
          <w:noProof/>
        </w:rPr>
        <w:t>Ann Neurol.</w:t>
      </w:r>
      <w:r w:rsidR="009740E8" w:rsidRPr="00990085">
        <w:rPr>
          <w:rFonts w:asciiTheme="majorHAnsi" w:hAnsiTheme="majorHAnsi"/>
          <w:noProof/>
        </w:rPr>
        <w:t xml:space="preserve"> 2006;</w:t>
      </w:r>
      <w:r w:rsidR="009740E8" w:rsidRPr="00990085">
        <w:rPr>
          <w:rFonts w:asciiTheme="majorHAnsi" w:hAnsiTheme="majorHAnsi"/>
          <w:b/>
          <w:noProof/>
        </w:rPr>
        <w:t>59</w:t>
      </w:r>
      <w:r w:rsidR="009740E8" w:rsidRPr="00990085">
        <w:rPr>
          <w:rFonts w:asciiTheme="majorHAnsi" w:hAnsiTheme="majorHAnsi"/>
          <w:noProof/>
        </w:rPr>
        <w:t>:963-9.</w:t>
      </w:r>
      <w:r w:rsidR="009740E8" w:rsidRPr="00990085">
        <w:rPr>
          <w:rFonts w:asciiTheme="majorHAnsi" w:hAnsiTheme="majorHAnsi"/>
          <w:noProof/>
        </w:rPr>
        <w:tab/>
      </w:r>
    </w:p>
    <w:p w14:paraId="6066603B" w14:textId="4E493BAF" w:rsidR="00022CC3" w:rsidRDefault="00082631" w:rsidP="00082631">
      <w:pPr>
        <w:pStyle w:val="EndNoteBibliography"/>
        <w:pBdr>
          <w:top w:val="nil"/>
        </w:pBdr>
        <w:rPr>
          <w:rFonts w:asciiTheme="majorHAnsi" w:hAnsiTheme="majorHAnsi"/>
          <w:noProof/>
        </w:rPr>
      </w:pPr>
      <w:r w:rsidRPr="00990085">
        <w:rPr>
          <w:rFonts w:asciiTheme="majorHAnsi" w:hAnsiTheme="majorHAnsi"/>
          <w:noProof/>
        </w:rPr>
        <w:t>2</w:t>
      </w:r>
      <w:r w:rsidR="00827117">
        <w:rPr>
          <w:rFonts w:asciiTheme="majorHAnsi" w:hAnsiTheme="majorHAnsi"/>
          <w:noProof/>
        </w:rPr>
        <w:t>1</w:t>
      </w:r>
      <w:r w:rsidRPr="00990085">
        <w:rPr>
          <w:rFonts w:asciiTheme="majorHAnsi" w:hAnsiTheme="majorHAnsi"/>
          <w:noProof/>
        </w:rPr>
        <w:t>.</w:t>
      </w:r>
      <w:r w:rsidRPr="00990085">
        <w:rPr>
          <w:rFonts w:asciiTheme="majorHAnsi" w:hAnsiTheme="majorHAnsi"/>
          <w:noProof/>
        </w:rPr>
        <w:tab/>
        <w:t xml:space="preserve">Costello F, Hodge W, Pan YI, Eggenberger E, Coupland S, Kardon RH. Tracking retinal nerve fibre layer loss after optic neuritis: a prospective study using optical coherence tomography. </w:t>
      </w:r>
      <w:r w:rsidRPr="00990085">
        <w:rPr>
          <w:rFonts w:asciiTheme="majorHAnsi" w:hAnsiTheme="majorHAnsi"/>
          <w:i/>
          <w:noProof/>
        </w:rPr>
        <w:t>Mult Scler</w:t>
      </w:r>
      <w:r w:rsidRPr="00990085">
        <w:rPr>
          <w:rFonts w:asciiTheme="majorHAnsi" w:hAnsiTheme="majorHAnsi"/>
          <w:noProof/>
        </w:rPr>
        <w:t>. 2008;</w:t>
      </w:r>
      <w:r w:rsidRPr="00990085">
        <w:rPr>
          <w:rFonts w:asciiTheme="majorHAnsi" w:hAnsiTheme="majorHAnsi"/>
          <w:b/>
          <w:noProof/>
        </w:rPr>
        <w:t>14</w:t>
      </w:r>
      <w:r w:rsidRPr="00990085">
        <w:rPr>
          <w:rFonts w:asciiTheme="majorHAnsi" w:hAnsiTheme="majorHAnsi"/>
          <w:noProof/>
        </w:rPr>
        <w:t>:893-905.</w:t>
      </w:r>
    </w:p>
    <w:p w14:paraId="27B21289" w14:textId="47EFC5D0" w:rsidR="00E32D74" w:rsidRPr="00E32D74" w:rsidRDefault="000867E2" w:rsidP="00082631">
      <w:pPr>
        <w:pStyle w:val="EndNoteBibliography"/>
        <w:pBdr>
          <w:top w:val="nil"/>
        </w:pBdr>
        <w:rPr>
          <w:rFonts w:asciiTheme="majorHAnsi" w:hAnsiTheme="majorHAnsi"/>
          <w:noProof/>
        </w:rPr>
      </w:pPr>
      <w:r w:rsidRPr="001256AC">
        <w:rPr>
          <w:rFonts w:asciiTheme="majorHAnsi" w:eastAsia="Calibri" w:hAnsiTheme="majorHAnsi"/>
        </w:rPr>
        <w:t>22</w:t>
      </w:r>
      <w:r w:rsidR="00E44756" w:rsidRPr="001256AC">
        <w:rPr>
          <w:rFonts w:asciiTheme="majorHAnsi" w:eastAsia="Calibri" w:hAnsiTheme="majorHAnsi"/>
        </w:rPr>
        <w:t>.</w:t>
      </w:r>
      <w:r w:rsidR="00E32D74">
        <w:rPr>
          <w:rFonts w:eastAsia="Calibri"/>
        </w:rPr>
        <w:tab/>
      </w:r>
      <w:r w:rsidR="00E32D74" w:rsidRPr="001256AC">
        <w:rPr>
          <w:rFonts w:asciiTheme="majorHAnsi" w:eastAsia="Calibri" w:hAnsiTheme="majorHAnsi"/>
        </w:rPr>
        <w:t>Kitley J, Woodhall M, Waters P, et al.  Myelin-oligodendrocyte glycoprotein antibodies in adults with a neuromyelitis optica ph</w:t>
      </w:r>
      <w:r w:rsidR="00E32D74" w:rsidRPr="00E32D74">
        <w:rPr>
          <w:rFonts w:asciiTheme="majorHAnsi" w:eastAsia="Calibri" w:hAnsiTheme="majorHAnsi"/>
        </w:rPr>
        <w:t xml:space="preserve">enotype.  </w:t>
      </w:r>
      <w:r w:rsidR="00E32D74" w:rsidRPr="001256AC">
        <w:rPr>
          <w:rFonts w:asciiTheme="majorHAnsi" w:eastAsia="Calibri" w:hAnsiTheme="majorHAnsi"/>
          <w:i/>
        </w:rPr>
        <w:t>Neurology</w:t>
      </w:r>
      <w:r w:rsidR="00E32D74" w:rsidRPr="00E32D74">
        <w:rPr>
          <w:rFonts w:asciiTheme="majorHAnsi" w:eastAsia="Calibri" w:hAnsiTheme="majorHAnsi"/>
        </w:rPr>
        <w:t>. 2012</w:t>
      </w:r>
      <w:r w:rsidR="00E32D74" w:rsidRPr="001256AC">
        <w:rPr>
          <w:rFonts w:asciiTheme="majorHAnsi" w:eastAsia="Calibri" w:hAnsiTheme="majorHAnsi"/>
        </w:rPr>
        <w:t>;</w:t>
      </w:r>
      <w:r w:rsidR="00E32D74" w:rsidRPr="001256AC">
        <w:rPr>
          <w:rFonts w:asciiTheme="majorHAnsi" w:eastAsia="Calibri" w:hAnsiTheme="majorHAnsi"/>
          <w:b/>
        </w:rPr>
        <w:t>79</w:t>
      </w:r>
      <w:r w:rsidR="00E32D74" w:rsidRPr="001256AC">
        <w:rPr>
          <w:rFonts w:asciiTheme="majorHAnsi" w:eastAsia="Calibri" w:hAnsiTheme="majorHAnsi"/>
        </w:rPr>
        <w:t>:1273-7</w:t>
      </w:r>
      <w:r w:rsidR="00E32D74">
        <w:rPr>
          <w:rFonts w:asciiTheme="majorHAnsi" w:eastAsia="Calibri" w:hAnsiTheme="majorHAnsi"/>
        </w:rPr>
        <w:t>.</w:t>
      </w:r>
    </w:p>
    <w:p w14:paraId="76BAAF53" w14:textId="6A839392" w:rsidR="00C7634E" w:rsidRPr="00E32D74" w:rsidRDefault="00990085" w:rsidP="00E21F1C">
      <w:pPr>
        <w:pStyle w:val="EndNoteBibliography"/>
        <w:pBdr>
          <w:top w:val="nil"/>
        </w:pBdr>
        <w:rPr>
          <w:rFonts w:asciiTheme="majorHAnsi" w:hAnsiTheme="majorHAnsi"/>
          <w:noProof/>
        </w:rPr>
      </w:pPr>
      <w:r w:rsidRPr="00990085">
        <w:rPr>
          <w:rFonts w:asciiTheme="majorHAnsi" w:hAnsiTheme="majorHAnsi"/>
          <w:noProof/>
        </w:rPr>
        <w:t>2</w:t>
      </w:r>
      <w:r w:rsidR="00827117">
        <w:rPr>
          <w:rFonts w:asciiTheme="majorHAnsi" w:hAnsiTheme="majorHAnsi"/>
          <w:noProof/>
        </w:rPr>
        <w:t>3</w:t>
      </w:r>
      <w:r w:rsidR="0096376A" w:rsidRPr="00990085">
        <w:rPr>
          <w:rFonts w:asciiTheme="majorHAnsi" w:hAnsiTheme="majorHAnsi"/>
          <w:noProof/>
        </w:rPr>
        <w:t>.</w:t>
      </w:r>
      <w:r w:rsidR="0096376A" w:rsidRPr="00990085">
        <w:rPr>
          <w:rFonts w:asciiTheme="majorHAnsi" w:hAnsiTheme="majorHAnsi"/>
          <w:noProof/>
        </w:rPr>
        <w:tab/>
        <w:t xml:space="preserve">Swanton JK, Fernando KT, Dalton CM, et al. Early MRI inoptic neuritis: the risk of cllinically definite multiple sclerosis. </w:t>
      </w:r>
      <w:r w:rsidR="0096376A" w:rsidRPr="00990085">
        <w:rPr>
          <w:rFonts w:asciiTheme="majorHAnsi" w:hAnsiTheme="majorHAnsi"/>
          <w:i/>
          <w:noProof/>
        </w:rPr>
        <w:t>Mult Scler.</w:t>
      </w:r>
      <w:r w:rsidR="0096376A" w:rsidRPr="00990085">
        <w:rPr>
          <w:rFonts w:asciiTheme="majorHAnsi" w:hAnsiTheme="majorHAnsi"/>
          <w:noProof/>
        </w:rPr>
        <w:t xml:space="preserve"> 2010;</w:t>
      </w:r>
      <w:r w:rsidR="0096376A" w:rsidRPr="00990085">
        <w:rPr>
          <w:rFonts w:asciiTheme="majorHAnsi" w:hAnsiTheme="majorHAnsi"/>
          <w:b/>
          <w:noProof/>
        </w:rPr>
        <w:t xml:space="preserve"> 16</w:t>
      </w:r>
      <w:r w:rsidR="0096376A" w:rsidRPr="00990085">
        <w:rPr>
          <w:rFonts w:asciiTheme="majorHAnsi" w:hAnsiTheme="majorHAnsi"/>
          <w:noProof/>
        </w:rPr>
        <w:t>: 156-65.</w:t>
      </w:r>
      <w:r w:rsidR="00C7634E" w:rsidRPr="001256AC">
        <w:rPr>
          <w:rFonts w:ascii="Calibri" w:eastAsia="Calibri" w:hAnsi="Calibri" w:cs="Times New Roman"/>
        </w:rPr>
        <w:t xml:space="preserve"> </w:t>
      </w:r>
    </w:p>
    <w:p w14:paraId="65327217" w14:textId="54C13090" w:rsidR="001A7C20" w:rsidRPr="00990085" w:rsidRDefault="00990085" w:rsidP="00E21F1C">
      <w:pPr>
        <w:pStyle w:val="EndNoteBibliography"/>
        <w:pBdr>
          <w:top w:val="nil"/>
        </w:pBdr>
        <w:rPr>
          <w:rFonts w:asciiTheme="majorHAnsi" w:hAnsiTheme="majorHAnsi"/>
          <w:noProof/>
        </w:rPr>
      </w:pPr>
      <w:r w:rsidRPr="00990085">
        <w:rPr>
          <w:rFonts w:asciiTheme="majorHAnsi" w:hAnsiTheme="majorHAnsi"/>
          <w:noProof/>
        </w:rPr>
        <w:t>2</w:t>
      </w:r>
      <w:r w:rsidR="00827117">
        <w:rPr>
          <w:rFonts w:asciiTheme="majorHAnsi" w:hAnsiTheme="majorHAnsi"/>
          <w:noProof/>
        </w:rPr>
        <w:t>4</w:t>
      </w:r>
      <w:r w:rsidR="001A7C20" w:rsidRPr="00990085">
        <w:rPr>
          <w:rFonts w:asciiTheme="majorHAnsi" w:hAnsiTheme="majorHAnsi"/>
          <w:noProof/>
        </w:rPr>
        <w:t>.</w:t>
      </w:r>
      <w:r w:rsidR="004F4813" w:rsidRPr="00990085">
        <w:rPr>
          <w:rFonts w:asciiTheme="majorHAnsi" w:hAnsiTheme="majorHAnsi"/>
          <w:noProof/>
        </w:rPr>
        <w:tab/>
        <w:t xml:space="preserve">Syc SB, Saidha S, Newsome SD, et al. </w:t>
      </w:r>
      <w:r w:rsidR="001D4155" w:rsidRPr="00990085">
        <w:rPr>
          <w:rFonts w:asciiTheme="majorHAnsi" w:hAnsiTheme="majorHAnsi"/>
          <w:noProof/>
        </w:rPr>
        <w:t>Optical coherence tomography segmentation reveals ganglion cell layer pathology after optic neuritis.</w:t>
      </w:r>
      <w:r w:rsidR="001D4155" w:rsidRPr="00990085">
        <w:rPr>
          <w:rFonts w:asciiTheme="majorHAnsi" w:hAnsiTheme="majorHAnsi"/>
          <w:i/>
          <w:noProof/>
        </w:rPr>
        <w:t xml:space="preserve"> Brain</w:t>
      </w:r>
      <w:r w:rsidR="001D4155" w:rsidRPr="00990085">
        <w:rPr>
          <w:rFonts w:asciiTheme="majorHAnsi" w:hAnsiTheme="majorHAnsi"/>
          <w:noProof/>
        </w:rPr>
        <w:t xml:space="preserve">. 2012; </w:t>
      </w:r>
      <w:r w:rsidR="001D4155" w:rsidRPr="00990085">
        <w:rPr>
          <w:rFonts w:asciiTheme="majorHAnsi" w:hAnsiTheme="majorHAnsi"/>
          <w:b/>
          <w:noProof/>
        </w:rPr>
        <w:t>135</w:t>
      </w:r>
      <w:r w:rsidR="001D4155" w:rsidRPr="00990085">
        <w:rPr>
          <w:rFonts w:asciiTheme="majorHAnsi" w:hAnsiTheme="majorHAnsi"/>
          <w:noProof/>
        </w:rPr>
        <w:t>: 521-33.</w:t>
      </w:r>
    </w:p>
    <w:p w14:paraId="77D72C81" w14:textId="1270ED11" w:rsidR="00022CC3" w:rsidRPr="00990085" w:rsidRDefault="00022CC3" w:rsidP="00E21F1C">
      <w:pPr>
        <w:pStyle w:val="EndNoteBibliography"/>
        <w:pBdr>
          <w:top w:val="nil"/>
        </w:pBdr>
        <w:rPr>
          <w:rFonts w:asciiTheme="majorHAnsi" w:hAnsiTheme="majorHAnsi"/>
          <w:noProof/>
        </w:rPr>
      </w:pPr>
      <w:r w:rsidRPr="00990085">
        <w:rPr>
          <w:rFonts w:asciiTheme="majorHAnsi" w:hAnsiTheme="majorHAnsi"/>
          <w:noProof/>
        </w:rPr>
        <w:t>2</w:t>
      </w:r>
      <w:r w:rsidR="00827117">
        <w:rPr>
          <w:rFonts w:asciiTheme="majorHAnsi" w:hAnsiTheme="majorHAnsi"/>
          <w:noProof/>
        </w:rPr>
        <w:t>5</w:t>
      </w:r>
      <w:r w:rsidRPr="00990085">
        <w:rPr>
          <w:rFonts w:asciiTheme="majorHAnsi" w:hAnsiTheme="majorHAnsi"/>
          <w:noProof/>
        </w:rPr>
        <w:t>.</w:t>
      </w:r>
      <w:r w:rsidRPr="00990085">
        <w:rPr>
          <w:rFonts w:asciiTheme="majorHAnsi" w:hAnsiTheme="majorHAnsi"/>
          <w:noProof/>
        </w:rPr>
        <w:tab/>
        <w:t xml:space="preserve">Naismith RT, Tutlam NT, Xu J, et al. Optical coherence tomography is less sensitive than visual evoked potentials in optic neuritis. </w:t>
      </w:r>
      <w:r w:rsidRPr="00990085">
        <w:rPr>
          <w:rFonts w:asciiTheme="majorHAnsi" w:hAnsiTheme="majorHAnsi"/>
          <w:i/>
          <w:noProof/>
        </w:rPr>
        <w:t>Neurology.</w:t>
      </w:r>
      <w:r w:rsidRPr="00990085">
        <w:rPr>
          <w:rFonts w:asciiTheme="majorHAnsi" w:hAnsiTheme="majorHAnsi"/>
          <w:noProof/>
        </w:rPr>
        <w:t xml:space="preserve"> 2009;</w:t>
      </w:r>
      <w:r w:rsidRPr="00990085">
        <w:rPr>
          <w:rFonts w:asciiTheme="majorHAnsi" w:hAnsiTheme="majorHAnsi"/>
          <w:b/>
          <w:noProof/>
        </w:rPr>
        <w:t>73</w:t>
      </w:r>
      <w:r w:rsidRPr="00990085">
        <w:rPr>
          <w:rFonts w:asciiTheme="majorHAnsi" w:hAnsiTheme="majorHAnsi"/>
          <w:noProof/>
        </w:rPr>
        <w:t>:46-52.</w:t>
      </w:r>
    </w:p>
    <w:p w14:paraId="14D35138" w14:textId="1143561B" w:rsidR="00022CC3" w:rsidRPr="00990085" w:rsidRDefault="00990085" w:rsidP="00E21F1C">
      <w:pPr>
        <w:pStyle w:val="EndNoteBibliography"/>
        <w:pBdr>
          <w:top w:val="nil"/>
        </w:pBdr>
        <w:rPr>
          <w:rFonts w:asciiTheme="majorHAnsi" w:hAnsiTheme="majorHAnsi"/>
          <w:noProof/>
        </w:rPr>
      </w:pPr>
      <w:r w:rsidRPr="00990085">
        <w:rPr>
          <w:rFonts w:asciiTheme="majorHAnsi" w:hAnsiTheme="majorHAnsi"/>
          <w:noProof/>
        </w:rPr>
        <w:t>2</w:t>
      </w:r>
      <w:r w:rsidR="00827117">
        <w:rPr>
          <w:rFonts w:asciiTheme="majorHAnsi" w:hAnsiTheme="majorHAnsi"/>
          <w:noProof/>
        </w:rPr>
        <w:t>6</w:t>
      </w:r>
      <w:r w:rsidR="00022CC3" w:rsidRPr="00990085">
        <w:rPr>
          <w:rFonts w:asciiTheme="majorHAnsi" w:hAnsiTheme="majorHAnsi"/>
          <w:noProof/>
        </w:rPr>
        <w:t>.</w:t>
      </w:r>
      <w:r w:rsidR="00022CC3" w:rsidRPr="00990085">
        <w:rPr>
          <w:rFonts w:asciiTheme="majorHAnsi" w:hAnsiTheme="majorHAnsi"/>
          <w:noProof/>
        </w:rPr>
        <w:tab/>
        <w:t xml:space="preserve">Hickman SJ, Kapoor R, Jones SJ, Altmann DR, Plant GT, Miller DH. Corticosteroids do not prevent optic nerve atrophy following optic neuritis. </w:t>
      </w:r>
      <w:r w:rsidR="00022CC3" w:rsidRPr="00990085">
        <w:rPr>
          <w:rFonts w:asciiTheme="majorHAnsi" w:hAnsiTheme="majorHAnsi"/>
          <w:i/>
          <w:noProof/>
        </w:rPr>
        <w:t xml:space="preserve">J Neurol </w:t>
      </w:r>
      <w:r w:rsidR="00022CC3" w:rsidRPr="00990085">
        <w:rPr>
          <w:rFonts w:asciiTheme="majorHAnsi" w:hAnsiTheme="majorHAnsi"/>
          <w:noProof/>
        </w:rPr>
        <w:t>Neurosurg Psychiatry. 2003;74:1139-41.</w:t>
      </w:r>
    </w:p>
    <w:p w14:paraId="09DF8AAB" w14:textId="5F4B14BC" w:rsidR="00022CC3" w:rsidRPr="00990085" w:rsidRDefault="00990085" w:rsidP="00E21F1C">
      <w:pPr>
        <w:pStyle w:val="EndNoteBibliography"/>
        <w:pBdr>
          <w:top w:val="nil"/>
        </w:pBdr>
        <w:rPr>
          <w:rFonts w:asciiTheme="majorHAnsi" w:hAnsiTheme="majorHAnsi"/>
          <w:noProof/>
        </w:rPr>
      </w:pPr>
      <w:r w:rsidRPr="00990085">
        <w:rPr>
          <w:rFonts w:asciiTheme="majorHAnsi" w:hAnsiTheme="majorHAnsi"/>
          <w:noProof/>
        </w:rPr>
        <w:t>2</w:t>
      </w:r>
      <w:r w:rsidR="00827117">
        <w:rPr>
          <w:rFonts w:asciiTheme="majorHAnsi" w:hAnsiTheme="majorHAnsi"/>
          <w:noProof/>
        </w:rPr>
        <w:t>7</w:t>
      </w:r>
      <w:r w:rsidR="00022CC3" w:rsidRPr="00990085">
        <w:rPr>
          <w:rFonts w:asciiTheme="majorHAnsi" w:hAnsiTheme="majorHAnsi"/>
          <w:noProof/>
        </w:rPr>
        <w:t>.</w:t>
      </w:r>
      <w:r w:rsidR="00022CC3" w:rsidRPr="00990085">
        <w:rPr>
          <w:rFonts w:asciiTheme="majorHAnsi" w:hAnsiTheme="majorHAnsi"/>
          <w:noProof/>
        </w:rPr>
        <w:tab/>
        <w:t xml:space="preserve">Esfahani MR, Harandi ZA, Movasat M, et al. Memantine for axonal loss of optic neuritis. </w:t>
      </w:r>
      <w:r w:rsidR="00022CC3" w:rsidRPr="00990085">
        <w:rPr>
          <w:rFonts w:asciiTheme="majorHAnsi" w:hAnsiTheme="majorHAnsi"/>
          <w:i/>
          <w:noProof/>
        </w:rPr>
        <w:t>Graefes Arch Clin Exp Ophthalmol.</w:t>
      </w:r>
      <w:r w:rsidR="00022CC3" w:rsidRPr="00990085">
        <w:rPr>
          <w:rFonts w:asciiTheme="majorHAnsi" w:hAnsiTheme="majorHAnsi"/>
          <w:noProof/>
        </w:rPr>
        <w:t xml:space="preserve"> 2012;</w:t>
      </w:r>
      <w:r w:rsidR="00022CC3" w:rsidRPr="00990085">
        <w:rPr>
          <w:rFonts w:asciiTheme="majorHAnsi" w:hAnsiTheme="majorHAnsi"/>
          <w:b/>
          <w:noProof/>
        </w:rPr>
        <w:t>250</w:t>
      </w:r>
      <w:r w:rsidR="00022CC3" w:rsidRPr="00990085">
        <w:rPr>
          <w:rFonts w:asciiTheme="majorHAnsi" w:hAnsiTheme="majorHAnsi"/>
          <w:noProof/>
        </w:rPr>
        <w:t>:863-9.</w:t>
      </w:r>
    </w:p>
    <w:p w14:paraId="5FD773DF" w14:textId="5E6762B6" w:rsidR="00022CC3" w:rsidRPr="00990085" w:rsidRDefault="00990085" w:rsidP="00E21F1C">
      <w:pPr>
        <w:pStyle w:val="EndNoteBibliography"/>
        <w:pBdr>
          <w:top w:val="nil"/>
        </w:pBdr>
        <w:rPr>
          <w:rFonts w:asciiTheme="majorHAnsi" w:hAnsiTheme="majorHAnsi"/>
          <w:noProof/>
        </w:rPr>
      </w:pPr>
      <w:r w:rsidRPr="00990085">
        <w:rPr>
          <w:rFonts w:asciiTheme="majorHAnsi" w:hAnsiTheme="majorHAnsi"/>
          <w:noProof/>
        </w:rPr>
        <w:t>2</w:t>
      </w:r>
      <w:r w:rsidR="00827117">
        <w:rPr>
          <w:rFonts w:asciiTheme="majorHAnsi" w:hAnsiTheme="majorHAnsi"/>
          <w:noProof/>
        </w:rPr>
        <w:t>8</w:t>
      </w:r>
      <w:r w:rsidR="00022CC3" w:rsidRPr="00990085">
        <w:rPr>
          <w:rFonts w:asciiTheme="majorHAnsi" w:hAnsiTheme="majorHAnsi"/>
          <w:noProof/>
        </w:rPr>
        <w:t>.</w:t>
      </w:r>
      <w:r w:rsidR="00022CC3" w:rsidRPr="00990085">
        <w:rPr>
          <w:rFonts w:asciiTheme="majorHAnsi" w:hAnsiTheme="majorHAnsi"/>
          <w:noProof/>
        </w:rPr>
        <w:tab/>
        <w:t xml:space="preserve">Sühs KW, Hein K, Sättler MB, et al. A randomized, double-blind, phase 2 study of erythropoietin in optic neuritis. </w:t>
      </w:r>
      <w:r w:rsidR="00022CC3" w:rsidRPr="00990085">
        <w:rPr>
          <w:rFonts w:asciiTheme="majorHAnsi" w:hAnsiTheme="majorHAnsi"/>
          <w:i/>
          <w:noProof/>
        </w:rPr>
        <w:t>Ann Neurol.</w:t>
      </w:r>
      <w:r w:rsidR="00022CC3" w:rsidRPr="00990085">
        <w:rPr>
          <w:rFonts w:asciiTheme="majorHAnsi" w:hAnsiTheme="majorHAnsi"/>
          <w:noProof/>
        </w:rPr>
        <w:t xml:space="preserve"> 2012;</w:t>
      </w:r>
      <w:r w:rsidR="00022CC3" w:rsidRPr="00990085">
        <w:rPr>
          <w:rFonts w:asciiTheme="majorHAnsi" w:hAnsiTheme="majorHAnsi"/>
          <w:b/>
          <w:noProof/>
        </w:rPr>
        <w:t>72</w:t>
      </w:r>
      <w:r w:rsidR="00022CC3" w:rsidRPr="00990085">
        <w:rPr>
          <w:rFonts w:asciiTheme="majorHAnsi" w:hAnsiTheme="majorHAnsi"/>
          <w:noProof/>
        </w:rPr>
        <w:t>:199-210.</w:t>
      </w:r>
    </w:p>
    <w:p w14:paraId="6785233A" w14:textId="3F42C7F8" w:rsidR="00022CC3" w:rsidRPr="00990085" w:rsidRDefault="00990085" w:rsidP="00E21F1C">
      <w:pPr>
        <w:pStyle w:val="EndNoteBibliography"/>
        <w:pBdr>
          <w:top w:val="nil"/>
        </w:pBdr>
        <w:rPr>
          <w:rFonts w:asciiTheme="majorHAnsi" w:hAnsiTheme="majorHAnsi"/>
          <w:noProof/>
        </w:rPr>
      </w:pPr>
      <w:r w:rsidRPr="00990085">
        <w:rPr>
          <w:rFonts w:asciiTheme="majorHAnsi" w:hAnsiTheme="majorHAnsi"/>
          <w:noProof/>
        </w:rPr>
        <w:t>2</w:t>
      </w:r>
      <w:r w:rsidR="00827117">
        <w:rPr>
          <w:rFonts w:asciiTheme="majorHAnsi" w:hAnsiTheme="majorHAnsi"/>
          <w:noProof/>
        </w:rPr>
        <w:t>9</w:t>
      </w:r>
      <w:r w:rsidR="00022CC3" w:rsidRPr="00990085">
        <w:rPr>
          <w:rFonts w:asciiTheme="majorHAnsi" w:hAnsiTheme="majorHAnsi"/>
          <w:noProof/>
        </w:rPr>
        <w:t>.</w:t>
      </w:r>
      <w:r w:rsidR="00022CC3" w:rsidRPr="00990085">
        <w:rPr>
          <w:rFonts w:asciiTheme="majorHAnsi" w:hAnsiTheme="majorHAnsi"/>
          <w:noProof/>
        </w:rPr>
        <w:tab/>
        <w:t xml:space="preserve">Shayegannejad V, Shahzamani S, Dehghani A, Dast Borhan Z, Rahimi M, Mirmohammadsadeghi A. A double-blind, placebo-controlled trial of adding erythropoietin to intravenous methylprednisolone for the treatment of unilateral acute optic neuritis of unknown or demyelinative origin. </w:t>
      </w:r>
      <w:r w:rsidR="00022CC3" w:rsidRPr="00990085">
        <w:rPr>
          <w:rFonts w:asciiTheme="majorHAnsi" w:hAnsiTheme="majorHAnsi"/>
          <w:i/>
          <w:noProof/>
        </w:rPr>
        <w:t>Graefes Arch Clin Exp Ophthalmol.</w:t>
      </w:r>
      <w:r w:rsidR="00022CC3" w:rsidRPr="00990085">
        <w:rPr>
          <w:rFonts w:asciiTheme="majorHAnsi" w:hAnsiTheme="majorHAnsi"/>
          <w:noProof/>
        </w:rPr>
        <w:t xml:space="preserve"> 2015;</w:t>
      </w:r>
      <w:r w:rsidR="00022CC3" w:rsidRPr="00990085">
        <w:rPr>
          <w:rFonts w:asciiTheme="majorHAnsi" w:hAnsiTheme="majorHAnsi"/>
          <w:b/>
          <w:noProof/>
        </w:rPr>
        <w:t>253</w:t>
      </w:r>
      <w:r w:rsidR="00022CC3" w:rsidRPr="00990085">
        <w:rPr>
          <w:rFonts w:asciiTheme="majorHAnsi" w:hAnsiTheme="majorHAnsi"/>
          <w:noProof/>
        </w:rPr>
        <w:t>:797-801.</w:t>
      </w:r>
    </w:p>
    <w:p w14:paraId="5681DAEC" w14:textId="7FFE457D" w:rsidR="00022CC3" w:rsidRPr="00990085" w:rsidRDefault="00827117" w:rsidP="00E21F1C">
      <w:pPr>
        <w:pStyle w:val="EndNoteBibliography"/>
        <w:pBdr>
          <w:top w:val="nil"/>
        </w:pBdr>
        <w:rPr>
          <w:rFonts w:asciiTheme="majorHAnsi" w:hAnsiTheme="majorHAnsi"/>
          <w:noProof/>
        </w:rPr>
      </w:pPr>
      <w:r>
        <w:rPr>
          <w:rFonts w:asciiTheme="majorHAnsi" w:hAnsiTheme="majorHAnsi"/>
          <w:noProof/>
        </w:rPr>
        <w:t>30</w:t>
      </w:r>
      <w:r w:rsidR="00022CC3" w:rsidRPr="00990085">
        <w:rPr>
          <w:rFonts w:asciiTheme="majorHAnsi" w:hAnsiTheme="majorHAnsi"/>
          <w:noProof/>
        </w:rPr>
        <w:t>.</w:t>
      </w:r>
      <w:r w:rsidR="00022CC3" w:rsidRPr="00990085">
        <w:rPr>
          <w:rFonts w:asciiTheme="majorHAnsi" w:hAnsiTheme="majorHAnsi"/>
          <w:noProof/>
        </w:rPr>
        <w:tab/>
        <w:t xml:space="preserve">McLean MJ, Macdonald RL. Multiple actions of phenytoin on mouse spinal cord neurons in cell culture. </w:t>
      </w:r>
      <w:r w:rsidR="00022CC3" w:rsidRPr="00990085">
        <w:rPr>
          <w:rFonts w:asciiTheme="majorHAnsi" w:hAnsiTheme="majorHAnsi"/>
          <w:i/>
          <w:noProof/>
        </w:rPr>
        <w:t>J Pharmacol Exp Ther.</w:t>
      </w:r>
      <w:r w:rsidR="00022CC3" w:rsidRPr="00990085">
        <w:rPr>
          <w:rFonts w:asciiTheme="majorHAnsi" w:hAnsiTheme="majorHAnsi"/>
          <w:noProof/>
        </w:rPr>
        <w:t xml:space="preserve"> 1983;</w:t>
      </w:r>
      <w:r w:rsidR="00022CC3" w:rsidRPr="00990085">
        <w:rPr>
          <w:rFonts w:asciiTheme="majorHAnsi" w:hAnsiTheme="majorHAnsi"/>
          <w:b/>
          <w:noProof/>
        </w:rPr>
        <w:t>227</w:t>
      </w:r>
      <w:r w:rsidR="00022CC3" w:rsidRPr="00990085">
        <w:rPr>
          <w:rFonts w:asciiTheme="majorHAnsi" w:hAnsiTheme="majorHAnsi"/>
          <w:noProof/>
        </w:rPr>
        <w:t>:779-89.</w:t>
      </w:r>
      <w:r w:rsidR="00022CC3" w:rsidRPr="00990085">
        <w:rPr>
          <w:rFonts w:asciiTheme="majorHAnsi" w:hAnsiTheme="majorHAnsi"/>
          <w:noProof/>
        </w:rPr>
        <w:tab/>
      </w:r>
    </w:p>
    <w:p w14:paraId="4EB88632" w14:textId="58BCC8CA" w:rsidR="00022CC3" w:rsidRPr="00990085" w:rsidRDefault="00827117" w:rsidP="00E21F1C">
      <w:pPr>
        <w:pStyle w:val="EndNoteBibliography"/>
        <w:pBdr>
          <w:top w:val="nil"/>
        </w:pBdr>
        <w:rPr>
          <w:rFonts w:asciiTheme="majorHAnsi" w:hAnsiTheme="majorHAnsi"/>
          <w:noProof/>
        </w:rPr>
      </w:pPr>
      <w:r>
        <w:rPr>
          <w:rFonts w:asciiTheme="majorHAnsi" w:hAnsiTheme="majorHAnsi"/>
          <w:noProof/>
        </w:rPr>
        <w:t>31</w:t>
      </w:r>
      <w:r w:rsidR="00022CC3" w:rsidRPr="00990085">
        <w:rPr>
          <w:rFonts w:asciiTheme="majorHAnsi" w:hAnsiTheme="majorHAnsi"/>
          <w:noProof/>
        </w:rPr>
        <w:t>.</w:t>
      </w:r>
      <w:r w:rsidR="00022CC3" w:rsidRPr="00990085">
        <w:rPr>
          <w:rFonts w:asciiTheme="majorHAnsi" w:hAnsiTheme="majorHAnsi"/>
          <w:noProof/>
        </w:rPr>
        <w:tab/>
        <w:t xml:space="preserve">Black JA, Newcombe J, Trapp BD, Waxman SG. Sodium channel expression within chronic multiple sclerosis plaques. </w:t>
      </w:r>
      <w:r w:rsidR="00022CC3" w:rsidRPr="00990085">
        <w:rPr>
          <w:rFonts w:asciiTheme="majorHAnsi" w:hAnsiTheme="majorHAnsi"/>
          <w:i/>
          <w:noProof/>
        </w:rPr>
        <w:t>J Neuropathol Exp Neurol.</w:t>
      </w:r>
      <w:r w:rsidR="00022CC3" w:rsidRPr="00990085">
        <w:rPr>
          <w:rFonts w:asciiTheme="majorHAnsi" w:hAnsiTheme="majorHAnsi"/>
          <w:noProof/>
        </w:rPr>
        <w:t xml:space="preserve"> 2007;</w:t>
      </w:r>
      <w:r w:rsidR="00022CC3" w:rsidRPr="00990085">
        <w:rPr>
          <w:rFonts w:asciiTheme="majorHAnsi" w:hAnsiTheme="majorHAnsi"/>
          <w:b/>
          <w:noProof/>
        </w:rPr>
        <w:t>66</w:t>
      </w:r>
      <w:r w:rsidR="00022CC3" w:rsidRPr="00990085">
        <w:rPr>
          <w:rFonts w:asciiTheme="majorHAnsi" w:hAnsiTheme="majorHAnsi"/>
          <w:noProof/>
        </w:rPr>
        <w:t>:828-37.</w:t>
      </w:r>
    </w:p>
    <w:p w14:paraId="18010CAD" w14:textId="5D6FDB4D" w:rsidR="00022CC3" w:rsidRDefault="00827117" w:rsidP="00E21F1C">
      <w:pPr>
        <w:pStyle w:val="EndNoteBibliography"/>
        <w:pBdr>
          <w:top w:val="nil"/>
        </w:pBdr>
        <w:rPr>
          <w:rFonts w:asciiTheme="majorHAnsi" w:hAnsiTheme="majorHAnsi"/>
          <w:noProof/>
        </w:rPr>
      </w:pPr>
      <w:r>
        <w:rPr>
          <w:rFonts w:asciiTheme="majorHAnsi" w:hAnsiTheme="majorHAnsi"/>
          <w:noProof/>
        </w:rPr>
        <w:t>32</w:t>
      </w:r>
      <w:r w:rsidR="00022CC3" w:rsidRPr="00990085">
        <w:rPr>
          <w:rFonts w:asciiTheme="majorHAnsi" w:hAnsiTheme="majorHAnsi"/>
          <w:noProof/>
        </w:rPr>
        <w:t>.</w:t>
      </w:r>
      <w:r w:rsidR="00022CC3" w:rsidRPr="00990085">
        <w:rPr>
          <w:rFonts w:asciiTheme="majorHAnsi" w:hAnsiTheme="majorHAnsi"/>
          <w:noProof/>
        </w:rPr>
        <w:tab/>
        <w:t xml:space="preserve">Gnanapavan S, Grant D, Morant S, et al. Biomarker report from the phase II lamotrigine trial in secondary progressive MS - neurofilament as a surrogate of disease progression. </w:t>
      </w:r>
      <w:r w:rsidR="00022CC3" w:rsidRPr="00990085">
        <w:rPr>
          <w:rFonts w:asciiTheme="majorHAnsi" w:hAnsiTheme="majorHAnsi"/>
          <w:i/>
          <w:noProof/>
        </w:rPr>
        <w:t>PLoS One.</w:t>
      </w:r>
      <w:r w:rsidR="00022CC3" w:rsidRPr="00990085">
        <w:rPr>
          <w:rFonts w:asciiTheme="majorHAnsi" w:hAnsiTheme="majorHAnsi"/>
          <w:noProof/>
        </w:rPr>
        <w:t xml:space="preserve"> 2013;</w:t>
      </w:r>
      <w:r w:rsidR="00022CC3" w:rsidRPr="00990085">
        <w:rPr>
          <w:rFonts w:asciiTheme="majorHAnsi" w:hAnsiTheme="majorHAnsi"/>
          <w:b/>
          <w:noProof/>
        </w:rPr>
        <w:t>8</w:t>
      </w:r>
      <w:r w:rsidR="00022CC3" w:rsidRPr="00990085">
        <w:rPr>
          <w:rFonts w:asciiTheme="majorHAnsi" w:hAnsiTheme="majorHAnsi"/>
          <w:noProof/>
        </w:rPr>
        <w:t>:e70019.</w:t>
      </w:r>
    </w:p>
    <w:p w14:paraId="722E4227" w14:textId="0DD3EE34" w:rsidR="00CA25FA" w:rsidRPr="00990085" w:rsidRDefault="00827117" w:rsidP="00E21F1C">
      <w:pPr>
        <w:pStyle w:val="EndNoteBibliography"/>
        <w:pBdr>
          <w:top w:val="nil"/>
        </w:pBdr>
        <w:rPr>
          <w:rFonts w:asciiTheme="majorHAnsi" w:hAnsiTheme="majorHAnsi"/>
          <w:noProof/>
        </w:rPr>
      </w:pPr>
      <w:r>
        <w:rPr>
          <w:rFonts w:asciiTheme="majorHAnsi" w:hAnsiTheme="majorHAnsi"/>
          <w:noProof/>
        </w:rPr>
        <w:t>33</w:t>
      </w:r>
      <w:r w:rsidR="00CA25FA">
        <w:rPr>
          <w:rFonts w:asciiTheme="majorHAnsi" w:hAnsiTheme="majorHAnsi"/>
          <w:noProof/>
        </w:rPr>
        <w:t xml:space="preserve">. </w:t>
      </w:r>
      <w:r w:rsidR="00CA25FA">
        <w:rPr>
          <w:rFonts w:asciiTheme="majorHAnsi" w:hAnsiTheme="majorHAnsi"/>
          <w:noProof/>
        </w:rPr>
        <w:tab/>
      </w:r>
      <w:r w:rsidR="00001E10">
        <w:rPr>
          <w:rFonts w:asciiTheme="majorHAnsi" w:hAnsiTheme="majorHAnsi"/>
          <w:noProof/>
        </w:rPr>
        <w:t xml:space="preserve">Polman CH, Reingold SC, Banwell B, et al. Diagnostic criteria for multipe sclerosis: 2010 revisions to the McDonald Criteria. </w:t>
      </w:r>
      <w:r w:rsidR="00001E10" w:rsidRPr="001256AC">
        <w:rPr>
          <w:rFonts w:asciiTheme="majorHAnsi" w:hAnsiTheme="majorHAnsi"/>
          <w:i/>
          <w:noProof/>
        </w:rPr>
        <w:t>Ann Neurol.</w:t>
      </w:r>
      <w:r w:rsidR="00001E10">
        <w:rPr>
          <w:rFonts w:asciiTheme="majorHAnsi" w:hAnsiTheme="majorHAnsi"/>
          <w:noProof/>
        </w:rPr>
        <w:t xml:space="preserve"> 2011; </w:t>
      </w:r>
      <w:r w:rsidR="00001E10" w:rsidRPr="001256AC">
        <w:rPr>
          <w:rFonts w:asciiTheme="majorHAnsi" w:hAnsiTheme="majorHAnsi"/>
          <w:b/>
          <w:noProof/>
        </w:rPr>
        <w:t>69</w:t>
      </w:r>
      <w:r w:rsidR="00001E10">
        <w:rPr>
          <w:rFonts w:asciiTheme="majorHAnsi" w:hAnsiTheme="majorHAnsi"/>
          <w:noProof/>
        </w:rPr>
        <w:t>: 292-302.</w:t>
      </w:r>
    </w:p>
    <w:p w14:paraId="7B4FFA86" w14:textId="77777777" w:rsidR="00022CC3" w:rsidRPr="00990085" w:rsidRDefault="00022CC3" w:rsidP="00E21F1C">
      <w:pPr>
        <w:pStyle w:val="Body"/>
        <w:jc w:val="both"/>
        <w:rPr>
          <w:rFonts w:asciiTheme="majorHAnsi" w:hAnsiTheme="majorHAnsi"/>
        </w:rPr>
      </w:pPr>
    </w:p>
    <w:p w14:paraId="0CD0A050" w14:textId="23ABE1EA" w:rsidR="00022CC3" w:rsidRPr="00022CC3" w:rsidRDefault="00022CC3" w:rsidP="00E21F1C">
      <w:pPr>
        <w:pStyle w:val="Body"/>
        <w:jc w:val="both"/>
        <w:rPr>
          <w:noProof/>
        </w:rPr>
      </w:pPr>
      <w:r w:rsidRPr="00990085">
        <w:rPr>
          <w:rFonts w:asciiTheme="majorHAnsi" w:hAnsiTheme="majorHAnsi"/>
        </w:rPr>
        <w:fldChar w:fldCharType="end"/>
      </w:r>
    </w:p>
    <w:p w14:paraId="6F80D5C8" w14:textId="6721A79B" w:rsidR="00B3335D" w:rsidRPr="003318E4" w:rsidRDefault="00426DCE" w:rsidP="00E95DA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rPr>
      </w:pPr>
      <w:r>
        <w:rPr>
          <w:rFonts w:ascii="Calibri" w:hAnsi="Calibri"/>
          <w:b/>
        </w:rPr>
        <w:br w:type="page"/>
      </w:r>
      <w:r w:rsidR="00B3335D" w:rsidRPr="003318E4">
        <w:rPr>
          <w:rFonts w:ascii="Calibri" w:hAnsi="Calibri"/>
          <w:b/>
        </w:rPr>
        <w:lastRenderedPageBreak/>
        <w:t>Table 1</w:t>
      </w:r>
    </w:p>
    <w:p w14:paraId="3C964015" w14:textId="77777777" w:rsidR="00B3335D" w:rsidRPr="003318E4" w:rsidRDefault="00B3335D" w:rsidP="00B3335D">
      <w:pPr>
        <w:jc w:val="both"/>
        <w:rPr>
          <w:rFonts w:ascii="Calibri" w:hAnsi="Calibri"/>
          <w:b/>
        </w:rPr>
      </w:pPr>
    </w:p>
    <w:p w14:paraId="6B254B28" w14:textId="1D712ED3" w:rsidR="00B3335D" w:rsidRDefault="00B3335D" w:rsidP="00B3335D">
      <w:pPr>
        <w:jc w:val="both"/>
        <w:rPr>
          <w:rFonts w:ascii="Calibri" w:hAnsi="Calibri"/>
          <w:b/>
        </w:rPr>
      </w:pPr>
      <w:r w:rsidRPr="003318E4">
        <w:rPr>
          <w:rFonts w:ascii="Calibri" w:hAnsi="Calibri"/>
          <w:b/>
        </w:rPr>
        <w:t>Baseline</w:t>
      </w:r>
      <w:r>
        <w:rPr>
          <w:rFonts w:ascii="Calibri" w:hAnsi="Calibri"/>
          <w:b/>
        </w:rPr>
        <w:t xml:space="preserve"> </w:t>
      </w:r>
      <w:r w:rsidRPr="003318E4">
        <w:rPr>
          <w:rFonts w:ascii="Calibri" w:hAnsi="Calibri"/>
          <w:b/>
        </w:rPr>
        <w:t xml:space="preserve">clinical, structural and electrophysiological </w:t>
      </w:r>
      <w:r>
        <w:rPr>
          <w:rFonts w:ascii="Calibri" w:hAnsi="Calibri"/>
          <w:b/>
        </w:rPr>
        <w:t xml:space="preserve">characteristics of the affected </w:t>
      </w:r>
      <w:proofErr w:type="gramStart"/>
      <w:r>
        <w:rPr>
          <w:rFonts w:ascii="Calibri" w:hAnsi="Calibri"/>
          <w:b/>
        </w:rPr>
        <w:t>eye</w:t>
      </w:r>
      <w:r w:rsidR="001113C7">
        <w:rPr>
          <w:rFonts w:ascii="Calibri" w:hAnsi="Calibri"/>
          <w:b/>
        </w:rPr>
        <w:t>,</w:t>
      </w:r>
      <w:proofErr w:type="gramEnd"/>
      <w:r w:rsidR="001113C7">
        <w:rPr>
          <w:rFonts w:ascii="Calibri" w:hAnsi="Calibri"/>
          <w:b/>
        </w:rPr>
        <w:t xml:space="preserve"> and baseline retinal nerve </w:t>
      </w:r>
      <w:proofErr w:type="spellStart"/>
      <w:r w:rsidR="001113C7">
        <w:rPr>
          <w:rFonts w:ascii="Calibri" w:hAnsi="Calibri"/>
          <w:b/>
        </w:rPr>
        <w:t>fibre</w:t>
      </w:r>
      <w:proofErr w:type="spellEnd"/>
      <w:r w:rsidR="001113C7">
        <w:rPr>
          <w:rFonts w:ascii="Calibri" w:hAnsi="Calibri"/>
          <w:b/>
        </w:rPr>
        <w:t xml:space="preserve"> layer thickness of the unaffected eye</w:t>
      </w:r>
    </w:p>
    <w:p w14:paraId="365CB3F9" w14:textId="77777777" w:rsidR="001113C7" w:rsidRPr="003318E4" w:rsidRDefault="001113C7" w:rsidP="00B3335D">
      <w:pPr>
        <w:jc w:val="both"/>
        <w:rPr>
          <w:rFonts w:ascii="Calibri" w:hAnsi="Calibri"/>
          <w:b/>
        </w:rPr>
      </w:pPr>
    </w:p>
    <w:tbl>
      <w:tblPr>
        <w:tblStyle w:val="MediumGrid1-Accent5"/>
        <w:tblW w:w="0" w:type="auto"/>
        <w:tblLook w:val="04A0" w:firstRow="1" w:lastRow="0" w:firstColumn="1" w:lastColumn="0" w:noHBand="0" w:noVBand="1"/>
      </w:tblPr>
      <w:tblGrid>
        <w:gridCol w:w="2838"/>
        <w:gridCol w:w="2839"/>
        <w:gridCol w:w="2839"/>
      </w:tblGrid>
      <w:tr w:rsidR="00274B5D" w:rsidRPr="001113C7" w14:paraId="26767126" w14:textId="77777777" w:rsidTr="001256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tcPr>
          <w:p w14:paraId="6BFC47BC" w14:textId="77777777" w:rsidR="001113C7" w:rsidRPr="001113C7" w:rsidRDefault="001113C7" w:rsidP="001113C7">
            <w:pPr>
              <w:jc w:val="both"/>
              <w:rPr>
                <w:rFonts w:ascii="Calibri" w:hAnsi="Calibri"/>
              </w:rPr>
            </w:pPr>
          </w:p>
        </w:tc>
        <w:tc>
          <w:tcPr>
            <w:tcW w:w="2839" w:type="dxa"/>
          </w:tcPr>
          <w:p w14:paraId="4858EEA8" w14:textId="77777777" w:rsidR="001113C7" w:rsidRPr="001256AC" w:rsidRDefault="001113C7" w:rsidP="001113C7">
            <w:pPr>
              <w:jc w:val="both"/>
              <w:cnfStyle w:val="100000000000" w:firstRow="1" w:lastRow="0" w:firstColumn="0" w:lastColumn="0" w:oddVBand="0" w:evenVBand="0" w:oddHBand="0" w:evenHBand="0" w:firstRowFirstColumn="0" w:firstRowLastColumn="0" w:lastRowFirstColumn="0" w:lastRowLastColumn="0"/>
              <w:rPr>
                <w:rFonts w:ascii="Calibri" w:hAnsi="Calibri"/>
              </w:rPr>
            </w:pPr>
            <w:r w:rsidRPr="00E02CC4">
              <w:rPr>
                <w:rFonts w:ascii="Calibri" w:hAnsi="Calibri"/>
              </w:rPr>
              <w:t>Phenytoin (n=42)</w:t>
            </w:r>
          </w:p>
        </w:tc>
        <w:tc>
          <w:tcPr>
            <w:tcW w:w="2839" w:type="dxa"/>
          </w:tcPr>
          <w:p w14:paraId="16C88A83" w14:textId="77777777" w:rsidR="001113C7" w:rsidRPr="001256AC" w:rsidRDefault="001113C7" w:rsidP="001113C7">
            <w:pPr>
              <w:jc w:val="both"/>
              <w:cnfStyle w:val="100000000000" w:firstRow="1" w:lastRow="0" w:firstColumn="0" w:lastColumn="0" w:oddVBand="0" w:evenVBand="0" w:oddHBand="0" w:evenHBand="0" w:firstRowFirstColumn="0" w:firstRowLastColumn="0" w:lastRowFirstColumn="0" w:lastRowLastColumn="0"/>
              <w:rPr>
                <w:rFonts w:ascii="Calibri" w:hAnsi="Calibri"/>
              </w:rPr>
            </w:pPr>
            <w:r w:rsidRPr="00E02CC4">
              <w:rPr>
                <w:rFonts w:ascii="Calibri" w:hAnsi="Calibri"/>
              </w:rPr>
              <w:t>Placebo (n=44)</w:t>
            </w:r>
          </w:p>
        </w:tc>
      </w:tr>
      <w:tr w:rsidR="00274B5D" w:rsidRPr="001113C7" w14:paraId="27F0E46E" w14:textId="77777777" w:rsidTr="00125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tcPr>
          <w:p w14:paraId="28DF8311" w14:textId="77777777" w:rsidR="001113C7" w:rsidRPr="001113C7" w:rsidRDefault="001113C7" w:rsidP="001256AC">
            <w:pPr>
              <w:rPr>
                <w:rFonts w:ascii="Calibri" w:hAnsi="Calibri"/>
                <w:b w:val="0"/>
                <w:bCs w:val="0"/>
              </w:rPr>
            </w:pPr>
            <w:r w:rsidRPr="001113C7">
              <w:rPr>
                <w:rFonts w:ascii="Calibri" w:hAnsi="Calibri"/>
              </w:rPr>
              <w:t>Age (</w:t>
            </w:r>
            <w:proofErr w:type="spellStart"/>
            <w:r w:rsidRPr="001113C7">
              <w:rPr>
                <w:rFonts w:ascii="Calibri" w:hAnsi="Calibri"/>
              </w:rPr>
              <w:t>yrs</w:t>
            </w:r>
            <w:proofErr w:type="spellEnd"/>
            <w:r w:rsidRPr="001113C7">
              <w:rPr>
                <w:rFonts w:ascii="Calibri" w:hAnsi="Calibri"/>
              </w:rPr>
              <w:t>)</w:t>
            </w:r>
          </w:p>
        </w:tc>
        <w:tc>
          <w:tcPr>
            <w:tcW w:w="2839" w:type="dxa"/>
          </w:tcPr>
          <w:p w14:paraId="21B3E8DC" w14:textId="77777777" w:rsidR="001113C7" w:rsidRPr="001113C7" w:rsidRDefault="001113C7" w:rsidP="001113C7">
            <w:pPr>
              <w:jc w:val="both"/>
              <w:cnfStyle w:val="000000100000" w:firstRow="0" w:lastRow="0" w:firstColumn="0" w:lastColumn="0" w:oddVBand="0" w:evenVBand="0" w:oddHBand="1" w:evenHBand="0" w:firstRowFirstColumn="0" w:firstRowLastColumn="0" w:lastRowFirstColumn="0" w:lastRowLastColumn="0"/>
              <w:rPr>
                <w:rFonts w:ascii="Calibri" w:hAnsi="Calibri"/>
                <w:b/>
              </w:rPr>
            </w:pPr>
            <w:r w:rsidRPr="001113C7">
              <w:rPr>
                <w:rFonts w:ascii="Calibri" w:hAnsi="Calibri"/>
                <w:b/>
              </w:rPr>
              <w:t>33 (8·2)</w:t>
            </w:r>
          </w:p>
        </w:tc>
        <w:tc>
          <w:tcPr>
            <w:tcW w:w="2839" w:type="dxa"/>
          </w:tcPr>
          <w:p w14:paraId="0DF916EB" w14:textId="77777777" w:rsidR="001113C7" w:rsidRPr="001113C7" w:rsidRDefault="001113C7" w:rsidP="001113C7">
            <w:pPr>
              <w:jc w:val="both"/>
              <w:cnfStyle w:val="000000100000" w:firstRow="0" w:lastRow="0" w:firstColumn="0" w:lastColumn="0" w:oddVBand="0" w:evenVBand="0" w:oddHBand="1" w:evenHBand="0" w:firstRowFirstColumn="0" w:firstRowLastColumn="0" w:lastRowFirstColumn="0" w:lastRowLastColumn="0"/>
              <w:rPr>
                <w:rFonts w:ascii="Calibri" w:hAnsi="Calibri"/>
                <w:b/>
              </w:rPr>
            </w:pPr>
            <w:r w:rsidRPr="001113C7">
              <w:rPr>
                <w:rFonts w:ascii="Calibri" w:hAnsi="Calibri"/>
                <w:b/>
              </w:rPr>
              <w:t>35 (9·1)</w:t>
            </w:r>
          </w:p>
        </w:tc>
      </w:tr>
      <w:tr w:rsidR="001113C7" w:rsidRPr="001113C7" w14:paraId="02401417" w14:textId="77777777" w:rsidTr="001256AC">
        <w:tc>
          <w:tcPr>
            <w:cnfStyle w:val="001000000000" w:firstRow="0" w:lastRow="0" w:firstColumn="1" w:lastColumn="0" w:oddVBand="0" w:evenVBand="0" w:oddHBand="0" w:evenHBand="0" w:firstRowFirstColumn="0" w:firstRowLastColumn="0" w:lastRowFirstColumn="0" w:lastRowLastColumn="0"/>
            <w:tcW w:w="2838" w:type="dxa"/>
          </w:tcPr>
          <w:p w14:paraId="5F780622" w14:textId="77777777" w:rsidR="001113C7" w:rsidRPr="001113C7" w:rsidRDefault="001113C7" w:rsidP="001256AC">
            <w:pPr>
              <w:rPr>
                <w:rFonts w:ascii="Calibri" w:hAnsi="Calibri"/>
                <w:b w:val="0"/>
                <w:bCs w:val="0"/>
              </w:rPr>
            </w:pPr>
            <w:r w:rsidRPr="001113C7">
              <w:rPr>
                <w:rFonts w:ascii="Calibri" w:hAnsi="Calibri"/>
              </w:rPr>
              <w:t>Women</w:t>
            </w:r>
          </w:p>
        </w:tc>
        <w:tc>
          <w:tcPr>
            <w:tcW w:w="2839" w:type="dxa"/>
          </w:tcPr>
          <w:p w14:paraId="1A902CB5" w14:textId="77777777" w:rsidR="001113C7" w:rsidRPr="001113C7" w:rsidRDefault="001113C7" w:rsidP="001113C7">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sidRPr="001113C7">
              <w:rPr>
                <w:rFonts w:ascii="Calibri" w:hAnsi="Calibri"/>
                <w:b/>
              </w:rPr>
              <w:t>31 (74%)</w:t>
            </w:r>
          </w:p>
        </w:tc>
        <w:tc>
          <w:tcPr>
            <w:tcW w:w="2839" w:type="dxa"/>
          </w:tcPr>
          <w:p w14:paraId="280FD3E1" w14:textId="77777777" w:rsidR="001113C7" w:rsidRPr="001113C7" w:rsidRDefault="001113C7" w:rsidP="001113C7">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sidRPr="001113C7">
              <w:rPr>
                <w:rFonts w:ascii="Calibri" w:hAnsi="Calibri"/>
                <w:b/>
              </w:rPr>
              <w:t>32 (73%)</w:t>
            </w:r>
          </w:p>
        </w:tc>
      </w:tr>
      <w:tr w:rsidR="00274B5D" w:rsidRPr="001113C7" w14:paraId="7181AEFD" w14:textId="77777777" w:rsidTr="00125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tcPr>
          <w:p w14:paraId="6F4F766B" w14:textId="77777777" w:rsidR="001113C7" w:rsidRPr="001113C7" w:rsidRDefault="001113C7" w:rsidP="001256AC">
            <w:pPr>
              <w:rPr>
                <w:rFonts w:ascii="Calibri" w:hAnsi="Calibri"/>
                <w:b w:val="0"/>
                <w:bCs w:val="0"/>
              </w:rPr>
            </w:pPr>
            <w:r w:rsidRPr="001113C7">
              <w:rPr>
                <w:rFonts w:ascii="Calibri" w:hAnsi="Calibri"/>
              </w:rPr>
              <w:t xml:space="preserve">Days from onset to randomization </w:t>
            </w:r>
          </w:p>
        </w:tc>
        <w:tc>
          <w:tcPr>
            <w:tcW w:w="2839" w:type="dxa"/>
          </w:tcPr>
          <w:p w14:paraId="567ECC53" w14:textId="77777777" w:rsidR="001113C7" w:rsidRPr="001113C7" w:rsidRDefault="001113C7" w:rsidP="001113C7">
            <w:pPr>
              <w:jc w:val="both"/>
              <w:cnfStyle w:val="000000100000" w:firstRow="0" w:lastRow="0" w:firstColumn="0" w:lastColumn="0" w:oddVBand="0" w:evenVBand="0" w:oddHBand="1" w:evenHBand="0" w:firstRowFirstColumn="0" w:firstRowLastColumn="0" w:lastRowFirstColumn="0" w:lastRowLastColumn="0"/>
              <w:rPr>
                <w:rFonts w:ascii="Calibri" w:hAnsi="Calibri"/>
                <w:b/>
              </w:rPr>
            </w:pPr>
            <w:r w:rsidRPr="001113C7">
              <w:rPr>
                <w:rFonts w:ascii="Calibri" w:hAnsi="Calibri"/>
                <w:b/>
              </w:rPr>
              <w:t>8·2 (3·1)</w:t>
            </w:r>
          </w:p>
        </w:tc>
        <w:tc>
          <w:tcPr>
            <w:tcW w:w="2839" w:type="dxa"/>
          </w:tcPr>
          <w:p w14:paraId="59717AD2" w14:textId="77777777" w:rsidR="001113C7" w:rsidRPr="001113C7" w:rsidRDefault="001113C7" w:rsidP="001113C7">
            <w:pPr>
              <w:jc w:val="both"/>
              <w:cnfStyle w:val="000000100000" w:firstRow="0" w:lastRow="0" w:firstColumn="0" w:lastColumn="0" w:oddVBand="0" w:evenVBand="0" w:oddHBand="1" w:evenHBand="0" w:firstRowFirstColumn="0" w:firstRowLastColumn="0" w:lastRowFirstColumn="0" w:lastRowLastColumn="0"/>
              <w:rPr>
                <w:rFonts w:ascii="Calibri" w:hAnsi="Calibri"/>
                <w:b/>
              </w:rPr>
            </w:pPr>
            <w:r w:rsidRPr="001113C7">
              <w:rPr>
                <w:rFonts w:ascii="Calibri" w:hAnsi="Calibri"/>
                <w:b/>
              </w:rPr>
              <w:t>8·1 (3·3)</w:t>
            </w:r>
          </w:p>
        </w:tc>
      </w:tr>
      <w:tr w:rsidR="001113C7" w:rsidRPr="001113C7" w14:paraId="5034FB09" w14:textId="77777777" w:rsidTr="001256AC">
        <w:tc>
          <w:tcPr>
            <w:cnfStyle w:val="001000000000" w:firstRow="0" w:lastRow="0" w:firstColumn="1" w:lastColumn="0" w:oddVBand="0" w:evenVBand="0" w:oddHBand="0" w:evenHBand="0" w:firstRowFirstColumn="0" w:firstRowLastColumn="0" w:lastRowFirstColumn="0" w:lastRowLastColumn="0"/>
            <w:tcW w:w="2838" w:type="dxa"/>
          </w:tcPr>
          <w:p w14:paraId="172324E9" w14:textId="77777777" w:rsidR="001113C7" w:rsidRPr="001113C7" w:rsidRDefault="001113C7" w:rsidP="001256AC">
            <w:pPr>
              <w:rPr>
                <w:rFonts w:ascii="Calibri" w:hAnsi="Calibri"/>
                <w:b w:val="0"/>
                <w:bCs w:val="0"/>
              </w:rPr>
            </w:pPr>
            <w:r w:rsidRPr="001113C7">
              <w:rPr>
                <w:rFonts w:ascii="Calibri" w:hAnsi="Calibri"/>
              </w:rPr>
              <w:t>Prescribed corticosteroids</w:t>
            </w:r>
          </w:p>
        </w:tc>
        <w:tc>
          <w:tcPr>
            <w:tcW w:w="2839" w:type="dxa"/>
          </w:tcPr>
          <w:p w14:paraId="3A4BC201" w14:textId="77777777" w:rsidR="001113C7" w:rsidRPr="001113C7" w:rsidRDefault="001113C7" w:rsidP="001113C7">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sidRPr="001113C7">
              <w:rPr>
                <w:rFonts w:ascii="Calibri" w:hAnsi="Calibri"/>
                <w:b/>
              </w:rPr>
              <w:t>35 (83%)</w:t>
            </w:r>
          </w:p>
        </w:tc>
        <w:tc>
          <w:tcPr>
            <w:tcW w:w="2839" w:type="dxa"/>
          </w:tcPr>
          <w:p w14:paraId="075E8585" w14:textId="77777777" w:rsidR="001113C7" w:rsidRPr="001113C7" w:rsidRDefault="001113C7" w:rsidP="001113C7">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sidRPr="001113C7">
              <w:rPr>
                <w:rFonts w:ascii="Calibri" w:hAnsi="Calibri"/>
                <w:b/>
              </w:rPr>
              <w:t>33 (75%)</w:t>
            </w:r>
          </w:p>
        </w:tc>
      </w:tr>
      <w:tr w:rsidR="00274B5D" w:rsidRPr="001113C7" w14:paraId="093ABE05" w14:textId="77777777" w:rsidTr="00125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tcPr>
          <w:p w14:paraId="74A8DD85" w14:textId="6A351274" w:rsidR="00CA25FA" w:rsidRDefault="00CA25FA" w:rsidP="001256AC">
            <w:pPr>
              <w:rPr>
                <w:rFonts w:ascii="Calibri" w:hAnsi="Calibri"/>
                <w:b w:val="0"/>
                <w:bCs w:val="0"/>
              </w:rPr>
            </w:pPr>
            <w:r>
              <w:rPr>
                <w:rFonts w:ascii="Calibri" w:hAnsi="Calibri"/>
              </w:rPr>
              <w:t>Clinical Diagnosis:</w:t>
            </w:r>
          </w:p>
          <w:p w14:paraId="3BE03A2B" w14:textId="77777777" w:rsidR="00274B5D" w:rsidRDefault="00274B5D" w:rsidP="001256AC">
            <w:pPr>
              <w:rPr>
                <w:rFonts w:ascii="Calibri" w:hAnsi="Calibri"/>
                <w:b w:val="0"/>
                <w:bCs w:val="0"/>
              </w:rPr>
            </w:pPr>
          </w:p>
          <w:p w14:paraId="4ECA8EE8" w14:textId="77777777" w:rsidR="001113C7" w:rsidRPr="0071264D" w:rsidRDefault="001113C7" w:rsidP="001256AC">
            <w:pPr>
              <w:rPr>
                <w:rFonts w:ascii="Calibri" w:hAnsi="Calibri"/>
                <w:b w:val="0"/>
                <w:bCs w:val="0"/>
              </w:rPr>
            </w:pPr>
            <w:r w:rsidRPr="0071264D">
              <w:rPr>
                <w:rFonts w:ascii="Calibri" w:hAnsi="Calibri"/>
              </w:rPr>
              <w:t>Prior diagnosis of multiple sclerosis</w:t>
            </w:r>
          </w:p>
          <w:p w14:paraId="4BD94B93" w14:textId="6F66356B" w:rsidR="00CA25FA" w:rsidRPr="0071264D" w:rsidRDefault="00CA25FA" w:rsidP="001256AC">
            <w:pPr>
              <w:rPr>
                <w:rFonts w:ascii="Calibri" w:hAnsi="Calibri"/>
                <w:b w:val="0"/>
                <w:bCs w:val="0"/>
              </w:rPr>
            </w:pPr>
            <w:r w:rsidRPr="0071264D">
              <w:rPr>
                <w:rFonts w:ascii="Calibri" w:hAnsi="Calibri"/>
              </w:rPr>
              <w:t xml:space="preserve">Multiple sclerosis diagnosed at  </w:t>
            </w:r>
            <w:proofErr w:type="spellStart"/>
            <w:r w:rsidRPr="0071264D">
              <w:rPr>
                <w:rFonts w:ascii="Calibri" w:hAnsi="Calibri"/>
              </w:rPr>
              <w:t>screening</w:t>
            </w:r>
            <w:r w:rsidRPr="0071264D">
              <w:rPr>
                <w:rFonts w:ascii="Calibri" w:hAnsi="Calibri"/>
                <w:vertAlign w:val="superscript"/>
              </w:rPr>
              <w:t>a</w:t>
            </w:r>
            <w:proofErr w:type="spellEnd"/>
          </w:p>
          <w:p w14:paraId="1B8F5932" w14:textId="5DFF4EA3" w:rsidR="00CA25FA" w:rsidRPr="001113C7" w:rsidRDefault="00CA25FA" w:rsidP="001256AC">
            <w:pPr>
              <w:rPr>
                <w:rFonts w:ascii="Calibri" w:hAnsi="Calibri"/>
                <w:b w:val="0"/>
                <w:bCs w:val="0"/>
              </w:rPr>
            </w:pPr>
            <w:r w:rsidRPr="0071264D">
              <w:rPr>
                <w:rFonts w:ascii="Calibri" w:hAnsi="Calibri"/>
              </w:rPr>
              <w:t>Clinically isolated</w:t>
            </w:r>
            <w:r w:rsidR="002A226A" w:rsidRPr="001256AC">
              <w:rPr>
                <w:rFonts w:ascii="Calibri" w:hAnsi="Calibri"/>
              </w:rPr>
              <w:t xml:space="preserve"> syndrome</w:t>
            </w:r>
          </w:p>
        </w:tc>
        <w:tc>
          <w:tcPr>
            <w:tcW w:w="2839" w:type="dxa"/>
          </w:tcPr>
          <w:p w14:paraId="009CB5E5" w14:textId="77777777" w:rsidR="00CA25FA" w:rsidRDefault="00CA25FA" w:rsidP="001113C7">
            <w:pPr>
              <w:jc w:val="both"/>
              <w:cnfStyle w:val="000000100000" w:firstRow="0" w:lastRow="0" w:firstColumn="0" w:lastColumn="0" w:oddVBand="0" w:evenVBand="0" w:oddHBand="1" w:evenHBand="0" w:firstRowFirstColumn="0" w:firstRowLastColumn="0" w:lastRowFirstColumn="0" w:lastRowLastColumn="0"/>
              <w:rPr>
                <w:rFonts w:ascii="Calibri" w:hAnsi="Calibri"/>
                <w:b/>
              </w:rPr>
            </w:pPr>
          </w:p>
          <w:p w14:paraId="24246149" w14:textId="77777777" w:rsidR="00274B5D" w:rsidRDefault="00274B5D" w:rsidP="001113C7">
            <w:pPr>
              <w:jc w:val="both"/>
              <w:cnfStyle w:val="000000100000" w:firstRow="0" w:lastRow="0" w:firstColumn="0" w:lastColumn="0" w:oddVBand="0" w:evenVBand="0" w:oddHBand="1" w:evenHBand="0" w:firstRowFirstColumn="0" w:firstRowLastColumn="0" w:lastRowFirstColumn="0" w:lastRowLastColumn="0"/>
              <w:rPr>
                <w:rFonts w:ascii="Calibri" w:hAnsi="Calibri"/>
                <w:b/>
              </w:rPr>
            </w:pPr>
          </w:p>
          <w:p w14:paraId="53C1B134" w14:textId="77777777" w:rsidR="001113C7" w:rsidRDefault="001113C7" w:rsidP="001113C7">
            <w:pPr>
              <w:jc w:val="both"/>
              <w:cnfStyle w:val="000000100000" w:firstRow="0" w:lastRow="0" w:firstColumn="0" w:lastColumn="0" w:oddVBand="0" w:evenVBand="0" w:oddHBand="1" w:evenHBand="0" w:firstRowFirstColumn="0" w:firstRowLastColumn="0" w:lastRowFirstColumn="0" w:lastRowLastColumn="0"/>
              <w:rPr>
                <w:rFonts w:ascii="Calibri" w:hAnsi="Calibri"/>
                <w:b/>
              </w:rPr>
            </w:pPr>
            <w:r w:rsidRPr="001113C7">
              <w:rPr>
                <w:rFonts w:ascii="Calibri" w:hAnsi="Calibri"/>
                <w:b/>
              </w:rPr>
              <w:t>1 (2%)</w:t>
            </w:r>
          </w:p>
          <w:p w14:paraId="48B7F7E0" w14:textId="77777777" w:rsidR="001961AA" w:rsidRDefault="001961AA" w:rsidP="001113C7">
            <w:pPr>
              <w:jc w:val="both"/>
              <w:cnfStyle w:val="000000100000" w:firstRow="0" w:lastRow="0" w:firstColumn="0" w:lastColumn="0" w:oddVBand="0" w:evenVBand="0" w:oddHBand="1" w:evenHBand="0" w:firstRowFirstColumn="0" w:firstRowLastColumn="0" w:lastRowFirstColumn="0" w:lastRowLastColumn="0"/>
              <w:rPr>
                <w:rFonts w:ascii="Calibri" w:hAnsi="Calibri"/>
                <w:b/>
              </w:rPr>
            </w:pPr>
          </w:p>
          <w:p w14:paraId="7E99CE96" w14:textId="77777777" w:rsidR="001961AA" w:rsidRDefault="0071264D" w:rsidP="001113C7">
            <w:pPr>
              <w:jc w:val="both"/>
              <w:cnfStyle w:val="000000100000" w:firstRow="0" w:lastRow="0" w:firstColumn="0" w:lastColumn="0" w:oddVBand="0" w:evenVBand="0" w:oddHBand="1" w:evenHBand="0" w:firstRowFirstColumn="0" w:firstRowLastColumn="0" w:lastRowFirstColumn="0" w:lastRowLastColumn="0"/>
              <w:rPr>
                <w:rFonts w:ascii="Calibri" w:hAnsi="Calibri"/>
                <w:b/>
              </w:rPr>
            </w:pPr>
            <w:r>
              <w:rPr>
                <w:rFonts w:ascii="Calibri" w:hAnsi="Calibri"/>
                <w:b/>
              </w:rPr>
              <w:t>13 (31%)</w:t>
            </w:r>
          </w:p>
          <w:p w14:paraId="6D9759C2" w14:textId="77777777" w:rsidR="0071264D" w:rsidRDefault="0071264D" w:rsidP="001113C7">
            <w:pPr>
              <w:jc w:val="both"/>
              <w:cnfStyle w:val="000000100000" w:firstRow="0" w:lastRow="0" w:firstColumn="0" w:lastColumn="0" w:oddVBand="0" w:evenVBand="0" w:oddHBand="1" w:evenHBand="0" w:firstRowFirstColumn="0" w:firstRowLastColumn="0" w:lastRowFirstColumn="0" w:lastRowLastColumn="0"/>
              <w:rPr>
                <w:rFonts w:ascii="Calibri" w:hAnsi="Calibri"/>
                <w:b/>
              </w:rPr>
            </w:pPr>
          </w:p>
          <w:p w14:paraId="655D8D3B" w14:textId="625B5EB0" w:rsidR="0071264D" w:rsidRPr="001113C7" w:rsidRDefault="0071264D" w:rsidP="001113C7">
            <w:pPr>
              <w:jc w:val="both"/>
              <w:cnfStyle w:val="000000100000" w:firstRow="0" w:lastRow="0" w:firstColumn="0" w:lastColumn="0" w:oddVBand="0" w:evenVBand="0" w:oddHBand="1" w:evenHBand="0" w:firstRowFirstColumn="0" w:firstRowLastColumn="0" w:lastRowFirstColumn="0" w:lastRowLastColumn="0"/>
              <w:rPr>
                <w:rFonts w:ascii="Calibri" w:hAnsi="Calibri"/>
                <w:b/>
              </w:rPr>
            </w:pPr>
            <w:r>
              <w:rPr>
                <w:rFonts w:ascii="Calibri" w:hAnsi="Calibri"/>
                <w:b/>
              </w:rPr>
              <w:t>28 (67%)</w:t>
            </w:r>
          </w:p>
        </w:tc>
        <w:tc>
          <w:tcPr>
            <w:tcW w:w="2839" w:type="dxa"/>
          </w:tcPr>
          <w:p w14:paraId="2CC32B34" w14:textId="77777777" w:rsidR="00CA25FA" w:rsidRDefault="00CA25FA" w:rsidP="001113C7">
            <w:pPr>
              <w:jc w:val="both"/>
              <w:cnfStyle w:val="000000100000" w:firstRow="0" w:lastRow="0" w:firstColumn="0" w:lastColumn="0" w:oddVBand="0" w:evenVBand="0" w:oddHBand="1" w:evenHBand="0" w:firstRowFirstColumn="0" w:firstRowLastColumn="0" w:lastRowFirstColumn="0" w:lastRowLastColumn="0"/>
              <w:rPr>
                <w:rFonts w:ascii="Calibri" w:hAnsi="Calibri"/>
                <w:b/>
              </w:rPr>
            </w:pPr>
          </w:p>
          <w:p w14:paraId="22B4E2F2" w14:textId="77777777" w:rsidR="00274B5D" w:rsidRDefault="00274B5D" w:rsidP="001113C7">
            <w:pPr>
              <w:jc w:val="both"/>
              <w:cnfStyle w:val="000000100000" w:firstRow="0" w:lastRow="0" w:firstColumn="0" w:lastColumn="0" w:oddVBand="0" w:evenVBand="0" w:oddHBand="1" w:evenHBand="0" w:firstRowFirstColumn="0" w:firstRowLastColumn="0" w:lastRowFirstColumn="0" w:lastRowLastColumn="0"/>
              <w:rPr>
                <w:rFonts w:ascii="Calibri" w:hAnsi="Calibri"/>
                <w:b/>
              </w:rPr>
            </w:pPr>
          </w:p>
          <w:p w14:paraId="0FCB52BC" w14:textId="77777777" w:rsidR="001113C7" w:rsidRDefault="001113C7" w:rsidP="001113C7">
            <w:pPr>
              <w:jc w:val="both"/>
              <w:cnfStyle w:val="000000100000" w:firstRow="0" w:lastRow="0" w:firstColumn="0" w:lastColumn="0" w:oddVBand="0" w:evenVBand="0" w:oddHBand="1" w:evenHBand="0" w:firstRowFirstColumn="0" w:firstRowLastColumn="0" w:lastRowFirstColumn="0" w:lastRowLastColumn="0"/>
              <w:rPr>
                <w:rFonts w:ascii="Calibri" w:hAnsi="Calibri"/>
                <w:b/>
              </w:rPr>
            </w:pPr>
            <w:r w:rsidRPr="001113C7">
              <w:rPr>
                <w:rFonts w:ascii="Calibri" w:hAnsi="Calibri"/>
                <w:b/>
              </w:rPr>
              <w:t>3 (7%)</w:t>
            </w:r>
          </w:p>
          <w:p w14:paraId="3E2619DF" w14:textId="77777777" w:rsidR="0071264D" w:rsidRDefault="0071264D" w:rsidP="001113C7">
            <w:pPr>
              <w:jc w:val="both"/>
              <w:cnfStyle w:val="000000100000" w:firstRow="0" w:lastRow="0" w:firstColumn="0" w:lastColumn="0" w:oddVBand="0" w:evenVBand="0" w:oddHBand="1" w:evenHBand="0" w:firstRowFirstColumn="0" w:firstRowLastColumn="0" w:lastRowFirstColumn="0" w:lastRowLastColumn="0"/>
              <w:rPr>
                <w:rFonts w:ascii="Calibri" w:hAnsi="Calibri"/>
                <w:b/>
              </w:rPr>
            </w:pPr>
          </w:p>
          <w:p w14:paraId="56BB46F8" w14:textId="699E7274" w:rsidR="0071264D" w:rsidRDefault="0071264D" w:rsidP="001113C7">
            <w:pPr>
              <w:jc w:val="both"/>
              <w:cnfStyle w:val="000000100000" w:firstRow="0" w:lastRow="0" w:firstColumn="0" w:lastColumn="0" w:oddVBand="0" w:evenVBand="0" w:oddHBand="1" w:evenHBand="0" w:firstRowFirstColumn="0" w:firstRowLastColumn="0" w:lastRowFirstColumn="0" w:lastRowLastColumn="0"/>
              <w:rPr>
                <w:rFonts w:ascii="Calibri" w:hAnsi="Calibri"/>
                <w:b/>
              </w:rPr>
            </w:pPr>
            <w:r>
              <w:rPr>
                <w:rFonts w:ascii="Calibri" w:hAnsi="Calibri"/>
                <w:b/>
              </w:rPr>
              <w:t>11 (25%)</w:t>
            </w:r>
          </w:p>
          <w:p w14:paraId="664C5F7A" w14:textId="77777777" w:rsidR="0071264D" w:rsidRDefault="0071264D" w:rsidP="001113C7">
            <w:pPr>
              <w:jc w:val="both"/>
              <w:cnfStyle w:val="000000100000" w:firstRow="0" w:lastRow="0" w:firstColumn="0" w:lastColumn="0" w:oddVBand="0" w:evenVBand="0" w:oddHBand="1" w:evenHBand="0" w:firstRowFirstColumn="0" w:firstRowLastColumn="0" w:lastRowFirstColumn="0" w:lastRowLastColumn="0"/>
              <w:rPr>
                <w:rFonts w:ascii="Calibri" w:hAnsi="Calibri"/>
                <w:b/>
              </w:rPr>
            </w:pPr>
          </w:p>
          <w:p w14:paraId="1AF7A77C" w14:textId="29E1038F" w:rsidR="0071264D" w:rsidRDefault="0071264D" w:rsidP="001113C7">
            <w:pPr>
              <w:jc w:val="both"/>
              <w:cnfStyle w:val="000000100000" w:firstRow="0" w:lastRow="0" w:firstColumn="0" w:lastColumn="0" w:oddVBand="0" w:evenVBand="0" w:oddHBand="1" w:evenHBand="0" w:firstRowFirstColumn="0" w:firstRowLastColumn="0" w:lastRowFirstColumn="0" w:lastRowLastColumn="0"/>
              <w:rPr>
                <w:rFonts w:ascii="Calibri" w:hAnsi="Calibri"/>
                <w:b/>
              </w:rPr>
            </w:pPr>
            <w:r>
              <w:rPr>
                <w:rFonts w:ascii="Calibri" w:hAnsi="Calibri"/>
                <w:b/>
              </w:rPr>
              <w:t>30 (68%)</w:t>
            </w:r>
          </w:p>
          <w:p w14:paraId="0631BCE2" w14:textId="77777777" w:rsidR="001961AA" w:rsidRDefault="001961AA" w:rsidP="001113C7">
            <w:pPr>
              <w:jc w:val="both"/>
              <w:cnfStyle w:val="000000100000" w:firstRow="0" w:lastRow="0" w:firstColumn="0" w:lastColumn="0" w:oddVBand="0" w:evenVBand="0" w:oddHBand="1" w:evenHBand="0" w:firstRowFirstColumn="0" w:firstRowLastColumn="0" w:lastRowFirstColumn="0" w:lastRowLastColumn="0"/>
              <w:rPr>
                <w:rFonts w:ascii="Calibri" w:hAnsi="Calibri"/>
                <w:b/>
              </w:rPr>
            </w:pPr>
          </w:p>
          <w:p w14:paraId="510007DE" w14:textId="4D22D4F8" w:rsidR="001961AA" w:rsidRPr="001113C7" w:rsidRDefault="001961AA" w:rsidP="001113C7">
            <w:pPr>
              <w:jc w:val="both"/>
              <w:cnfStyle w:val="000000100000" w:firstRow="0" w:lastRow="0" w:firstColumn="0" w:lastColumn="0" w:oddVBand="0" w:evenVBand="0" w:oddHBand="1" w:evenHBand="0" w:firstRowFirstColumn="0" w:firstRowLastColumn="0" w:lastRowFirstColumn="0" w:lastRowLastColumn="0"/>
              <w:rPr>
                <w:rFonts w:ascii="Calibri" w:hAnsi="Calibri"/>
                <w:b/>
              </w:rPr>
            </w:pPr>
          </w:p>
        </w:tc>
      </w:tr>
      <w:tr w:rsidR="001113C7" w:rsidRPr="001113C7" w14:paraId="01B07BDC" w14:textId="77777777" w:rsidTr="001256AC">
        <w:tc>
          <w:tcPr>
            <w:cnfStyle w:val="001000000000" w:firstRow="0" w:lastRow="0" w:firstColumn="1" w:lastColumn="0" w:oddVBand="0" w:evenVBand="0" w:oddHBand="0" w:evenHBand="0" w:firstRowFirstColumn="0" w:firstRowLastColumn="0" w:lastRowFirstColumn="0" w:lastRowLastColumn="0"/>
            <w:tcW w:w="2838" w:type="dxa"/>
          </w:tcPr>
          <w:p w14:paraId="2D988EA6" w14:textId="77777777" w:rsidR="001113C7" w:rsidRPr="001113C7" w:rsidRDefault="001113C7" w:rsidP="001256AC">
            <w:pPr>
              <w:rPr>
                <w:rFonts w:ascii="Calibri" w:hAnsi="Calibri"/>
                <w:b w:val="0"/>
                <w:bCs w:val="0"/>
              </w:rPr>
            </w:pPr>
            <w:r w:rsidRPr="001113C7">
              <w:rPr>
                <w:rFonts w:ascii="Calibri" w:hAnsi="Calibri" w:hint="eastAsia"/>
              </w:rPr>
              <w:t>≥</w:t>
            </w:r>
            <w:r w:rsidRPr="001113C7">
              <w:rPr>
                <w:rFonts w:ascii="Calibri" w:hAnsi="Calibri" w:hint="eastAsia"/>
              </w:rPr>
              <w:t xml:space="preserve"> 1 T2 </w:t>
            </w:r>
            <w:proofErr w:type="spellStart"/>
            <w:r w:rsidRPr="001113C7">
              <w:rPr>
                <w:rFonts w:ascii="Calibri" w:hAnsi="Calibri"/>
              </w:rPr>
              <w:t>hyperintense</w:t>
            </w:r>
            <w:proofErr w:type="spellEnd"/>
            <w:r w:rsidRPr="001113C7">
              <w:rPr>
                <w:rFonts w:ascii="Calibri" w:hAnsi="Calibri"/>
              </w:rPr>
              <w:t xml:space="preserve"> MRI brain lesion</w:t>
            </w:r>
          </w:p>
        </w:tc>
        <w:tc>
          <w:tcPr>
            <w:tcW w:w="2839" w:type="dxa"/>
          </w:tcPr>
          <w:p w14:paraId="50A53F0F" w14:textId="77777777" w:rsidR="001113C7" w:rsidRPr="001113C7" w:rsidRDefault="001113C7" w:rsidP="001113C7">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sidRPr="001113C7">
              <w:rPr>
                <w:rFonts w:ascii="Calibri" w:hAnsi="Calibri"/>
                <w:b/>
              </w:rPr>
              <w:t>32(73%)</w:t>
            </w:r>
          </w:p>
        </w:tc>
        <w:tc>
          <w:tcPr>
            <w:tcW w:w="2839" w:type="dxa"/>
          </w:tcPr>
          <w:p w14:paraId="6E710A99" w14:textId="77777777" w:rsidR="001113C7" w:rsidRPr="001113C7" w:rsidRDefault="001113C7" w:rsidP="001113C7">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sidRPr="001113C7">
              <w:rPr>
                <w:rFonts w:ascii="Calibri" w:hAnsi="Calibri"/>
                <w:b/>
              </w:rPr>
              <w:t>32(76%)</w:t>
            </w:r>
          </w:p>
        </w:tc>
      </w:tr>
      <w:tr w:rsidR="00274B5D" w:rsidRPr="001113C7" w14:paraId="64929124" w14:textId="77777777" w:rsidTr="00125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tcPr>
          <w:p w14:paraId="6A8C462A" w14:textId="77777777" w:rsidR="001113C7" w:rsidRPr="001113C7" w:rsidRDefault="001113C7" w:rsidP="001256AC">
            <w:pPr>
              <w:rPr>
                <w:rFonts w:ascii="Calibri" w:hAnsi="Calibri"/>
                <w:b w:val="0"/>
                <w:bCs w:val="0"/>
              </w:rPr>
            </w:pPr>
            <w:r w:rsidRPr="001113C7">
              <w:rPr>
                <w:rFonts w:ascii="Calibri" w:hAnsi="Calibri"/>
              </w:rPr>
              <w:t>RNFL thickness affected eye (</w:t>
            </w:r>
            <w:proofErr w:type="spellStart"/>
            <w:r w:rsidRPr="001113C7">
              <w:rPr>
                <w:rFonts w:ascii="Calibri" w:hAnsi="Calibri"/>
              </w:rPr>
              <w:t>μm</w:t>
            </w:r>
            <w:proofErr w:type="spellEnd"/>
            <w:r w:rsidRPr="001113C7">
              <w:rPr>
                <w:rFonts w:ascii="Calibri" w:hAnsi="Calibri"/>
              </w:rPr>
              <w:t>)</w:t>
            </w:r>
          </w:p>
        </w:tc>
        <w:tc>
          <w:tcPr>
            <w:tcW w:w="2839" w:type="dxa"/>
          </w:tcPr>
          <w:p w14:paraId="226CAFA6" w14:textId="77777777" w:rsidR="001113C7" w:rsidRPr="001113C7" w:rsidRDefault="001113C7" w:rsidP="001113C7">
            <w:pPr>
              <w:jc w:val="both"/>
              <w:cnfStyle w:val="000000100000" w:firstRow="0" w:lastRow="0" w:firstColumn="0" w:lastColumn="0" w:oddVBand="0" w:evenVBand="0" w:oddHBand="1" w:evenHBand="0" w:firstRowFirstColumn="0" w:firstRowLastColumn="0" w:lastRowFirstColumn="0" w:lastRowLastColumn="0"/>
              <w:rPr>
                <w:rFonts w:ascii="Calibri" w:hAnsi="Calibri"/>
                <w:b/>
              </w:rPr>
            </w:pPr>
            <w:r w:rsidRPr="001113C7">
              <w:rPr>
                <w:rFonts w:ascii="Calibri" w:hAnsi="Calibri"/>
                <w:b/>
              </w:rPr>
              <w:t>130·62 (46·4)</w:t>
            </w:r>
          </w:p>
        </w:tc>
        <w:tc>
          <w:tcPr>
            <w:tcW w:w="2839" w:type="dxa"/>
          </w:tcPr>
          <w:p w14:paraId="3E9B3D7C" w14:textId="77777777" w:rsidR="001113C7" w:rsidRPr="001113C7" w:rsidRDefault="001113C7" w:rsidP="001113C7">
            <w:pPr>
              <w:jc w:val="both"/>
              <w:cnfStyle w:val="000000100000" w:firstRow="0" w:lastRow="0" w:firstColumn="0" w:lastColumn="0" w:oddVBand="0" w:evenVBand="0" w:oddHBand="1" w:evenHBand="0" w:firstRowFirstColumn="0" w:firstRowLastColumn="0" w:lastRowFirstColumn="0" w:lastRowLastColumn="0"/>
              <w:rPr>
                <w:rFonts w:ascii="Calibri" w:hAnsi="Calibri"/>
                <w:b/>
              </w:rPr>
            </w:pPr>
            <w:r w:rsidRPr="001113C7">
              <w:rPr>
                <w:rFonts w:ascii="Calibri" w:hAnsi="Calibri"/>
                <w:b/>
              </w:rPr>
              <w:t>125·20 (43·4)</w:t>
            </w:r>
          </w:p>
        </w:tc>
      </w:tr>
      <w:tr w:rsidR="001113C7" w:rsidRPr="001113C7" w14:paraId="21329F63" w14:textId="77777777" w:rsidTr="001256AC">
        <w:tc>
          <w:tcPr>
            <w:cnfStyle w:val="001000000000" w:firstRow="0" w:lastRow="0" w:firstColumn="1" w:lastColumn="0" w:oddVBand="0" w:evenVBand="0" w:oddHBand="0" w:evenHBand="0" w:firstRowFirstColumn="0" w:firstRowLastColumn="0" w:lastRowFirstColumn="0" w:lastRowLastColumn="0"/>
            <w:tcW w:w="2838" w:type="dxa"/>
          </w:tcPr>
          <w:p w14:paraId="65D6FCC6" w14:textId="77777777" w:rsidR="001113C7" w:rsidRPr="001113C7" w:rsidRDefault="001113C7" w:rsidP="001256AC">
            <w:pPr>
              <w:rPr>
                <w:rFonts w:ascii="Calibri" w:hAnsi="Calibri"/>
                <w:b w:val="0"/>
                <w:bCs w:val="0"/>
              </w:rPr>
            </w:pPr>
            <w:r w:rsidRPr="001113C7">
              <w:rPr>
                <w:rFonts w:ascii="Calibri" w:hAnsi="Calibri"/>
              </w:rPr>
              <w:t>RNFL thickness unaffected eye (</w:t>
            </w:r>
            <w:proofErr w:type="spellStart"/>
            <w:r w:rsidRPr="001113C7">
              <w:rPr>
                <w:rFonts w:ascii="Calibri" w:hAnsi="Calibri"/>
              </w:rPr>
              <w:t>μm</w:t>
            </w:r>
            <w:proofErr w:type="spellEnd"/>
            <w:r w:rsidRPr="001113C7">
              <w:rPr>
                <w:rFonts w:ascii="Calibri" w:hAnsi="Calibri"/>
              </w:rPr>
              <w:t>)</w:t>
            </w:r>
          </w:p>
        </w:tc>
        <w:tc>
          <w:tcPr>
            <w:tcW w:w="2839" w:type="dxa"/>
          </w:tcPr>
          <w:p w14:paraId="03AC2AF3" w14:textId="77777777" w:rsidR="001113C7" w:rsidRPr="001113C7" w:rsidRDefault="001113C7" w:rsidP="001113C7">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sidRPr="001113C7">
              <w:rPr>
                <w:rFonts w:ascii="Calibri" w:hAnsi="Calibri"/>
                <w:b/>
              </w:rPr>
              <w:t>98·02</w:t>
            </w:r>
          </w:p>
          <w:p w14:paraId="7EF858C8" w14:textId="77777777" w:rsidR="001113C7" w:rsidRPr="001113C7" w:rsidRDefault="001113C7" w:rsidP="001113C7">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sidRPr="001113C7">
              <w:rPr>
                <w:rFonts w:ascii="Calibri" w:hAnsi="Calibri"/>
                <w:b/>
              </w:rPr>
              <w:t>(11·08)</w:t>
            </w:r>
          </w:p>
        </w:tc>
        <w:tc>
          <w:tcPr>
            <w:tcW w:w="2839" w:type="dxa"/>
          </w:tcPr>
          <w:p w14:paraId="1872ECD1" w14:textId="77777777" w:rsidR="001113C7" w:rsidRPr="001113C7" w:rsidRDefault="001113C7" w:rsidP="001113C7">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sidRPr="001113C7">
              <w:rPr>
                <w:rFonts w:ascii="Calibri" w:hAnsi="Calibri"/>
                <w:b/>
              </w:rPr>
              <w:t>98·36</w:t>
            </w:r>
          </w:p>
          <w:p w14:paraId="0BF3C0A8" w14:textId="77777777" w:rsidR="001113C7" w:rsidRPr="001113C7" w:rsidRDefault="001113C7" w:rsidP="001113C7">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sidRPr="001113C7">
              <w:rPr>
                <w:rFonts w:ascii="Calibri" w:hAnsi="Calibri"/>
                <w:b/>
              </w:rPr>
              <w:t>(10·99)</w:t>
            </w:r>
          </w:p>
        </w:tc>
      </w:tr>
      <w:tr w:rsidR="00274B5D" w:rsidRPr="001113C7" w14:paraId="3711084C" w14:textId="77777777" w:rsidTr="00125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tcPr>
          <w:p w14:paraId="2E194ED7" w14:textId="77777777" w:rsidR="001113C7" w:rsidRPr="001113C7" w:rsidRDefault="001113C7" w:rsidP="001256AC">
            <w:pPr>
              <w:rPr>
                <w:rFonts w:ascii="Calibri" w:hAnsi="Calibri"/>
                <w:b w:val="0"/>
                <w:bCs w:val="0"/>
              </w:rPr>
            </w:pPr>
            <w:r w:rsidRPr="001113C7">
              <w:rPr>
                <w:rFonts w:ascii="Calibri" w:hAnsi="Calibri"/>
              </w:rPr>
              <w:t>Macular volume (mm</w:t>
            </w:r>
            <w:r w:rsidRPr="001113C7">
              <w:rPr>
                <w:rFonts w:ascii="Calibri" w:hAnsi="Calibri"/>
                <w:vertAlign w:val="superscript"/>
              </w:rPr>
              <w:t>3</w:t>
            </w:r>
            <w:r w:rsidRPr="001113C7">
              <w:rPr>
                <w:rFonts w:ascii="Calibri" w:hAnsi="Calibri"/>
              </w:rPr>
              <w:t>)</w:t>
            </w:r>
          </w:p>
        </w:tc>
        <w:tc>
          <w:tcPr>
            <w:tcW w:w="2839" w:type="dxa"/>
          </w:tcPr>
          <w:p w14:paraId="1BF25896" w14:textId="77777777" w:rsidR="001113C7" w:rsidRPr="001113C7" w:rsidRDefault="001113C7" w:rsidP="001113C7">
            <w:pPr>
              <w:jc w:val="both"/>
              <w:cnfStyle w:val="000000100000" w:firstRow="0" w:lastRow="0" w:firstColumn="0" w:lastColumn="0" w:oddVBand="0" w:evenVBand="0" w:oddHBand="1" w:evenHBand="0" w:firstRowFirstColumn="0" w:firstRowLastColumn="0" w:lastRowFirstColumn="0" w:lastRowLastColumn="0"/>
              <w:rPr>
                <w:rFonts w:ascii="Calibri" w:hAnsi="Calibri"/>
                <w:b/>
              </w:rPr>
            </w:pPr>
            <w:r w:rsidRPr="001113C7">
              <w:rPr>
                <w:rFonts w:ascii="Calibri" w:hAnsi="Calibri"/>
                <w:b/>
              </w:rPr>
              <w:t>8·71 (0·46)</w:t>
            </w:r>
          </w:p>
        </w:tc>
        <w:tc>
          <w:tcPr>
            <w:tcW w:w="2839" w:type="dxa"/>
          </w:tcPr>
          <w:p w14:paraId="3B3D3B19" w14:textId="77777777" w:rsidR="001113C7" w:rsidRPr="001113C7" w:rsidRDefault="001113C7" w:rsidP="001113C7">
            <w:pPr>
              <w:jc w:val="both"/>
              <w:cnfStyle w:val="000000100000" w:firstRow="0" w:lastRow="0" w:firstColumn="0" w:lastColumn="0" w:oddVBand="0" w:evenVBand="0" w:oddHBand="1" w:evenHBand="0" w:firstRowFirstColumn="0" w:firstRowLastColumn="0" w:lastRowFirstColumn="0" w:lastRowLastColumn="0"/>
              <w:rPr>
                <w:rFonts w:ascii="Calibri" w:hAnsi="Calibri"/>
                <w:b/>
              </w:rPr>
            </w:pPr>
            <w:r w:rsidRPr="001113C7">
              <w:rPr>
                <w:rFonts w:ascii="Calibri" w:hAnsi="Calibri"/>
                <w:b/>
              </w:rPr>
              <w:t>8·63 (0·43)</w:t>
            </w:r>
          </w:p>
        </w:tc>
      </w:tr>
      <w:tr w:rsidR="001113C7" w:rsidRPr="001113C7" w14:paraId="240FEF37" w14:textId="77777777" w:rsidTr="001256AC">
        <w:tc>
          <w:tcPr>
            <w:cnfStyle w:val="001000000000" w:firstRow="0" w:lastRow="0" w:firstColumn="1" w:lastColumn="0" w:oddVBand="0" w:evenVBand="0" w:oddHBand="0" w:evenHBand="0" w:firstRowFirstColumn="0" w:firstRowLastColumn="0" w:lastRowFirstColumn="0" w:lastRowLastColumn="0"/>
            <w:tcW w:w="2838" w:type="dxa"/>
          </w:tcPr>
          <w:p w14:paraId="237819C3" w14:textId="77777777" w:rsidR="001113C7" w:rsidRPr="001113C7" w:rsidRDefault="001113C7" w:rsidP="001256AC">
            <w:pPr>
              <w:rPr>
                <w:rFonts w:ascii="Calibri" w:hAnsi="Calibri"/>
                <w:b w:val="0"/>
                <w:bCs w:val="0"/>
              </w:rPr>
            </w:pPr>
            <w:proofErr w:type="spellStart"/>
            <w:r w:rsidRPr="001113C7">
              <w:rPr>
                <w:rFonts w:ascii="Calibri" w:hAnsi="Calibri"/>
              </w:rPr>
              <w:t>LogMAR</w:t>
            </w:r>
            <w:proofErr w:type="spellEnd"/>
            <w:r w:rsidRPr="001113C7">
              <w:rPr>
                <w:rFonts w:ascii="Calibri" w:hAnsi="Calibri"/>
              </w:rPr>
              <w:t xml:space="preserve"> visual acuity</w:t>
            </w:r>
          </w:p>
        </w:tc>
        <w:tc>
          <w:tcPr>
            <w:tcW w:w="2839" w:type="dxa"/>
          </w:tcPr>
          <w:p w14:paraId="518112A0" w14:textId="77777777" w:rsidR="001113C7" w:rsidRPr="001113C7" w:rsidRDefault="001113C7" w:rsidP="001113C7">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sidRPr="001113C7">
              <w:rPr>
                <w:rFonts w:ascii="Calibri" w:hAnsi="Calibri"/>
                <w:b/>
              </w:rPr>
              <w:t>1·11 (0·54)</w:t>
            </w:r>
          </w:p>
        </w:tc>
        <w:tc>
          <w:tcPr>
            <w:tcW w:w="2839" w:type="dxa"/>
          </w:tcPr>
          <w:p w14:paraId="5FB45439" w14:textId="77777777" w:rsidR="001113C7" w:rsidRPr="001113C7" w:rsidRDefault="001113C7" w:rsidP="001113C7">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sidRPr="001113C7">
              <w:rPr>
                <w:rFonts w:ascii="Calibri" w:hAnsi="Calibri"/>
                <w:b/>
              </w:rPr>
              <w:t>1·07 (0·60)</w:t>
            </w:r>
          </w:p>
        </w:tc>
      </w:tr>
      <w:tr w:rsidR="00274B5D" w:rsidRPr="001113C7" w14:paraId="3D4C5CE9" w14:textId="77777777" w:rsidTr="00125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tcPr>
          <w:p w14:paraId="1258E906" w14:textId="77777777" w:rsidR="001113C7" w:rsidRPr="001113C7" w:rsidRDefault="001113C7" w:rsidP="001256AC">
            <w:pPr>
              <w:rPr>
                <w:rFonts w:ascii="Calibri" w:hAnsi="Calibri"/>
                <w:b w:val="0"/>
                <w:bCs w:val="0"/>
              </w:rPr>
            </w:pPr>
            <w:r w:rsidRPr="001113C7">
              <w:rPr>
                <w:rFonts w:ascii="Calibri" w:hAnsi="Calibri"/>
              </w:rPr>
              <w:t xml:space="preserve">1·25% low contrast letter score </w:t>
            </w:r>
          </w:p>
        </w:tc>
        <w:tc>
          <w:tcPr>
            <w:tcW w:w="2839" w:type="dxa"/>
          </w:tcPr>
          <w:p w14:paraId="77F04F10" w14:textId="77777777" w:rsidR="001113C7" w:rsidRPr="001113C7" w:rsidRDefault="001113C7" w:rsidP="001113C7">
            <w:pPr>
              <w:jc w:val="both"/>
              <w:cnfStyle w:val="000000100000" w:firstRow="0" w:lastRow="0" w:firstColumn="0" w:lastColumn="0" w:oddVBand="0" w:evenVBand="0" w:oddHBand="1" w:evenHBand="0" w:firstRowFirstColumn="0" w:firstRowLastColumn="0" w:lastRowFirstColumn="0" w:lastRowLastColumn="0"/>
              <w:rPr>
                <w:rFonts w:ascii="Calibri" w:hAnsi="Calibri"/>
                <w:b/>
              </w:rPr>
            </w:pPr>
            <w:r w:rsidRPr="001113C7">
              <w:rPr>
                <w:rFonts w:ascii="Calibri" w:hAnsi="Calibri"/>
                <w:b/>
              </w:rPr>
              <w:t>0·07 (0·46)</w:t>
            </w:r>
          </w:p>
        </w:tc>
        <w:tc>
          <w:tcPr>
            <w:tcW w:w="2839" w:type="dxa"/>
          </w:tcPr>
          <w:p w14:paraId="59160861" w14:textId="77777777" w:rsidR="001113C7" w:rsidRPr="001113C7" w:rsidRDefault="001113C7" w:rsidP="001113C7">
            <w:pPr>
              <w:jc w:val="both"/>
              <w:cnfStyle w:val="000000100000" w:firstRow="0" w:lastRow="0" w:firstColumn="0" w:lastColumn="0" w:oddVBand="0" w:evenVBand="0" w:oddHBand="1" w:evenHBand="0" w:firstRowFirstColumn="0" w:firstRowLastColumn="0" w:lastRowFirstColumn="0" w:lastRowLastColumn="0"/>
              <w:rPr>
                <w:rFonts w:ascii="Calibri" w:hAnsi="Calibri"/>
                <w:b/>
              </w:rPr>
            </w:pPr>
            <w:r w:rsidRPr="001113C7">
              <w:rPr>
                <w:rFonts w:ascii="Calibri" w:hAnsi="Calibri"/>
                <w:b/>
              </w:rPr>
              <w:t>0·45 (3·02)</w:t>
            </w:r>
          </w:p>
        </w:tc>
      </w:tr>
      <w:tr w:rsidR="001113C7" w:rsidRPr="001113C7" w14:paraId="53DADFD9" w14:textId="77777777" w:rsidTr="001256AC">
        <w:tc>
          <w:tcPr>
            <w:cnfStyle w:val="001000000000" w:firstRow="0" w:lastRow="0" w:firstColumn="1" w:lastColumn="0" w:oddVBand="0" w:evenVBand="0" w:oddHBand="0" w:evenHBand="0" w:firstRowFirstColumn="0" w:firstRowLastColumn="0" w:lastRowFirstColumn="0" w:lastRowLastColumn="0"/>
            <w:tcW w:w="2838" w:type="dxa"/>
          </w:tcPr>
          <w:p w14:paraId="35953129" w14:textId="77777777" w:rsidR="001113C7" w:rsidRPr="001113C7" w:rsidRDefault="001113C7" w:rsidP="001256AC">
            <w:pPr>
              <w:rPr>
                <w:rFonts w:ascii="Calibri" w:hAnsi="Calibri"/>
                <w:b w:val="0"/>
                <w:bCs w:val="0"/>
              </w:rPr>
            </w:pPr>
            <w:r w:rsidRPr="001113C7">
              <w:rPr>
                <w:rFonts w:ascii="Calibri" w:hAnsi="Calibri"/>
              </w:rPr>
              <w:t xml:space="preserve">2·5% low contrast letter score </w:t>
            </w:r>
          </w:p>
        </w:tc>
        <w:tc>
          <w:tcPr>
            <w:tcW w:w="2839" w:type="dxa"/>
          </w:tcPr>
          <w:p w14:paraId="378BB58E" w14:textId="77777777" w:rsidR="001113C7" w:rsidRPr="001113C7" w:rsidRDefault="001113C7" w:rsidP="001113C7">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sidRPr="001113C7">
              <w:rPr>
                <w:rFonts w:ascii="Calibri" w:hAnsi="Calibri"/>
                <w:b/>
              </w:rPr>
              <w:t>0·21 (1·24)</w:t>
            </w:r>
          </w:p>
        </w:tc>
        <w:tc>
          <w:tcPr>
            <w:tcW w:w="2839" w:type="dxa"/>
          </w:tcPr>
          <w:p w14:paraId="05C0E341" w14:textId="77777777" w:rsidR="001113C7" w:rsidRPr="001113C7" w:rsidRDefault="001113C7" w:rsidP="001113C7">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sidRPr="001113C7">
              <w:rPr>
                <w:rFonts w:ascii="Calibri" w:hAnsi="Calibri"/>
                <w:b/>
              </w:rPr>
              <w:t>0·77 (3·83)</w:t>
            </w:r>
          </w:p>
        </w:tc>
      </w:tr>
      <w:tr w:rsidR="00274B5D" w:rsidRPr="001113C7" w14:paraId="06B07FE4" w14:textId="77777777" w:rsidTr="00125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tcPr>
          <w:p w14:paraId="0ECA5A42" w14:textId="77777777" w:rsidR="001113C7" w:rsidRPr="001113C7" w:rsidRDefault="001113C7" w:rsidP="001256AC">
            <w:pPr>
              <w:rPr>
                <w:rFonts w:ascii="Calibri" w:hAnsi="Calibri"/>
                <w:b w:val="0"/>
                <w:bCs w:val="0"/>
              </w:rPr>
            </w:pPr>
            <w:r w:rsidRPr="001113C7">
              <w:rPr>
                <w:rFonts w:ascii="Calibri" w:hAnsi="Calibri"/>
              </w:rPr>
              <w:t>FM 100-Hue total error score</w:t>
            </w:r>
          </w:p>
        </w:tc>
        <w:tc>
          <w:tcPr>
            <w:tcW w:w="2839" w:type="dxa"/>
          </w:tcPr>
          <w:p w14:paraId="03F541F7" w14:textId="77777777" w:rsidR="001113C7" w:rsidRPr="001113C7" w:rsidRDefault="001113C7" w:rsidP="001113C7">
            <w:pPr>
              <w:jc w:val="both"/>
              <w:cnfStyle w:val="000000100000" w:firstRow="0" w:lastRow="0" w:firstColumn="0" w:lastColumn="0" w:oddVBand="0" w:evenVBand="0" w:oddHBand="1" w:evenHBand="0" w:firstRowFirstColumn="0" w:firstRowLastColumn="0" w:lastRowFirstColumn="0" w:lastRowLastColumn="0"/>
              <w:rPr>
                <w:rFonts w:ascii="Calibri" w:hAnsi="Calibri"/>
                <w:b/>
              </w:rPr>
            </w:pPr>
            <w:r w:rsidRPr="001113C7">
              <w:rPr>
                <w:rFonts w:ascii="Calibri" w:hAnsi="Calibri"/>
                <w:b/>
              </w:rPr>
              <w:t>1066 (764·6)</w:t>
            </w:r>
          </w:p>
        </w:tc>
        <w:tc>
          <w:tcPr>
            <w:tcW w:w="2839" w:type="dxa"/>
          </w:tcPr>
          <w:p w14:paraId="72F045BE" w14:textId="77777777" w:rsidR="001113C7" w:rsidRPr="001113C7" w:rsidRDefault="001113C7" w:rsidP="001113C7">
            <w:pPr>
              <w:jc w:val="both"/>
              <w:cnfStyle w:val="000000100000" w:firstRow="0" w:lastRow="0" w:firstColumn="0" w:lastColumn="0" w:oddVBand="0" w:evenVBand="0" w:oddHBand="1" w:evenHBand="0" w:firstRowFirstColumn="0" w:firstRowLastColumn="0" w:lastRowFirstColumn="0" w:lastRowLastColumn="0"/>
              <w:rPr>
                <w:rFonts w:ascii="Calibri" w:hAnsi="Calibri"/>
                <w:b/>
              </w:rPr>
            </w:pPr>
            <w:r w:rsidRPr="001113C7">
              <w:rPr>
                <w:rFonts w:ascii="Calibri" w:hAnsi="Calibri"/>
                <w:b/>
              </w:rPr>
              <w:t>1139 (775·5)</w:t>
            </w:r>
          </w:p>
        </w:tc>
      </w:tr>
      <w:tr w:rsidR="001113C7" w:rsidRPr="001113C7" w14:paraId="62EAB554" w14:textId="77777777" w:rsidTr="001256AC">
        <w:tc>
          <w:tcPr>
            <w:cnfStyle w:val="001000000000" w:firstRow="0" w:lastRow="0" w:firstColumn="1" w:lastColumn="0" w:oddVBand="0" w:evenVBand="0" w:oddHBand="0" w:evenHBand="0" w:firstRowFirstColumn="0" w:firstRowLastColumn="0" w:lastRowFirstColumn="0" w:lastRowLastColumn="0"/>
            <w:tcW w:w="2838" w:type="dxa"/>
          </w:tcPr>
          <w:p w14:paraId="3C26F6AA" w14:textId="06A7A782" w:rsidR="001113C7" w:rsidRPr="001113C7" w:rsidRDefault="001113C7" w:rsidP="001256AC">
            <w:pPr>
              <w:rPr>
                <w:rFonts w:ascii="Calibri" w:hAnsi="Calibri"/>
                <w:b w:val="0"/>
                <w:bCs w:val="0"/>
              </w:rPr>
            </w:pPr>
            <w:r w:rsidRPr="001113C7">
              <w:rPr>
                <w:rFonts w:ascii="Calibri" w:hAnsi="Calibri"/>
              </w:rPr>
              <w:t>VEP  latency (</w:t>
            </w:r>
            <w:proofErr w:type="spellStart"/>
            <w:r w:rsidRPr="001113C7">
              <w:rPr>
                <w:rFonts w:ascii="Calibri" w:hAnsi="Calibri"/>
              </w:rPr>
              <w:t>ms</w:t>
            </w:r>
            <w:proofErr w:type="spellEnd"/>
            <w:r w:rsidRPr="001113C7">
              <w:rPr>
                <w:rFonts w:ascii="Calibri" w:hAnsi="Calibri"/>
              </w:rPr>
              <w:t>)</w:t>
            </w:r>
            <w:r w:rsidR="00CA25FA">
              <w:rPr>
                <w:rFonts w:ascii="Calibri" w:hAnsi="Calibri"/>
                <w:vertAlign w:val="superscript"/>
              </w:rPr>
              <w:t>b</w:t>
            </w:r>
          </w:p>
        </w:tc>
        <w:tc>
          <w:tcPr>
            <w:tcW w:w="2839" w:type="dxa"/>
          </w:tcPr>
          <w:p w14:paraId="3DD1B15F" w14:textId="77777777" w:rsidR="001113C7" w:rsidRPr="001113C7" w:rsidRDefault="001113C7" w:rsidP="001113C7">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sidRPr="001113C7">
              <w:rPr>
                <w:rFonts w:ascii="Calibri" w:hAnsi="Calibri"/>
                <w:b/>
              </w:rPr>
              <w:t>167·9 (35·2)</w:t>
            </w:r>
          </w:p>
        </w:tc>
        <w:tc>
          <w:tcPr>
            <w:tcW w:w="2839" w:type="dxa"/>
          </w:tcPr>
          <w:p w14:paraId="308E6CA5" w14:textId="77777777" w:rsidR="001113C7" w:rsidRPr="001113C7" w:rsidRDefault="001113C7" w:rsidP="001113C7">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sidRPr="001113C7">
              <w:rPr>
                <w:rFonts w:ascii="Calibri" w:hAnsi="Calibri"/>
                <w:b/>
              </w:rPr>
              <w:t>167·6 (35·8)</w:t>
            </w:r>
          </w:p>
        </w:tc>
      </w:tr>
      <w:tr w:rsidR="00274B5D" w:rsidRPr="001113C7" w14:paraId="54D86FB9" w14:textId="77777777" w:rsidTr="00125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tcPr>
          <w:p w14:paraId="613B4AFA" w14:textId="52DC3F9E" w:rsidR="001113C7" w:rsidRPr="001113C7" w:rsidRDefault="001113C7" w:rsidP="001256AC">
            <w:pPr>
              <w:rPr>
                <w:rFonts w:ascii="Calibri" w:hAnsi="Calibri"/>
                <w:b w:val="0"/>
                <w:bCs w:val="0"/>
              </w:rPr>
            </w:pPr>
            <w:r w:rsidRPr="001113C7">
              <w:rPr>
                <w:rFonts w:ascii="Calibri" w:hAnsi="Calibri"/>
              </w:rPr>
              <w:t>VEP amplitude (</w:t>
            </w:r>
            <w:proofErr w:type="spellStart"/>
            <w:r w:rsidRPr="001113C7">
              <w:rPr>
                <w:rFonts w:ascii="Calibri" w:hAnsi="Calibri"/>
              </w:rPr>
              <w:t>μV</w:t>
            </w:r>
            <w:proofErr w:type="spellEnd"/>
            <w:r w:rsidRPr="001113C7">
              <w:rPr>
                <w:rFonts w:ascii="Calibri" w:hAnsi="Calibri"/>
              </w:rPr>
              <w:t>)</w:t>
            </w:r>
            <w:r w:rsidR="00CA25FA">
              <w:rPr>
                <w:rFonts w:ascii="Calibri" w:hAnsi="Calibri"/>
                <w:vertAlign w:val="superscript"/>
              </w:rPr>
              <w:t>b</w:t>
            </w:r>
            <w:r w:rsidRPr="001113C7">
              <w:rPr>
                <w:rFonts w:ascii="Calibri" w:hAnsi="Calibri"/>
              </w:rPr>
              <w:t xml:space="preserve"> </w:t>
            </w:r>
          </w:p>
        </w:tc>
        <w:tc>
          <w:tcPr>
            <w:tcW w:w="2839" w:type="dxa"/>
          </w:tcPr>
          <w:p w14:paraId="3AB85580" w14:textId="77777777" w:rsidR="001113C7" w:rsidRPr="001113C7" w:rsidRDefault="001113C7" w:rsidP="001113C7">
            <w:pPr>
              <w:jc w:val="both"/>
              <w:cnfStyle w:val="000000100000" w:firstRow="0" w:lastRow="0" w:firstColumn="0" w:lastColumn="0" w:oddVBand="0" w:evenVBand="0" w:oddHBand="1" w:evenHBand="0" w:firstRowFirstColumn="0" w:firstRowLastColumn="0" w:lastRowFirstColumn="0" w:lastRowLastColumn="0"/>
              <w:rPr>
                <w:rFonts w:ascii="Calibri" w:hAnsi="Calibri"/>
                <w:b/>
              </w:rPr>
            </w:pPr>
            <w:r w:rsidRPr="001113C7">
              <w:rPr>
                <w:rFonts w:ascii="Calibri" w:hAnsi="Calibri"/>
                <w:b/>
              </w:rPr>
              <w:t>2·8 (3·8)</w:t>
            </w:r>
          </w:p>
        </w:tc>
        <w:tc>
          <w:tcPr>
            <w:tcW w:w="2839" w:type="dxa"/>
          </w:tcPr>
          <w:p w14:paraId="4CB4F2EE" w14:textId="77777777" w:rsidR="001113C7" w:rsidRPr="001113C7" w:rsidRDefault="001113C7" w:rsidP="001113C7">
            <w:pPr>
              <w:jc w:val="both"/>
              <w:cnfStyle w:val="000000100000" w:firstRow="0" w:lastRow="0" w:firstColumn="0" w:lastColumn="0" w:oddVBand="0" w:evenVBand="0" w:oddHBand="1" w:evenHBand="0" w:firstRowFirstColumn="0" w:firstRowLastColumn="0" w:lastRowFirstColumn="0" w:lastRowLastColumn="0"/>
              <w:rPr>
                <w:rFonts w:ascii="Calibri" w:hAnsi="Calibri"/>
                <w:b/>
              </w:rPr>
            </w:pPr>
            <w:r w:rsidRPr="001113C7">
              <w:rPr>
                <w:rFonts w:ascii="Calibri" w:hAnsi="Calibri"/>
                <w:b/>
              </w:rPr>
              <w:t>3·0 (3·8)</w:t>
            </w:r>
          </w:p>
        </w:tc>
      </w:tr>
      <w:tr w:rsidR="001113C7" w:rsidRPr="001113C7" w14:paraId="1F775293" w14:textId="77777777" w:rsidTr="001256AC">
        <w:tc>
          <w:tcPr>
            <w:cnfStyle w:val="001000000000" w:firstRow="0" w:lastRow="0" w:firstColumn="1" w:lastColumn="0" w:oddVBand="0" w:evenVBand="0" w:oddHBand="0" w:evenHBand="0" w:firstRowFirstColumn="0" w:firstRowLastColumn="0" w:lastRowFirstColumn="0" w:lastRowLastColumn="0"/>
            <w:tcW w:w="2838" w:type="dxa"/>
          </w:tcPr>
          <w:p w14:paraId="0E42EF31" w14:textId="77777777" w:rsidR="001113C7" w:rsidRPr="001113C7" w:rsidRDefault="001113C7" w:rsidP="001256AC">
            <w:pPr>
              <w:rPr>
                <w:rFonts w:ascii="Calibri" w:hAnsi="Calibri"/>
                <w:b w:val="0"/>
                <w:bCs w:val="0"/>
              </w:rPr>
            </w:pPr>
            <w:r w:rsidRPr="001113C7">
              <w:rPr>
                <w:rFonts w:ascii="Calibri" w:hAnsi="Calibri"/>
              </w:rPr>
              <w:t>Optic nerve cross-sectional area (mm</w:t>
            </w:r>
            <w:r w:rsidRPr="001113C7">
              <w:rPr>
                <w:rFonts w:ascii="Calibri" w:hAnsi="Calibri"/>
                <w:vertAlign w:val="superscript"/>
              </w:rPr>
              <w:t>2</w:t>
            </w:r>
            <w:r w:rsidRPr="001113C7">
              <w:rPr>
                <w:rFonts w:ascii="Calibri" w:hAnsi="Calibri"/>
              </w:rPr>
              <w:t>)</w:t>
            </w:r>
          </w:p>
        </w:tc>
        <w:tc>
          <w:tcPr>
            <w:tcW w:w="2839" w:type="dxa"/>
          </w:tcPr>
          <w:p w14:paraId="38DEDC41" w14:textId="77777777" w:rsidR="001113C7" w:rsidRPr="001113C7" w:rsidRDefault="001113C7" w:rsidP="001113C7">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sidRPr="001113C7">
              <w:rPr>
                <w:rFonts w:ascii="Calibri" w:hAnsi="Calibri"/>
                <w:b/>
              </w:rPr>
              <w:t>7·60 (1·55)</w:t>
            </w:r>
          </w:p>
        </w:tc>
        <w:tc>
          <w:tcPr>
            <w:tcW w:w="2839" w:type="dxa"/>
          </w:tcPr>
          <w:p w14:paraId="58B47EF5" w14:textId="77777777" w:rsidR="001113C7" w:rsidRPr="001113C7" w:rsidRDefault="001113C7" w:rsidP="001113C7">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sidRPr="001113C7">
              <w:rPr>
                <w:rFonts w:ascii="Calibri" w:hAnsi="Calibri"/>
                <w:b/>
              </w:rPr>
              <w:t>7·48 (1·43)</w:t>
            </w:r>
          </w:p>
        </w:tc>
      </w:tr>
      <w:tr w:rsidR="00274B5D" w:rsidRPr="001113C7" w14:paraId="61E32902" w14:textId="77777777" w:rsidTr="00125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tcPr>
          <w:p w14:paraId="3FA79583" w14:textId="77777777" w:rsidR="001113C7" w:rsidRPr="001113C7" w:rsidRDefault="001113C7" w:rsidP="001256AC">
            <w:pPr>
              <w:rPr>
                <w:rFonts w:ascii="Calibri" w:hAnsi="Calibri"/>
                <w:b w:val="0"/>
                <w:bCs w:val="0"/>
              </w:rPr>
            </w:pPr>
            <w:r w:rsidRPr="001113C7">
              <w:rPr>
                <w:rFonts w:ascii="Calibri" w:hAnsi="Calibri"/>
              </w:rPr>
              <w:t>Lesion length (mm)</w:t>
            </w:r>
          </w:p>
        </w:tc>
        <w:tc>
          <w:tcPr>
            <w:tcW w:w="2839" w:type="dxa"/>
          </w:tcPr>
          <w:p w14:paraId="1B1FA0B4" w14:textId="77777777" w:rsidR="001113C7" w:rsidRPr="001113C7" w:rsidRDefault="001113C7" w:rsidP="001113C7">
            <w:pPr>
              <w:jc w:val="both"/>
              <w:cnfStyle w:val="000000100000" w:firstRow="0" w:lastRow="0" w:firstColumn="0" w:lastColumn="0" w:oddVBand="0" w:evenVBand="0" w:oddHBand="1" w:evenHBand="0" w:firstRowFirstColumn="0" w:firstRowLastColumn="0" w:lastRowFirstColumn="0" w:lastRowLastColumn="0"/>
              <w:rPr>
                <w:rFonts w:ascii="Calibri" w:hAnsi="Calibri"/>
                <w:b/>
              </w:rPr>
            </w:pPr>
            <w:r w:rsidRPr="001113C7">
              <w:rPr>
                <w:rFonts w:ascii="Calibri" w:hAnsi="Calibri"/>
                <w:b/>
              </w:rPr>
              <w:t>17·2 (8·1)</w:t>
            </w:r>
          </w:p>
        </w:tc>
        <w:tc>
          <w:tcPr>
            <w:tcW w:w="2839" w:type="dxa"/>
          </w:tcPr>
          <w:p w14:paraId="2764D243" w14:textId="77777777" w:rsidR="001113C7" w:rsidRPr="001113C7" w:rsidRDefault="001113C7" w:rsidP="001113C7">
            <w:pPr>
              <w:jc w:val="both"/>
              <w:cnfStyle w:val="000000100000" w:firstRow="0" w:lastRow="0" w:firstColumn="0" w:lastColumn="0" w:oddVBand="0" w:evenVBand="0" w:oddHBand="1" w:evenHBand="0" w:firstRowFirstColumn="0" w:firstRowLastColumn="0" w:lastRowFirstColumn="0" w:lastRowLastColumn="0"/>
              <w:rPr>
                <w:rFonts w:ascii="Calibri" w:hAnsi="Calibri"/>
                <w:b/>
              </w:rPr>
            </w:pPr>
            <w:r w:rsidRPr="001113C7">
              <w:rPr>
                <w:rFonts w:ascii="Calibri" w:hAnsi="Calibri"/>
                <w:b/>
              </w:rPr>
              <w:t>18·0 (7·1)</w:t>
            </w:r>
          </w:p>
        </w:tc>
      </w:tr>
    </w:tbl>
    <w:p w14:paraId="7185859B" w14:textId="77777777" w:rsidR="00B3335D" w:rsidRPr="003318E4" w:rsidRDefault="00B3335D" w:rsidP="00B3335D">
      <w:pPr>
        <w:jc w:val="both"/>
        <w:rPr>
          <w:rFonts w:ascii="Calibri" w:hAnsi="Calibri"/>
        </w:rPr>
      </w:pPr>
    </w:p>
    <w:p w14:paraId="2A638033" w14:textId="77777777" w:rsidR="00B3335D" w:rsidRDefault="00B3335D" w:rsidP="00B3335D">
      <w:pPr>
        <w:jc w:val="both"/>
        <w:rPr>
          <w:rFonts w:ascii="Calibri" w:hAnsi="Calibri"/>
        </w:rPr>
      </w:pPr>
      <w:r w:rsidRPr="003318E4">
        <w:rPr>
          <w:rFonts w:ascii="Calibri" w:hAnsi="Calibri"/>
        </w:rPr>
        <w:t xml:space="preserve">Data are </w:t>
      </w:r>
      <w:proofErr w:type="gramStart"/>
      <w:r w:rsidRPr="003318E4">
        <w:rPr>
          <w:rFonts w:ascii="Calibri" w:hAnsi="Calibri"/>
        </w:rPr>
        <w:t>mean</w:t>
      </w:r>
      <w:proofErr w:type="gramEnd"/>
      <w:r w:rsidRPr="003318E4">
        <w:rPr>
          <w:rFonts w:ascii="Calibri" w:hAnsi="Calibri"/>
        </w:rPr>
        <w:t xml:space="preserve"> (SD), or number (%)</w:t>
      </w:r>
    </w:p>
    <w:p w14:paraId="0EFAAAA5" w14:textId="1C06AD50" w:rsidR="00CA25FA" w:rsidRPr="003318E4" w:rsidRDefault="00CA25FA" w:rsidP="00B3335D">
      <w:pPr>
        <w:jc w:val="both"/>
        <w:rPr>
          <w:rFonts w:ascii="Calibri" w:hAnsi="Calibri"/>
        </w:rPr>
      </w:pPr>
      <w:proofErr w:type="spellStart"/>
      <w:proofErr w:type="gramStart"/>
      <w:r>
        <w:rPr>
          <w:rFonts w:ascii="Calibri" w:hAnsi="Calibri"/>
          <w:vertAlign w:val="superscript"/>
        </w:rPr>
        <w:t>a</w:t>
      </w:r>
      <w:r>
        <w:rPr>
          <w:rFonts w:ascii="Calibri" w:hAnsi="Calibri"/>
        </w:rPr>
        <w:t>Multiple</w:t>
      </w:r>
      <w:proofErr w:type="spellEnd"/>
      <w:r>
        <w:rPr>
          <w:rFonts w:ascii="Calibri" w:hAnsi="Calibri"/>
        </w:rPr>
        <w:t xml:space="preserve">  sclerosis</w:t>
      </w:r>
      <w:proofErr w:type="gramEnd"/>
      <w:r>
        <w:rPr>
          <w:rFonts w:ascii="Calibri" w:hAnsi="Calibri"/>
        </w:rPr>
        <w:t xml:space="preserve"> diagnosed using  the 2010 McDonald</w:t>
      </w:r>
      <w:r w:rsidR="00367A57">
        <w:rPr>
          <w:rFonts w:ascii="Calibri" w:hAnsi="Calibri"/>
        </w:rPr>
        <w:t xml:space="preserve"> </w:t>
      </w:r>
      <w:r>
        <w:rPr>
          <w:rFonts w:ascii="Calibri" w:hAnsi="Calibri"/>
        </w:rPr>
        <w:t>criteria</w:t>
      </w:r>
      <w:r>
        <w:rPr>
          <w:rFonts w:ascii="Calibri" w:hAnsi="Calibri"/>
          <w:vertAlign w:val="superscript"/>
        </w:rPr>
        <w:t>3</w:t>
      </w:r>
      <w:r w:rsidR="000D6A74">
        <w:rPr>
          <w:rFonts w:ascii="Calibri" w:hAnsi="Calibri"/>
          <w:vertAlign w:val="superscript"/>
        </w:rPr>
        <w:t>3</w:t>
      </w:r>
    </w:p>
    <w:p w14:paraId="3B01976B" w14:textId="6AEAE853" w:rsidR="00510584" w:rsidRPr="003318E4" w:rsidRDefault="00CA25FA" w:rsidP="00510584">
      <w:pPr>
        <w:rPr>
          <w:rFonts w:ascii="Calibri" w:hAnsi="Calibri"/>
        </w:rPr>
      </w:pPr>
      <w:proofErr w:type="spellStart"/>
      <w:proofErr w:type="gramStart"/>
      <w:r>
        <w:rPr>
          <w:rFonts w:ascii="Calibri" w:hAnsi="Calibri"/>
          <w:vertAlign w:val="superscript"/>
        </w:rPr>
        <w:t>b</w:t>
      </w:r>
      <w:r w:rsidR="00510584" w:rsidRPr="003318E4">
        <w:rPr>
          <w:rFonts w:ascii="Calibri" w:hAnsi="Calibri"/>
        </w:rPr>
        <w:t>Twenty</w:t>
      </w:r>
      <w:proofErr w:type="spellEnd"/>
      <w:proofErr w:type="gramEnd"/>
      <w:r w:rsidR="00510584" w:rsidRPr="003318E4">
        <w:rPr>
          <w:rFonts w:ascii="Calibri" w:hAnsi="Calibri"/>
        </w:rPr>
        <w:t xml:space="preserve"> subjects in each group had</w:t>
      </w:r>
      <w:r w:rsidR="00510584">
        <w:rPr>
          <w:rFonts w:ascii="Calibri" w:hAnsi="Calibri"/>
        </w:rPr>
        <w:t xml:space="preserve"> no VEP response in the affected eye</w:t>
      </w:r>
      <w:r w:rsidR="00510584" w:rsidRPr="003318E4">
        <w:rPr>
          <w:rFonts w:ascii="Calibri" w:hAnsi="Calibri"/>
        </w:rPr>
        <w:t>, but the baseline affected eye VEP was not used in analyses.</w:t>
      </w:r>
    </w:p>
    <w:p w14:paraId="38424072" w14:textId="77777777" w:rsidR="00B3335D" w:rsidRPr="003318E4" w:rsidRDefault="00B3335D" w:rsidP="00B3335D">
      <w:pPr>
        <w:rPr>
          <w:rFonts w:ascii="Calibri" w:hAnsi="Calibri"/>
        </w:rPr>
      </w:pPr>
    </w:p>
    <w:p w14:paraId="60AF1A6C" w14:textId="77777777" w:rsidR="00B3335D" w:rsidRDefault="00B3335D" w:rsidP="00B3335D">
      <w:pPr>
        <w:pStyle w:val="Body"/>
        <w:jc w:val="both"/>
        <w:rPr>
          <w:rFonts w:ascii="Calibri" w:eastAsia="Calibri" w:hAnsi="Calibri" w:cs="Calibri"/>
          <w:u w:val="single"/>
          <w:lang w:val="en-US"/>
        </w:rPr>
      </w:pPr>
    </w:p>
    <w:p w14:paraId="2CF22C24" w14:textId="7FD8E4AB" w:rsidR="00904A1C" w:rsidRPr="00904A1C" w:rsidRDefault="00904A1C" w:rsidP="00EE15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
        </w:rPr>
      </w:pPr>
      <w:bookmarkStart w:id="26" w:name="_Toc297804618"/>
      <w:r w:rsidRPr="00904A1C">
        <w:rPr>
          <w:rFonts w:asciiTheme="majorHAnsi" w:hAnsiTheme="majorHAnsi"/>
          <w:b/>
        </w:rPr>
        <w:t>Table 2: Stability of measurements in the unaffected eye in the active and placebo groups</w:t>
      </w:r>
      <w:bookmarkEnd w:id="26"/>
    </w:p>
    <w:p w14:paraId="61941A79" w14:textId="77777777" w:rsidR="00904A1C" w:rsidRPr="00904A1C" w:rsidRDefault="00904A1C" w:rsidP="00904A1C">
      <w:pPr>
        <w:spacing w:line="480" w:lineRule="auto"/>
        <w:rPr>
          <w:rFonts w:asciiTheme="majorHAnsi" w:hAnsiTheme="majorHAnsi"/>
          <w:b/>
        </w:rPr>
      </w:pPr>
    </w:p>
    <w:tbl>
      <w:tblPr>
        <w:tblStyle w:val="ColorfulGrid-Accent5"/>
        <w:tblW w:w="0" w:type="auto"/>
        <w:tblLook w:val="0620" w:firstRow="1" w:lastRow="0" w:firstColumn="0" w:lastColumn="0" w:noHBand="1" w:noVBand="1"/>
      </w:tblPr>
      <w:tblGrid>
        <w:gridCol w:w="1419"/>
        <w:gridCol w:w="1383"/>
        <w:gridCol w:w="1701"/>
        <w:gridCol w:w="1559"/>
        <w:gridCol w:w="1701"/>
      </w:tblGrid>
      <w:tr w:rsidR="00904A1C" w:rsidRPr="00904A1C" w14:paraId="12E0AEC8" w14:textId="77777777" w:rsidTr="0071547C">
        <w:trPr>
          <w:cnfStyle w:val="100000000000" w:firstRow="1" w:lastRow="0" w:firstColumn="0" w:lastColumn="0" w:oddVBand="0" w:evenVBand="0" w:oddHBand="0" w:evenHBand="0" w:firstRowFirstColumn="0" w:firstRowLastColumn="0" w:lastRowFirstColumn="0" w:lastRowLastColumn="0"/>
        </w:trPr>
        <w:tc>
          <w:tcPr>
            <w:tcW w:w="1419" w:type="dxa"/>
            <w:vMerge w:val="restart"/>
          </w:tcPr>
          <w:p w14:paraId="09C8730B" w14:textId="77777777" w:rsidR="00904A1C" w:rsidRPr="00904A1C" w:rsidRDefault="00904A1C" w:rsidP="0071547C">
            <w:pPr>
              <w:jc w:val="center"/>
              <w:rPr>
                <w:rFonts w:asciiTheme="majorHAnsi" w:hAnsiTheme="majorHAnsi"/>
                <w:b w:val="0"/>
                <w:bCs w:val="0"/>
                <w:color w:val="auto"/>
              </w:rPr>
            </w:pPr>
          </w:p>
        </w:tc>
        <w:tc>
          <w:tcPr>
            <w:tcW w:w="3084" w:type="dxa"/>
            <w:gridSpan w:val="2"/>
          </w:tcPr>
          <w:p w14:paraId="69F233BA" w14:textId="77777777" w:rsidR="00904A1C" w:rsidRPr="00904A1C" w:rsidRDefault="00904A1C" w:rsidP="0071547C">
            <w:pPr>
              <w:jc w:val="center"/>
              <w:rPr>
                <w:rFonts w:asciiTheme="majorHAnsi" w:hAnsiTheme="majorHAnsi"/>
                <w:b w:val="0"/>
                <w:bCs w:val="0"/>
                <w:color w:val="auto"/>
              </w:rPr>
            </w:pPr>
            <w:r w:rsidRPr="00904A1C">
              <w:rPr>
                <w:rFonts w:asciiTheme="majorHAnsi" w:hAnsiTheme="majorHAnsi"/>
                <w:color w:val="auto"/>
              </w:rPr>
              <w:t>Phenytoin</w:t>
            </w:r>
          </w:p>
        </w:tc>
        <w:tc>
          <w:tcPr>
            <w:tcW w:w="3260" w:type="dxa"/>
            <w:gridSpan w:val="2"/>
          </w:tcPr>
          <w:p w14:paraId="0BB75265" w14:textId="77777777" w:rsidR="00904A1C" w:rsidRPr="00904A1C" w:rsidRDefault="00904A1C" w:rsidP="0071547C">
            <w:pPr>
              <w:jc w:val="center"/>
              <w:rPr>
                <w:rFonts w:asciiTheme="majorHAnsi" w:hAnsiTheme="majorHAnsi"/>
                <w:b w:val="0"/>
                <w:bCs w:val="0"/>
                <w:color w:val="auto"/>
              </w:rPr>
            </w:pPr>
            <w:r w:rsidRPr="00904A1C">
              <w:rPr>
                <w:rFonts w:asciiTheme="majorHAnsi" w:hAnsiTheme="majorHAnsi"/>
                <w:color w:val="auto"/>
              </w:rPr>
              <w:t>Placebo</w:t>
            </w:r>
          </w:p>
        </w:tc>
      </w:tr>
      <w:tr w:rsidR="00904A1C" w:rsidRPr="00904A1C" w14:paraId="410AFA90" w14:textId="77777777" w:rsidTr="0071547C">
        <w:tc>
          <w:tcPr>
            <w:tcW w:w="1419" w:type="dxa"/>
            <w:vMerge/>
          </w:tcPr>
          <w:p w14:paraId="509DEA13" w14:textId="77777777" w:rsidR="00904A1C" w:rsidRPr="00904A1C" w:rsidRDefault="00904A1C" w:rsidP="0071547C">
            <w:pPr>
              <w:rPr>
                <w:rFonts w:asciiTheme="majorHAnsi" w:hAnsiTheme="majorHAnsi"/>
                <w:color w:val="auto"/>
              </w:rPr>
            </w:pPr>
          </w:p>
        </w:tc>
        <w:tc>
          <w:tcPr>
            <w:tcW w:w="1383" w:type="dxa"/>
            <w:shd w:val="clear" w:color="auto" w:fill="B6DDE8" w:themeFill="accent5" w:themeFillTint="66"/>
          </w:tcPr>
          <w:p w14:paraId="5529B650" w14:textId="77777777" w:rsidR="00904A1C" w:rsidRPr="00904A1C" w:rsidRDefault="00904A1C" w:rsidP="0071547C">
            <w:pPr>
              <w:jc w:val="center"/>
              <w:rPr>
                <w:rFonts w:asciiTheme="majorHAnsi" w:hAnsiTheme="majorHAnsi"/>
                <w:color w:val="auto"/>
              </w:rPr>
            </w:pPr>
            <w:r w:rsidRPr="00904A1C">
              <w:rPr>
                <w:rFonts w:asciiTheme="majorHAnsi" w:hAnsiTheme="majorHAnsi"/>
                <w:color w:val="auto"/>
              </w:rPr>
              <w:t>Baseline</w:t>
            </w:r>
          </w:p>
        </w:tc>
        <w:tc>
          <w:tcPr>
            <w:tcW w:w="1701" w:type="dxa"/>
            <w:shd w:val="clear" w:color="auto" w:fill="B6DDE8" w:themeFill="accent5" w:themeFillTint="66"/>
          </w:tcPr>
          <w:p w14:paraId="3C440BFB" w14:textId="77777777" w:rsidR="00904A1C" w:rsidRPr="00904A1C" w:rsidRDefault="00904A1C" w:rsidP="0071547C">
            <w:pPr>
              <w:jc w:val="center"/>
              <w:rPr>
                <w:rFonts w:asciiTheme="majorHAnsi" w:hAnsiTheme="majorHAnsi"/>
                <w:color w:val="auto"/>
              </w:rPr>
            </w:pPr>
            <w:r w:rsidRPr="00904A1C">
              <w:rPr>
                <w:rFonts w:asciiTheme="majorHAnsi" w:hAnsiTheme="majorHAnsi"/>
                <w:color w:val="auto"/>
              </w:rPr>
              <w:t>6 months</w:t>
            </w:r>
          </w:p>
        </w:tc>
        <w:tc>
          <w:tcPr>
            <w:tcW w:w="1559" w:type="dxa"/>
            <w:shd w:val="clear" w:color="auto" w:fill="B6DDE8" w:themeFill="accent5" w:themeFillTint="66"/>
          </w:tcPr>
          <w:p w14:paraId="198C6BC3" w14:textId="77777777" w:rsidR="00904A1C" w:rsidRPr="00904A1C" w:rsidRDefault="00904A1C" w:rsidP="0071547C">
            <w:pPr>
              <w:jc w:val="center"/>
              <w:rPr>
                <w:rFonts w:asciiTheme="majorHAnsi" w:hAnsiTheme="majorHAnsi"/>
                <w:color w:val="auto"/>
              </w:rPr>
            </w:pPr>
            <w:r w:rsidRPr="00904A1C">
              <w:rPr>
                <w:rFonts w:asciiTheme="majorHAnsi" w:hAnsiTheme="majorHAnsi"/>
                <w:color w:val="auto"/>
              </w:rPr>
              <w:t>Baseline</w:t>
            </w:r>
          </w:p>
        </w:tc>
        <w:tc>
          <w:tcPr>
            <w:tcW w:w="1701" w:type="dxa"/>
            <w:shd w:val="clear" w:color="auto" w:fill="B6DDE8" w:themeFill="accent5" w:themeFillTint="66"/>
          </w:tcPr>
          <w:p w14:paraId="3B0EC792" w14:textId="77777777" w:rsidR="00904A1C" w:rsidRPr="00904A1C" w:rsidRDefault="00904A1C" w:rsidP="0071547C">
            <w:pPr>
              <w:jc w:val="center"/>
              <w:rPr>
                <w:rFonts w:asciiTheme="majorHAnsi" w:hAnsiTheme="majorHAnsi"/>
                <w:color w:val="auto"/>
              </w:rPr>
            </w:pPr>
            <w:r w:rsidRPr="00904A1C">
              <w:rPr>
                <w:rFonts w:asciiTheme="majorHAnsi" w:hAnsiTheme="majorHAnsi"/>
                <w:color w:val="auto"/>
              </w:rPr>
              <w:t>6 months</w:t>
            </w:r>
          </w:p>
        </w:tc>
      </w:tr>
      <w:tr w:rsidR="00904A1C" w:rsidRPr="00904A1C" w14:paraId="7CE598F6" w14:textId="77777777" w:rsidTr="0071547C">
        <w:tc>
          <w:tcPr>
            <w:tcW w:w="1419" w:type="dxa"/>
          </w:tcPr>
          <w:p w14:paraId="5D3B4DF0" w14:textId="77777777" w:rsidR="00904A1C" w:rsidRPr="00904A1C" w:rsidRDefault="00904A1C" w:rsidP="0071547C">
            <w:pPr>
              <w:rPr>
                <w:rFonts w:asciiTheme="majorHAnsi" w:hAnsiTheme="majorHAnsi"/>
                <w:color w:val="auto"/>
              </w:rPr>
            </w:pPr>
            <w:r w:rsidRPr="00904A1C">
              <w:rPr>
                <w:rFonts w:asciiTheme="majorHAnsi" w:hAnsiTheme="majorHAnsi"/>
              </w:rPr>
              <w:t>RNFL thickness (</w:t>
            </w:r>
            <w:r w:rsidRPr="00904A1C">
              <w:rPr>
                <w:rFonts w:asciiTheme="majorHAnsi" w:hAnsiTheme="majorHAnsi"/>
                <w:i/>
              </w:rPr>
              <w:t>u</w:t>
            </w:r>
            <w:r w:rsidRPr="00904A1C">
              <w:rPr>
                <w:rFonts w:asciiTheme="majorHAnsi" w:hAnsiTheme="majorHAnsi"/>
              </w:rPr>
              <w:t>m)</w:t>
            </w:r>
          </w:p>
        </w:tc>
        <w:tc>
          <w:tcPr>
            <w:tcW w:w="1383" w:type="dxa"/>
          </w:tcPr>
          <w:p w14:paraId="4729D20B" w14:textId="36BDDB78" w:rsidR="00904A1C" w:rsidRPr="00904A1C" w:rsidRDefault="00904A1C" w:rsidP="0071547C">
            <w:pPr>
              <w:jc w:val="center"/>
              <w:rPr>
                <w:rFonts w:asciiTheme="majorHAnsi" w:hAnsiTheme="majorHAnsi"/>
                <w:color w:val="auto"/>
              </w:rPr>
            </w:pPr>
            <w:r w:rsidRPr="00904A1C">
              <w:rPr>
                <w:rFonts w:asciiTheme="majorHAnsi" w:hAnsiTheme="majorHAnsi"/>
              </w:rPr>
              <w:t>98</w:t>
            </w:r>
            <w:r w:rsidR="00FD7C53">
              <w:rPr>
                <w:rFonts w:asciiTheme="majorHAnsi" w:hAnsiTheme="majorHAnsi"/>
              </w:rPr>
              <w:t>·</w:t>
            </w:r>
            <w:r w:rsidRPr="00904A1C">
              <w:rPr>
                <w:rFonts w:asciiTheme="majorHAnsi" w:hAnsiTheme="majorHAnsi"/>
              </w:rPr>
              <w:t>02</w:t>
            </w:r>
          </w:p>
          <w:p w14:paraId="2A6BD261" w14:textId="2C994BDC" w:rsidR="00904A1C" w:rsidRPr="00904A1C" w:rsidRDefault="00904A1C" w:rsidP="0071547C">
            <w:pPr>
              <w:jc w:val="center"/>
              <w:rPr>
                <w:rFonts w:asciiTheme="majorHAnsi" w:hAnsiTheme="majorHAnsi"/>
                <w:color w:val="auto"/>
              </w:rPr>
            </w:pPr>
            <w:r w:rsidRPr="00904A1C">
              <w:rPr>
                <w:rFonts w:asciiTheme="majorHAnsi" w:hAnsiTheme="majorHAnsi"/>
              </w:rPr>
              <w:t>(11</w:t>
            </w:r>
            <w:r w:rsidR="00FD7C53">
              <w:rPr>
                <w:rFonts w:asciiTheme="majorHAnsi" w:hAnsiTheme="majorHAnsi"/>
              </w:rPr>
              <w:t>·</w:t>
            </w:r>
            <w:r w:rsidRPr="00904A1C">
              <w:rPr>
                <w:rFonts w:asciiTheme="majorHAnsi" w:hAnsiTheme="majorHAnsi"/>
              </w:rPr>
              <w:t>08)</w:t>
            </w:r>
          </w:p>
          <w:p w14:paraId="057299AD" w14:textId="77777777" w:rsidR="00904A1C" w:rsidRPr="00904A1C" w:rsidRDefault="00904A1C" w:rsidP="0071547C">
            <w:pPr>
              <w:rPr>
                <w:rFonts w:asciiTheme="majorHAnsi" w:hAnsiTheme="majorHAnsi"/>
                <w:color w:val="auto"/>
              </w:rPr>
            </w:pPr>
          </w:p>
        </w:tc>
        <w:tc>
          <w:tcPr>
            <w:tcW w:w="1701" w:type="dxa"/>
          </w:tcPr>
          <w:p w14:paraId="187E2B70" w14:textId="0FFFF26B" w:rsidR="00904A1C" w:rsidRPr="00904A1C" w:rsidRDefault="00904A1C" w:rsidP="0071547C">
            <w:pPr>
              <w:jc w:val="center"/>
              <w:rPr>
                <w:rFonts w:asciiTheme="majorHAnsi" w:hAnsiTheme="majorHAnsi"/>
                <w:color w:val="auto"/>
              </w:rPr>
            </w:pPr>
            <w:r w:rsidRPr="00904A1C">
              <w:rPr>
                <w:rFonts w:asciiTheme="majorHAnsi" w:hAnsiTheme="majorHAnsi"/>
              </w:rPr>
              <w:t>98</w:t>
            </w:r>
            <w:r w:rsidR="00FD7C53">
              <w:rPr>
                <w:rFonts w:asciiTheme="majorHAnsi" w:hAnsiTheme="majorHAnsi"/>
              </w:rPr>
              <w:t>·</w:t>
            </w:r>
            <w:r w:rsidRPr="00904A1C">
              <w:rPr>
                <w:rFonts w:asciiTheme="majorHAnsi" w:hAnsiTheme="majorHAnsi"/>
              </w:rPr>
              <w:t>69</w:t>
            </w:r>
          </w:p>
          <w:p w14:paraId="3B5513E5" w14:textId="6903AEE3" w:rsidR="00904A1C" w:rsidRPr="00904A1C" w:rsidRDefault="00904A1C" w:rsidP="0071547C">
            <w:pPr>
              <w:jc w:val="center"/>
              <w:rPr>
                <w:rFonts w:asciiTheme="majorHAnsi" w:hAnsiTheme="majorHAnsi"/>
                <w:color w:val="auto"/>
              </w:rPr>
            </w:pPr>
            <w:r w:rsidRPr="00904A1C">
              <w:rPr>
                <w:rFonts w:asciiTheme="majorHAnsi" w:hAnsiTheme="majorHAnsi"/>
              </w:rPr>
              <w:t>(11</w:t>
            </w:r>
            <w:r w:rsidR="00FD7C53">
              <w:rPr>
                <w:rFonts w:asciiTheme="majorHAnsi" w:hAnsiTheme="majorHAnsi"/>
              </w:rPr>
              <w:t>·</w:t>
            </w:r>
            <w:r w:rsidRPr="00904A1C">
              <w:rPr>
                <w:rFonts w:asciiTheme="majorHAnsi" w:hAnsiTheme="majorHAnsi"/>
              </w:rPr>
              <w:t>62)</w:t>
            </w:r>
          </w:p>
        </w:tc>
        <w:tc>
          <w:tcPr>
            <w:tcW w:w="1559" w:type="dxa"/>
          </w:tcPr>
          <w:p w14:paraId="49E91879" w14:textId="4D592743" w:rsidR="00904A1C" w:rsidRPr="00904A1C" w:rsidRDefault="00904A1C" w:rsidP="0071547C">
            <w:pPr>
              <w:jc w:val="center"/>
              <w:rPr>
                <w:rFonts w:asciiTheme="majorHAnsi" w:hAnsiTheme="majorHAnsi"/>
                <w:color w:val="auto"/>
              </w:rPr>
            </w:pPr>
            <w:r w:rsidRPr="00904A1C">
              <w:rPr>
                <w:rFonts w:asciiTheme="majorHAnsi" w:hAnsiTheme="majorHAnsi"/>
              </w:rPr>
              <w:t>98</w:t>
            </w:r>
            <w:r w:rsidR="00FD7C53">
              <w:rPr>
                <w:rFonts w:asciiTheme="majorHAnsi" w:hAnsiTheme="majorHAnsi"/>
              </w:rPr>
              <w:t>·</w:t>
            </w:r>
            <w:r w:rsidRPr="00904A1C">
              <w:rPr>
                <w:rFonts w:asciiTheme="majorHAnsi" w:hAnsiTheme="majorHAnsi"/>
              </w:rPr>
              <w:t>36</w:t>
            </w:r>
          </w:p>
          <w:p w14:paraId="0E5CC376" w14:textId="70440549" w:rsidR="00904A1C" w:rsidRPr="00904A1C" w:rsidRDefault="00904A1C" w:rsidP="0071547C">
            <w:pPr>
              <w:jc w:val="center"/>
              <w:rPr>
                <w:rFonts w:asciiTheme="majorHAnsi" w:hAnsiTheme="majorHAnsi"/>
                <w:color w:val="auto"/>
              </w:rPr>
            </w:pPr>
            <w:r w:rsidRPr="00904A1C">
              <w:rPr>
                <w:rFonts w:asciiTheme="majorHAnsi" w:hAnsiTheme="majorHAnsi"/>
              </w:rPr>
              <w:t>(10</w:t>
            </w:r>
            <w:r w:rsidR="00FD7C53">
              <w:rPr>
                <w:rFonts w:asciiTheme="majorHAnsi" w:hAnsiTheme="majorHAnsi"/>
              </w:rPr>
              <w:t>·</w:t>
            </w:r>
            <w:r w:rsidRPr="00904A1C">
              <w:rPr>
                <w:rFonts w:asciiTheme="majorHAnsi" w:hAnsiTheme="majorHAnsi"/>
              </w:rPr>
              <w:t>99)</w:t>
            </w:r>
          </w:p>
        </w:tc>
        <w:tc>
          <w:tcPr>
            <w:tcW w:w="1701" w:type="dxa"/>
          </w:tcPr>
          <w:p w14:paraId="17C32FC1" w14:textId="7C8BBA73" w:rsidR="00904A1C" w:rsidRPr="00904A1C" w:rsidRDefault="00904A1C" w:rsidP="0071547C">
            <w:pPr>
              <w:jc w:val="center"/>
              <w:rPr>
                <w:rFonts w:asciiTheme="majorHAnsi" w:hAnsiTheme="majorHAnsi"/>
                <w:color w:val="auto"/>
              </w:rPr>
            </w:pPr>
            <w:r w:rsidRPr="00904A1C">
              <w:rPr>
                <w:rFonts w:asciiTheme="majorHAnsi" w:hAnsiTheme="majorHAnsi"/>
              </w:rPr>
              <w:t>97</w:t>
            </w:r>
            <w:r w:rsidR="00FD7C53">
              <w:rPr>
                <w:rFonts w:asciiTheme="majorHAnsi" w:hAnsiTheme="majorHAnsi"/>
              </w:rPr>
              <w:t>·</w:t>
            </w:r>
            <w:r w:rsidRPr="00904A1C">
              <w:rPr>
                <w:rFonts w:asciiTheme="majorHAnsi" w:hAnsiTheme="majorHAnsi"/>
              </w:rPr>
              <w:t>37</w:t>
            </w:r>
          </w:p>
          <w:p w14:paraId="360BC732" w14:textId="177CD493" w:rsidR="00904A1C" w:rsidRPr="00904A1C" w:rsidRDefault="00904A1C" w:rsidP="0071547C">
            <w:pPr>
              <w:jc w:val="center"/>
              <w:rPr>
                <w:rFonts w:asciiTheme="majorHAnsi" w:hAnsiTheme="majorHAnsi"/>
                <w:color w:val="auto"/>
              </w:rPr>
            </w:pPr>
            <w:r w:rsidRPr="00904A1C">
              <w:rPr>
                <w:rFonts w:asciiTheme="majorHAnsi" w:hAnsiTheme="majorHAnsi"/>
              </w:rPr>
              <w:t>(13</w:t>
            </w:r>
            <w:r w:rsidR="00FD7C53">
              <w:rPr>
                <w:rFonts w:asciiTheme="majorHAnsi" w:hAnsiTheme="majorHAnsi"/>
              </w:rPr>
              <w:t>·</w:t>
            </w:r>
            <w:r w:rsidRPr="00904A1C">
              <w:rPr>
                <w:rFonts w:asciiTheme="majorHAnsi" w:hAnsiTheme="majorHAnsi"/>
              </w:rPr>
              <w:t>18)</w:t>
            </w:r>
          </w:p>
        </w:tc>
      </w:tr>
      <w:tr w:rsidR="00904A1C" w:rsidRPr="00904A1C" w14:paraId="0CFC4EA4" w14:textId="77777777" w:rsidTr="0071547C">
        <w:tc>
          <w:tcPr>
            <w:tcW w:w="1419" w:type="dxa"/>
          </w:tcPr>
          <w:p w14:paraId="0F2A005E" w14:textId="77777777" w:rsidR="00904A1C" w:rsidRPr="00904A1C" w:rsidRDefault="00904A1C" w:rsidP="0071547C">
            <w:pPr>
              <w:rPr>
                <w:rFonts w:asciiTheme="majorHAnsi" w:hAnsiTheme="majorHAnsi"/>
                <w:color w:val="auto"/>
              </w:rPr>
            </w:pPr>
            <w:r w:rsidRPr="00904A1C">
              <w:rPr>
                <w:rFonts w:asciiTheme="majorHAnsi" w:hAnsiTheme="majorHAnsi"/>
              </w:rPr>
              <w:t>Macular volume (mm</w:t>
            </w:r>
            <w:r w:rsidRPr="00904A1C">
              <w:rPr>
                <w:rFonts w:asciiTheme="majorHAnsi" w:hAnsiTheme="majorHAnsi"/>
                <w:vertAlign w:val="superscript"/>
              </w:rPr>
              <w:t>3</w:t>
            </w:r>
            <w:r w:rsidRPr="00904A1C">
              <w:rPr>
                <w:rFonts w:asciiTheme="majorHAnsi" w:hAnsiTheme="majorHAnsi"/>
              </w:rPr>
              <w:t>)</w:t>
            </w:r>
          </w:p>
        </w:tc>
        <w:tc>
          <w:tcPr>
            <w:tcW w:w="1383" w:type="dxa"/>
          </w:tcPr>
          <w:p w14:paraId="595CD84F" w14:textId="2AF3DC8D" w:rsidR="00904A1C" w:rsidRPr="00904A1C" w:rsidRDefault="00904A1C" w:rsidP="0071547C">
            <w:pPr>
              <w:jc w:val="center"/>
              <w:rPr>
                <w:rFonts w:asciiTheme="majorHAnsi" w:hAnsiTheme="majorHAnsi"/>
                <w:color w:val="auto"/>
              </w:rPr>
            </w:pPr>
            <w:r w:rsidRPr="00904A1C">
              <w:rPr>
                <w:rFonts w:asciiTheme="majorHAnsi" w:hAnsiTheme="majorHAnsi"/>
              </w:rPr>
              <w:t>8</w:t>
            </w:r>
            <w:r w:rsidR="00FD7C53">
              <w:rPr>
                <w:rFonts w:asciiTheme="majorHAnsi" w:hAnsiTheme="majorHAnsi"/>
              </w:rPr>
              <w:t>·</w:t>
            </w:r>
            <w:r w:rsidRPr="00904A1C">
              <w:rPr>
                <w:rFonts w:asciiTheme="majorHAnsi" w:hAnsiTheme="majorHAnsi"/>
              </w:rPr>
              <w:t>67</w:t>
            </w:r>
          </w:p>
          <w:p w14:paraId="59E33773" w14:textId="6860DC32" w:rsidR="00904A1C" w:rsidRPr="00904A1C" w:rsidRDefault="00904A1C" w:rsidP="0071547C">
            <w:pPr>
              <w:jc w:val="center"/>
              <w:rPr>
                <w:rFonts w:asciiTheme="majorHAnsi" w:hAnsiTheme="majorHAnsi"/>
                <w:color w:val="auto"/>
              </w:rPr>
            </w:pPr>
            <w:r w:rsidRPr="00904A1C">
              <w:rPr>
                <w:rFonts w:asciiTheme="majorHAnsi" w:hAnsiTheme="majorHAnsi"/>
              </w:rPr>
              <w:t>(0</w:t>
            </w:r>
            <w:r w:rsidR="00FD7C53">
              <w:rPr>
                <w:rFonts w:asciiTheme="majorHAnsi" w:hAnsiTheme="majorHAnsi"/>
              </w:rPr>
              <w:t>·</w:t>
            </w:r>
            <w:r w:rsidRPr="00904A1C">
              <w:rPr>
                <w:rFonts w:asciiTheme="majorHAnsi" w:hAnsiTheme="majorHAnsi"/>
              </w:rPr>
              <w:t>41)</w:t>
            </w:r>
          </w:p>
        </w:tc>
        <w:tc>
          <w:tcPr>
            <w:tcW w:w="1701" w:type="dxa"/>
          </w:tcPr>
          <w:p w14:paraId="7CD30E11" w14:textId="66EC553C" w:rsidR="00904A1C" w:rsidRPr="00904A1C" w:rsidRDefault="00904A1C" w:rsidP="0071547C">
            <w:pPr>
              <w:jc w:val="center"/>
              <w:rPr>
                <w:rFonts w:asciiTheme="majorHAnsi" w:hAnsiTheme="majorHAnsi"/>
                <w:color w:val="auto"/>
              </w:rPr>
            </w:pPr>
            <w:r w:rsidRPr="00904A1C">
              <w:rPr>
                <w:rFonts w:asciiTheme="majorHAnsi" w:hAnsiTheme="majorHAnsi"/>
              </w:rPr>
              <w:t>8</w:t>
            </w:r>
            <w:r w:rsidR="00FD7C53">
              <w:rPr>
                <w:rFonts w:asciiTheme="majorHAnsi" w:hAnsiTheme="majorHAnsi"/>
              </w:rPr>
              <w:t>·</w:t>
            </w:r>
            <w:r w:rsidRPr="00904A1C">
              <w:rPr>
                <w:rFonts w:asciiTheme="majorHAnsi" w:hAnsiTheme="majorHAnsi"/>
              </w:rPr>
              <w:t>66</w:t>
            </w:r>
          </w:p>
          <w:p w14:paraId="47CF9378" w14:textId="138ECE4B" w:rsidR="00904A1C" w:rsidRPr="00904A1C" w:rsidRDefault="00904A1C" w:rsidP="0071547C">
            <w:pPr>
              <w:jc w:val="center"/>
              <w:rPr>
                <w:rFonts w:asciiTheme="majorHAnsi" w:hAnsiTheme="majorHAnsi"/>
                <w:color w:val="auto"/>
              </w:rPr>
            </w:pPr>
            <w:r w:rsidRPr="00904A1C">
              <w:rPr>
                <w:rFonts w:asciiTheme="majorHAnsi" w:hAnsiTheme="majorHAnsi"/>
              </w:rPr>
              <w:t>(0</w:t>
            </w:r>
            <w:r w:rsidR="00FD7C53">
              <w:rPr>
                <w:rFonts w:asciiTheme="majorHAnsi" w:hAnsiTheme="majorHAnsi"/>
              </w:rPr>
              <w:t>·</w:t>
            </w:r>
            <w:r w:rsidRPr="00904A1C">
              <w:rPr>
                <w:rFonts w:asciiTheme="majorHAnsi" w:hAnsiTheme="majorHAnsi"/>
              </w:rPr>
              <w:t>40)</w:t>
            </w:r>
          </w:p>
        </w:tc>
        <w:tc>
          <w:tcPr>
            <w:tcW w:w="1559" w:type="dxa"/>
          </w:tcPr>
          <w:p w14:paraId="01592EA6" w14:textId="688CD182" w:rsidR="00904A1C" w:rsidRPr="00904A1C" w:rsidRDefault="00904A1C" w:rsidP="0071547C">
            <w:pPr>
              <w:jc w:val="center"/>
              <w:rPr>
                <w:rFonts w:asciiTheme="majorHAnsi" w:hAnsiTheme="majorHAnsi"/>
                <w:color w:val="auto"/>
              </w:rPr>
            </w:pPr>
            <w:r w:rsidRPr="00904A1C">
              <w:rPr>
                <w:rFonts w:asciiTheme="majorHAnsi" w:hAnsiTheme="majorHAnsi"/>
              </w:rPr>
              <w:t>8</w:t>
            </w:r>
            <w:r w:rsidR="00FD7C53">
              <w:rPr>
                <w:rFonts w:asciiTheme="majorHAnsi" w:hAnsiTheme="majorHAnsi"/>
              </w:rPr>
              <w:t>·</w:t>
            </w:r>
            <w:r w:rsidRPr="00904A1C">
              <w:rPr>
                <w:rFonts w:asciiTheme="majorHAnsi" w:hAnsiTheme="majorHAnsi"/>
              </w:rPr>
              <w:t>67</w:t>
            </w:r>
          </w:p>
          <w:p w14:paraId="555F57CB" w14:textId="7D4E6641" w:rsidR="00904A1C" w:rsidRPr="00904A1C" w:rsidRDefault="00904A1C" w:rsidP="0071547C">
            <w:pPr>
              <w:jc w:val="center"/>
              <w:rPr>
                <w:rFonts w:asciiTheme="majorHAnsi" w:hAnsiTheme="majorHAnsi"/>
                <w:color w:val="auto"/>
              </w:rPr>
            </w:pPr>
            <w:r w:rsidRPr="00904A1C">
              <w:rPr>
                <w:rFonts w:asciiTheme="majorHAnsi" w:hAnsiTheme="majorHAnsi"/>
              </w:rPr>
              <w:t>(0</w:t>
            </w:r>
            <w:r w:rsidR="00FD7C53">
              <w:rPr>
                <w:rFonts w:asciiTheme="majorHAnsi" w:hAnsiTheme="majorHAnsi"/>
              </w:rPr>
              <w:t>·</w:t>
            </w:r>
            <w:r w:rsidRPr="00904A1C">
              <w:rPr>
                <w:rFonts w:asciiTheme="majorHAnsi" w:hAnsiTheme="majorHAnsi"/>
              </w:rPr>
              <w:t>39)</w:t>
            </w:r>
          </w:p>
        </w:tc>
        <w:tc>
          <w:tcPr>
            <w:tcW w:w="1701" w:type="dxa"/>
          </w:tcPr>
          <w:p w14:paraId="45B7D725" w14:textId="43B5B962" w:rsidR="00904A1C" w:rsidRPr="00904A1C" w:rsidRDefault="00904A1C" w:rsidP="0071547C">
            <w:pPr>
              <w:jc w:val="center"/>
              <w:rPr>
                <w:rFonts w:asciiTheme="majorHAnsi" w:hAnsiTheme="majorHAnsi"/>
                <w:color w:val="auto"/>
              </w:rPr>
            </w:pPr>
            <w:r w:rsidRPr="00904A1C">
              <w:rPr>
                <w:rFonts w:asciiTheme="majorHAnsi" w:hAnsiTheme="majorHAnsi"/>
              </w:rPr>
              <w:t>8</w:t>
            </w:r>
            <w:r w:rsidR="00FD7C53">
              <w:rPr>
                <w:rFonts w:asciiTheme="majorHAnsi" w:hAnsiTheme="majorHAnsi"/>
              </w:rPr>
              <w:t>·</w:t>
            </w:r>
            <w:r w:rsidRPr="00904A1C">
              <w:rPr>
                <w:rFonts w:asciiTheme="majorHAnsi" w:hAnsiTheme="majorHAnsi"/>
              </w:rPr>
              <w:t>63</w:t>
            </w:r>
          </w:p>
          <w:p w14:paraId="38C587ED" w14:textId="2D95C27D" w:rsidR="00904A1C" w:rsidRPr="00904A1C" w:rsidRDefault="00904A1C" w:rsidP="0071547C">
            <w:pPr>
              <w:jc w:val="center"/>
              <w:rPr>
                <w:rFonts w:asciiTheme="majorHAnsi" w:hAnsiTheme="majorHAnsi"/>
                <w:color w:val="auto"/>
              </w:rPr>
            </w:pPr>
            <w:r w:rsidRPr="00904A1C">
              <w:rPr>
                <w:rFonts w:asciiTheme="majorHAnsi" w:hAnsiTheme="majorHAnsi"/>
              </w:rPr>
              <w:t>(0</w:t>
            </w:r>
            <w:r w:rsidR="00FD7C53">
              <w:rPr>
                <w:rFonts w:asciiTheme="majorHAnsi" w:hAnsiTheme="majorHAnsi"/>
              </w:rPr>
              <w:t>·</w:t>
            </w:r>
            <w:r w:rsidRPr="00904A1C">
              <w:rPr>
                <w:rFonts w:asciiTheme="majorHAnsi" w:hAnsiTheme="majorHAnsi"/>
              </w:rPr>
              <w:t>43)</w:t>
            </w:r>
          </w:p>
        </w:tc>
      </w:tr>
      <w:tr w:rsidR="00904A1C" w:rsidRPr="00904A1C" w14:paraId="5CFFD393" w14:textId="77777777" w:rsidTr="0071547C">
        <w:tc>
          <w:tcPr>
            <w:tcW w:w="1419" w:type="dxa"/>
          </w:tcPr>
          <w:p w14:paraId="46619E41" w14:textId="77777777" w:rsidR="00904A1C" w:rsidRPr="00904A1C" w:rsidRDefault="00904A1C" w:rsidP="0071547C">
            <w:pPr>
              <w:rPr>
                <w:rFonts w:asciiTheme="majorHAnsi" w:hAnsiTheme="majorHAnsi"/>
                <w:color w:val="auto"/>
              </w:rPr>
            </w:pPr>
            <w:proofErr w:type="spellStart"/>
            <w:r w:rsidRPr="00904A1C">
              <w:rPr>
                <w:rFonts w:asciiTheme="majorHAnsi" w:hAnsiTheme="majorHAnsi"/>
              </w:rPr>
              <w:t>LogMAR</w:t>
            </w:r>
            <w:proofErr w:type="spellEnd"/>
            <w:r w:rsidRPr="00904A1C">
              <w:rPr>
                <w:rFonts w:asciiTheme="majorHAnsi" w:hAnsiTheme="majorHAnsi"/>
              </w:rPr>
              <w:t xml:space="preserve"> visual acuity</w:t>
            </w:r>
          </w:p>
        </w:tc>
        <w:tc>
          <w:tcPr>
            <w:tcW w:w="1383" w:type="dxa"/>
          </w:tcPr>
          <w:p w14:paraId="2A00F1B1" w14:textId="50DF9E0E" w:rsidR="00904A1C" w:rsidRPr="00904A1C" w:rsidRDefault="00904A1C" w:rsidP="0071547C">
            <w:pPr>
              <w:jc w:val="center"/>
              <w:rPr>
                <w:rFonts w:asciiTheme="majorHAnsi" w:hAnsiTheme="majorHAnsi"/>
                <w:color w:val="auto"/>
              </w:rPr>
            </w:pPr>
            <w:r w:rsidRPr="00904A1C">
              <w:rPr>
                <w:rFonts w:asciiTheme="majorHAnsi" w:hAnsiTheme="majorHAnsi"/>
              </w:rPr>
              <w:t>0</w:t>
            </w:r>
            <w:r w:rsidR="00FD7C53">
              <w:rPr>
                <w:rFonts w:asciiTheme="majorHAnsi" w:hAnsiTheme="majorHAnsi"/>
              </w:rPr>
              <w:t>·</w:t>
            </w:r>
            <w:r w:rsidRPr="00904A1C">
              <w:rPr>
                <w:rFonts w:asciiTheme="majorHAnsi" w:hAnsiTheme="majorHAnsi"/>
              </w:rPr>
              <w:t>0</w:t>
            </w:r>
            <w:r w:rsidR="00524543">
              <w:rPr>
                <w:rFonts w:asciiTheme="majorHAnsi" w:hAnsiTheme="majorHAnsi"/>
              </w:rPr>
              <w:t>3</w:t>
            </w:r>
          </w:p>
          <w:p w14:paraId="0144D11F" w14:textId="2DBF5A20" w:rsidR="00904A1C" w:rsidRPr="00904A1C" w:rsidRDefault="00904A1C" w:rsidP="0071547C">
            <w:pPr>
              <w:jc w:val="center"/>
              <w:rPr>
                <w:rFonts w:asciiTheme="majorHAnsi" w:hAnsiTheme="majorHAnsi"/>
                <w:color w:val="auto"/>
              </w:rPr>
            </w:pPr>
            <w:r w:rsidRPr="00904A1C">
              <w:rPr>
                <w:rFonts w:asciiTheme="majorHAnsi" w:hAnsiTheme="majorHAnsi"/>
              </w:rPr>
              <w:t>(0</w:t>
            </w:r>
            <w:r w:rsidR="00FD7C53">
              <w:rPr>
                <w:rFonts w:asciiTheme="majorHAnsi" w:hAnsiTheme="majorHAnsi"/>
              </w:rPr>
              <w:t>·</w:t>
            </w:r>
            <w:r w:rsidRPr="00904A1C">
              <w:rPr>
                <w:rFonts w:asciiTheme="majorHAnsi" w:hAnsiTheme="majorHAnsi"/>
              </w:rPr>
              <w:t>1</w:t>
            </w:r>
            <w:r w:rsidR="00524543">
              <w:rPr>
                <w:rFonts w:asciiTheme="majorHAnsi" w:hAnsiTheme="majorHAnsi"/>
              </w:rPr>
              <w:t>0</w:t>
            </w:r>
            <w:r w:rsidRPr="00904A1C">
              <w:rPr>
                <w:rFonts w:asciiTheme="majorHAnsi" w:hAnsiTheme="majorHAnsi"/>
              </w:rPr>
              <w:t>)</w:t>
            </w:r>
          </w:p>
        </w:tc>
        <w:tc>
          <w:tcPr>
            <w:tcW w:w="1701" w:type="dxa"/>
          </w:tcPr>
          <w:p w14:paraId="4817401E" w14:textId="20F14BB4" w:rsidR="00904A1C" w:rsidRPr="00904A1C" w:rsidRDefault="00904A1C" w:rsidP="0071547C">
            <w:pPr>
              <w:jc w:val="center"/>
              <w:rPr>
                <w:rFonts w:asciiTheme="majorHAnsi" w:hAnsiTheme="majorHAnsi"/>
                <w:color w:val="auto"/>
              </w:rPr>
            </w:pPr>
            <w:r w:rsidRPr="00904A1C">
              <w:rPr>
                <w:rFonts w:asciiTheme="majorHAnsi" w:hAnsiTheme="majorHAnsi"/>
              </w:rPr>
              <w:t>-0</w:t>
            </w:r>
            <w:r w:rsidR="00FD7C53">
              <w:rPr>
                <w:rFonts w:asciiTheme="majorHAnsi" w:hAnsiTheme="majorHAnsi"/>
              </w:rPr>
              <w:t>·</w:t>
            </w:r>
            <w:r w:rsidRPr="00904A1C">
              <w:rPr>
                <w:rFonts w:asciiTheme="majorHAnsi" w:hAnsiTheme="majorHAnsi"/>
              </w:rPr>
              <w:t>0</w:t>
            </w:r>
            <w:r w:rsidR="00524543">
              <w:rPr>
                <w:rFonts w:asciiTheme="majorHAnsi" w:hAnsiTheme="majorHAnsi"/>
              </w:rPr>
              <w:t>5</w:t>
            </w:r>
          </w:p>
          <w:p w14:paraId="3F039F08" w14:textId="63F1F634" w:rsidR="00904A1C" w:rsidRPr="00904A1C" w:rsidRDefault="00904A1C" w:rsidP="0071547C">
            <w:pPr>
              <w:jc w:val="center"/>
              <w:rPr>
                <w:rFonts w:asciiTheme="majorHAnsi" w:hAnsiTheme="majorHAnsi"/>
                <w:color w:val="auto"/>
              </w:rPr>
            </w:pPr>
            <w:r w:rsidRPr="00904A1C">
              <w:rPr>
                <w:rFonts w:asciiTheme="majorHAnsi" w:hAnsiTheme="majorHAnsi"/>
              </w:rPr>
              <w:t>(0</w:t>
            </w:r>
            <w:r w:rsidR="00FD7C53">
              <w:rPr>
                <w:rFonts w:asciiTheme="majorHAnsi" w:hAnsiTheme="majorHAnsi"/>
              </w:rPr>
              <w:t>·</w:t>
            </w:r>
            <w:r w:rsidRPr="00904A1C">
              <w:rPr>
                <w:rFonts w:asciiTheme="majorHAnsi" w:hAnsiTheme="majorHAnsi"/>
              </w:rPr>
              <w:t>1</w:t>
            </w:r>
            <w:r w:rsidR="00524543">
              <w:rPr>
                <w:rFonts w:asciiTheme="majorHAnsi" w:hAnsiTheme="majorHAnsi"/>
              </w:rPr>
              <w:t>3</w:t>
            </w:r>
            <w:r w:rsidRPr="00904A1C">
              <w:rPr>
                <w:rFonts w:asciiTheme="majorHAnsi" w:hAnsiTheme="majorHAnsi"/>
              </w:rPr>
              <w:t>)</w:t>
            </w:r>
          </w:p>
        </w:tc>
        <w:tc>
          <w:tcPr>
            <w:tcW w:w="1559" w:type="dxa"/>
          </w:tcPr>
          <w:p w14:paraId="08F8DCF0" w14:textId="547F2379" w:rsidR="00904A1C" w:rsidRPr="00904A1C" w:rsidRDefault="00904A1C" w:rsidP="0071547C">
            <w:pPr>
              <w:jc w:val="center"/>
              <w:rPr>
                <w:rFonts w:asciiTheme="majorHAnsi" w:hAnsiTheme="majorHAnsi"/>
                <w:color w:val="auto"/>
              </w:rPr>
            </w:pPr>
            <w:r w:rsidRPr="00904A1C">
              <w:rPr>
                <w:rFonts w:asciiTheme="majorHAnsi" w:hAnsiTheme="majorHAnsi"/>
              </w:rPr>
              <w:t>-0</w:t>
            </w:r>
            <w:r w:rsidR="00FD7C53">
              <w:rPr>
                <w:rFonts w:asciiTheme="majorHAnsi" w:hAnsiTheme="majorHAnsi"/>
              </w:rPr>
              <w:t>·</w:t>
            </w:r>
            <w:r w:rsidRPr="00904A1C">
              <w:rPr>
                <w:rFonts w:asciiTheme="majorHAnsi" w:hAnsiTheme="majorHAnsi"/>
              </w:rPr>
              <w:t>0</w:t>
            </w:r>
            <w:r w:rsidR="00524543">
              <w:rPr>
                <w:rFonts w:asciiTheme="majorHAnsi" w:hAnsiTheme="majorHAnsi"/>
              </w:rPr>
              <w:t>8</w:t>
            </w:r>
          </w:p>
          <w:p w14:paraId="4E408D4C" w14:textId="2C80B917" w:rsidR="00904A1C" w:rsidRPr="00904A1C" w:rsidRDefault="00904A1C" w:rsidP="0071547C">
            <w:pPr>
              <w:jc w:val="center"/>
              <w:rPr>
                <w:rFonts w:asciiTheme="majorHAnsi" w:hAnsiTheme="majorHAnsi"/>
                <w:color w:val="auto"/>
              </w:rPr>
            </w:pPr>
            <w:r w:rsidRPr="00904A1C">
              <w:rPr>
                <w:rFonts w:asciiTheme="majorHAnsi" w:hAnsiTheme="majorHAnsi"/>
              </w:rPr>
              <w:t>(0</w:t>
            </w:r>
            <w:r w:rsidR="00FD7C53">
              <w:rPr>
                <w:rFonts w:asciiTheme="majorHAnsi" w:hAnsiTheme="majorHAnsi"/>
              </w:rPr>
              <w:t>·</w:t>
            </w:r>
            <w:r w:rsidR="00524543">
              <w:rPr>
                <w:rFonts w:asciiTheme="majorHAnsi" w:hAnsiTheme="majorHAnsi"/>
              </w:rPr>
              <w:t>08</w:t>
            </w:r>
            <w:r w:rsidRPr="00904A1C">
              <w:rPr>
                <w:rFonts w:asciiTheme="majorHAnsi" w:hAnsiTheme="majorHAnsi"/>
              </w:rPr>
              <w:t>)</w:t>
            </w:r>
          </w:p>
        </w:tc>
        <w:tc>
          <w:tcPr>
            <w:tcW w:w="1701" w:type="dxa"/>
          </w:tcPr>
          <w:p w14:paraId="1D797999" w14:textId="614982EB" w:rsidR="00904A1C" w:rsidRPr="00904A1C" w:rsidRDefault="00904A1C" w:rsidP="0071547C">
            <w:pPr>
              <w:jc w:val="center"/>
              <w:rPr>
                <w:rFonts w:asciiTheme="majorHAnsi" w:hAnsiTheme="majorHAnsi"/>
                <w:color w:val="auto"/>
              </w:rPr>
            </w:pPr>
            <w:r w:rsidRPr="00904A1C">
              <w:rPr>
                <w:rFonts w:asciiTheme="majorHAnsi" w:hAnsiTheme="majorHAnsi"/>
              </w:rPr>
              <w:t>-0</w:t>
            </w:r>
            <w:r w:rsidR="00FD7C53">
              <w:rPr>
                <w:rFonts w:asciiTheme="majorHAnsi" w:hAnsiTheme="majorHAnsi"/>
              </w:rPr>
              <w:t>·</w:t>
            </w:r>
            <w:r w:rsidRPr="00904A1C">
              <w:rPr>
                <w:rFonts w:asciiTheme="majorHAnsi" w:hAnsiTheme="majorHAnsi"/>
              </w:rPr>
              <w:t>0</w:t>
            </w:r>
            <w:r w:rsidR="00524543">
              <w:rPr>
                <w:rFonts w:asciiTheme="majorHAnsi" w:hAnsiTheme="majorHAnsi"/>
              </w:rPr>
              <w:t>8</w:t>
            </w:r>
          </w:p>
          <w:p w14:paraId="583AA604" w14:textId="5C3049DC" w:rsidR="00904A1C" w:rsidRPr="00904A1C" w:rsidRDefault="00904A1C" w:rsidP="0071547C">
            <w:pPr>
              <w:jc w:val="center"/>
              <w:rPr>
                <w:rFonts w:asciiTheme="majorHAnsi" w:hAnsiTheme="majorHAnsi"/>
                <w:color w:val="auto"/>
              </w:rPr>
            </w:pPr>
            <w:r w:rsidRPr="00904A1C">
              <w:rPr>
                <w:rFonts w:asciiTheme="majorHAnsi" w:hAnsiTheme="majorHAnsi"/>
              </w:rPr>
              <w:t>(0</w:t>
            </w:r>
            <w:r w:rsidR="00FD7C53">
              <w:rPr>
                <w:rFonts w:asciiTheme="majorHAnsi" w:hAnsiTheme="majorHAnsi"/>
              </w:rPr>
              <w:t>·</w:t>
            </w:r>
            <w:r w:rsidRPr="00904A1C">
              <w:rPr>
                <w:rFonts w:asciiTheme="majorHAnsi" w:hAnsiTheme="majorHAnsi"/>
              </w:rPr>
              <w:t>1</w:t>
            </w:r>
            <w:r w:rsidR="00524543">
              <w:rPr>
                <w:rFonts w:asciiTheme="majorHAnsi" w:hAnsiTheme="majorHAnsi"/>
              </w:rPr>
              <w:t>0</w:t>
            </w:r>
            <w:r w:rsidRPr="00904A1C">
              <w:rPr>
                <w:rFonts w:asciiTheme="majorHAnsi" w:hAnsiTheme="majorHAnsi"/>
              </w:rPr>
              <w:t>)</w:t>
            </w:r>
          </w:p>
        </w:tc>
      </w:tr>
      <w:tr w:rsidR="00904A1C" w:rsidRPr="00904A1C" w14:paraId="1089872E" w14:textId="77777777" w:rsidTr="0071547C">
        <w:tc>
          <w:tcPr>
            <w:tcW w:w="1419" w:type="dxa"/>
          </w:tcPr>
          <w:p w14:paraId="5D648C5C" w14:textId="048DF591" w:rsidR="00904A1C" w:rsidRPr="00904A1C" w:rsidRDefault="00904A1C" w:rsidP="0071547C">
            <w:pPr>
              <w:rPr>
                <w:rFonts w:asciiTheme="majorHAnsi" w:hAnsiTheme="majorHAnsi"/>
                <w:color w:val="auto"/>
              </w:rPr>
            </w:pPr>
            <w:r w:rsidRPr="00904A1C">
              <w:rPr>
                <w:rFonts w:asciiTheme="majorHAnsi" w:hAnsiTheme="majorHAnsi"/>
              </w:rPr>
              <w:t>Low contrast letter score (1</w:t>
            </w:r>
            <w:r w:rsidR="00FD7C53">
              <w:rPr>
                <w:rFonts w:asciiTheme="majorHAnsi" w:hAnsiTheme="majorHAnsi"/>
              </w:rPr>
              <w:t>·</w:t>
            </w:r>
            <w:r w:rsidRPr="00904A1C">
              <w:rPr>
                <w:rFonts w:asciiTheme="majorHAnsi" w:hAnsiTheme="majorHAnsi"/>
              </w:rPr>
              <w:t>25%)</w:t>
            </w:r>
          </w:p>
        </w:tc>
        <w:tc>
          <w:tcPr>
            <w:tcW w:w="1383" w:type="dxa"/>
          </w:tcPr>
          <w:p w14:paraId="75699D14" w14:textId="77777777" w:rsidR="00904A1C" w:rsidRPr="00904A1C" w:rsidRDefault="00904A1C" w:rsidP="0071547C">
            <w:pPr>
              <w:jc w:val="center"/>
              <w:rPr>
                <w:rFonts w:asciiTheme="majorHAnsi" w:hAnsiTheme="majorHAnsi"/>
              </w:rPr>
            </w:pPr>
          </w:p>
          <w:p w14:paraId="6FBC0B8A" w14:textId="55128089" w:rsidR="00904A1C" w:rsidRPr="00904A1C" w:rsidRDefault="00904A1C" w:rsidP="0071547C">
            <w:pPr>
              <w:jc w:val="center"/>
              <w:rPr>
                <w:rFonts w:asciiTheme="majorHAnsi" w:hAnsiTheme="majorHAnsi"/>
                <w:color w:val="auto"/>
              </w:rPr>
            </w:pPr>
            <w:r w:rsidRPr="00904A1C">
              <w:rPr>
                <w:rFonts w:asciiTheme="majorHAnsi" w:hAnsiTheme="majorHAnsi"/>
              </w:rPr>
              <w:t>26</w:t>
            </w:r>
            <w:r w:rsidR="00FD7C53">
              <w:rPr>
                <w:rFonts w:asciiTheme="majorHAnsi" w:hAnsiTheme="majorHAnsi"/>
              </w:rPr>
              <w:t>·</w:t>
            </w:r>
            <w:r w:rsidRPr="00904A1C">
              <w:rPr>
                <w:rFonts w:asciiTheme="majorHAnsi" w:hAnsiTheme="majorHAnsi"/>
              </w:rPr>
              <w:t>33</w:t>
            </w:r>
          </w:p>
          <w:p w14:paraId="1C138FF7" w14:textId="41D9DED6" w:rsidR="00904A1C" w:rsidRPr="00904A1C" w:rsidRDefault="00904A1C" w:rsidP="0071547C">
            <w:pPr>
              <w:jc w:val="center"/>
              <w:rPr>
                <w:rFonts w:asciiTheme="majorHAnsi" w:hAnsiTheme="majorHAnsi"/>
                <w:color w:val="auto"/>
              </w:rPr>
            </w:pPr>
            <w:r w:rsidRPr="00904A1C">
              <w:rPr>
                <w:rFonts w:asciiTheme="majorHAnsi" w:hAnsiTheme="majorHAnsi"/>
              </w:rPr>
              <w:t>(9</w:t>
            </w:r>
            <w:r w:rsidR="00FD7C53">
              <w:rPr>
                <w:rFonts w:asciiTheme="majorHAnsi" w:hAnsiTheme="majorHAnsi"/>
              </w:rPr>
              <w:t>·</w:t>
            </w:r>
            <w:r w:rsidRPr="00904A1C">
              <w:rPr>
                <w:rFonts w:asciiTheme="majorHAnsi" w:hAnsiTheme="majorHAnsi"/>
              </w:rPr>
              <w:t>90)</w:t>
            </w:r>
          </w:p>
        </w:tc>
        <w:tc>
          <w:tcPr>
            <w:tcW w:w="1701" w:type="dxa"/>
          </w:tcPr>
          <w:p w14:paraId="3586C0B0" w14:textId="77777777" w:rsidR="00904A1C" w:rsidRPr="00904A1C" w:rsidRDefault="00904A1C" w:rsidP="0071547C">
            <w:pPr>
              <w:jc w:val="center"/>
              <w:rPr>
                <w:rFonts w:asciiTheme="majorHAnsi" w:hAnsiTheme="majorHAnsi"/>
              </w:rPr>
            </w:pPr>
          </w:p>
          <w:p w14:paraId="0D9ADE22" w14:textId="5E469421" w:rsidR="00904A1C" w:rsidRPr="00904A1C" w:rsidRDefault="00904A1C" w:rsidP="0071547C">
            <w:pPr>
              <w:jc w:val="center"/>
              <w:rPr>
                <w:rFonts w:asciiTheme="majorHAnsi" w:hAnsiTheme="majorHAnsi"/>
                <w:color w:val="auto"/>
              </w:rPr>
            </w:pPr>
            <w:r w:rsidRPr="00904A1C">
              <w:rPr>
                <w:rFonts w:asciiTheme="majorHAnsi" w:hAnsiTheme="majorHAnsi"/>
              </w:rPr>
              <w:t>27</w:t>
            </w:r>
            <w:r w:rsidR="00FD7C53">
              <w:rPr>
                <w:rFonts w:asciiTheme="majorHAnsi" w:hAnsiTheme="majorHAnsi"/>
              </w:rPr>
              <w:t>·</w:t>
            </w:r>
            <w:r w:rsidRPr="00904A1C">
              <w:rPr>
                <w:rFonts w:asciiTheme="majorHAnsi" w:hAnsiTheme="majorHAnsi"/>
              </w:rPr>
              <w:t>79</w:t>
            </w:r>
          </w:p>
          <w:p w14:paraId="094868B1" w14:textId="54AD8E67" w:rsidR="00904A1C" w:rsidRPr="00904A1C" w:rsidRDefault="00904A1C" w:rsidP="0071547C">
            <w:pPr>
              <w:jc w:val="center"/>
              <w:rPr>
                <w:rFonts w:asciiTheme="majorHAnsi" w:hAnsiTheme="majorHAnsi"/>
                <w:color w:val="auto"/>
              </w:rPr>
            </w:pPr>
            <w:r w:rsidRPr="00904A1C">
              <w:rPr>
                <w:rFonts w:asciiTheme="majorHAnsi" w:hAnsiTheme="majorHAnsi"/>
              </w:rPr>
              <w:t>(10</w:t>
            </w:r>
            <w:r w:rsidR="00FD7C53">
              <w:rPr>
                <w:rFonts w:asciiTheme="majorHAnsi" w:hAnsiTheme="majorHAnsi"/>
              </w:rPr>
              <w:t>·</w:t>
            </w:r>
            <w:r w:rsidRPr="00904A1C">
              <w:rPr>
                <w:rFonts w:asciiTheme="majorHAnsi" w:hAnsiTheme="majorHAnsi"/>
              </w:rPr>
              <w:t>47)</w:t>
            </w:r>
          </w:p>
        </w:tc>
        <w:tc>
          <w:tcPr>
            <w:tcW w:w="1559" w:type="dxa"/>
          </w:tcPr>
          <w:p w14:paraId="39E4F377" w14:textId="77777777" w:rsidR="00904A1C" w:rsidRPr="00904A1C" w:rsidRDefault="00904A1C" w:rsidP="0071547C">
            <w:pPr>
              <w:jc w:val="center"/>
              <w:rPr>
                <w:rFonts w:asciiTheme="majorHAnsi" w:hAnsiTheme="majorHAnsi"/>
              </w:rPr>
            </w:pPr>
          </w:p>
          <w:p w14:paraId="1F5CF9AB" w14:textId="213CEC26" w:rsidR="00904A1C" w:rsidRPr="00904A1C" w:rsidRDefault="00904A1C" w:rsidP="0071547C">
            <w:pPr>
              <w:jc w:val="center"/>
              <w:rPr>
                <w:rFonts w:asciiTheme="majorHAnsi" w:hAnsiTheme="majorHAnsi"/>
                <w:color w:val="auto"/>
              </w:rPr>
            </w:pPr>
            <w:r w:rsidRPr="00904A1C">
              <w:rPr>
                <w:rFonts w:asciiTheme="majorHAnsi" w:hAnsiTheme="majorHAnsi"/>
              </w:rPr>
              <w:t>29</w:t>
            </w:r>
            <w:r w:rsidR="00FD7C53">
              <w:rPr>
                <w:rFonts w:asciiTheme="majorHAnsi" w:hAnsiTheme="majorHAnsi"/>
              </w:rPr>
              <w:t>·</w:t>
            </w:r>
            <w:r w:rsidRPr="00904A1C">
              <w:rPr>
                <w:rFonts w:asciiTheme="majorHAnsi" w:hAnsiTheme="majorHAnsi"/>
              </w:rPr>
              <w:t>48</w:t>
            </w:r>
          </w:p>
          <w:p w14:paraId="4CE2DC01" w14:textId="393C2268" w:rsidR="00904A1C" w:rsidRPr="00904A1C" w:rsidRDefault="00904A1C" w:rsidP="0071547C">
            <w:pPr>
              <w:jc w:val="center"/>
              <w:rPr>
                <w:rFonts w:asciiTheme="majorHAnsi" w:hAnsiTheme="majorHAnsi"/>
                <w:color w:val="auto"/>
              </w:rPr>
            </w:pPr>
            <w:r w:rsidRPr="00904A1C">
              <w:rPr>
                <w:rFonts w:asciiTheme="majorHAnsi" w:hAnsiTheme="majorHAnsi"/>
              </w:rPr>
              <w:t>(10</w:t>
            </w:r>
            <w:r w:rsidR="00FD7C53">
              <w:rPr>
                <w:rFonts w:asciiTheme="majorHAnsi" w:hAnsiTheme="majorHAnsi"/>
              </w:rPr>
              <w:t>·</w:t>
            </w:r>
            <w:r w:rsidRPr="00904A1C">
              <w:rPr>
                <w:rFonts w:asciiTheme="majorHAnsi" w:hAnsiTheme="majorHAnsi"/>
              </w:rPr>
              <w:t>35)</w:t>
            </w:r>
          </w:p>
        </w:tc>
        <w:tc>
          <w:tcPr>
            <w:tcW w:w="1701" w:type="dxa"/>
          </w:tcPr>
          <w:p w14:paraId="361EE5C2" w14:textId="77777777" w:rsidR="00904A1C" w:rsidRPr="00904A1C" w:rsidRDefault="00904A1C" w:rsidP="0071547C">
            <w:pPr>
              <w:jc w:val="center"/>
              <w:rPr>
                <w:rFonts w:asciiTheme="majorHAnsi" w:hAnsiTheme="majorHAnsi"/>
              </w:rPr>
            </w:pPr>
          </w:p>
          <w:p w14:paraId="5A6123AF" w14:textId="5300B6E3" w:rsidR="00904A1C" w:rsidRPr="00904A1C" w:rsidRDefault="00904A1C" w:rsidP="0071547C">
            <w:pPr>
              <w:jc w:val="center"/>
              <w:rPr>
                <w:rFonts w:asciiTheme="majorHAnsi" w:hAnsiTheme="majorHAnsi"/>
                <w:color w:val="auto"/>
              </w:rPr>
            </w:pPr>
            <w:r w:rsidRPr="00904A1C">
              <w:rPr>
                <w:rFonts w:asciiTheme="majorHAnsi" w:hAnsiTheme="majorHAnsi"/>
              </w:rPr>
              <w:t>27</w:t>
            </w:r>
            <w:r w:rsidR="00FD7C53">
              <w:rPr>
                <w:rFonts w:asciiTheme="majorHAnsi" w:hAnsiTheme="majorHAnsi"/>
              </w:rPr>
              <w:t>·</w:t>
            </w:r>
            <w:r w:rsidRPr="00904A1C">
              <w:rPr>
                <w:rFonts w:asciiTheme="majorHAnsi" w:hAnsiTheme="majorHAnsi"/>
              </w:rPr>
              <w:t>76</w:t>
            </w:r>
          </w:p>
          <w:p w14:paraId="5BA2D31B" w14:textId="5D750AC3" w:rsidR="00904A1C" w:rsidRPr="00904A1C" w:rsidRDefault="00904A1C" w:rsidP="0071547C">
            <w:pPr>
              <w:jc w:val="center"/>
              <w:rPr>
                <w:rFonts w:asciiTheme="majorHAnsi" w:hAnsiTheme="majorHAnsi"/>
                <w:color w:val="auto"/>
              </w:rPr>
            </w:pPr>
            <w:r w:rsidRPr="00904A1C">
              <w:rPr>
                <w:rFonts w:asciiTheme="majorHAnsi" w:hAnsiTheme="majorHAnsi"/>
              </w:rPr>
              <w:t>(9</w:t>
            </w:r>
            <w:r w:rsidR="00FD7C53">
              <w:rPr>
                <w:rFonts w:asciiTheme="majorHAnsi" w:hAnsiTheme="majorHAnsi"/>
              </w:rPr>
              <w:t>·</w:t>
            </w:r>
            <w:r w:rsidRPr="00904A1C">
              <w:rPr>
                <w:rFonts w:asciiTheme="majorHAnsi" w:hAnsiTheme="majorHAnsi"/>
              </w:rPr>
              <w:t>75)</w:t>
            </w:r>
          </w:p>
        </w:tc>
      </w:tr>
      <w:tr w:rsidR="00904A1C" w:rsidRPr="00904A1C" w14:paraId="725E7FC1" w14:textId="77777777" w:rsidTr="0071547C">
        <w:tc>
          <w:tcPr>
            <w:tcW w:w="1419" w:type="dxa"/>
          </w:tcPr>
          <w:p w14:paraId="0713B76C" w14:textId="6E2AD50C" w:rsidR="00904A1C" w:rsidRPr="00904A1C" w:rsidRDefault="00904A1C" w:rsidP="0071547C">
            <w:pPr>
              <w:rPr>
                <w:rFonts w:asciiTheme="majorHAnsi" w:hAnsiTheme="majorHAnsi"/>
                <w:color w:val="auto"/>
              </w:rPr>
            </w:pPr>
            <w:r w:rsidRPr="00904A1C">
              <w:rPr>
                <w:rFonts w:asciiTheme="majorHAnsi" w:hAnsiTheme="majorHAnsi"/>
              </w:rPr>
              <w:t>Low contrast letter score (2</w:t>
            </w:r>
            <w:r w:rsidR="00FD7C53">
              <w:rPr>
                <w:rFonts w:asciiTheme="majorHAnsi" w:hAnsiTheme="majorHAnsi"/>
              </w:rPr>
              <w:t>·</w:t>
            </w:r>
            <w:r w:rsidRPr="00904A1C">
              <w:rPr>
                <w:rFonts w:asciiTheme="majorHAnsi" w:hAnsiTheme="majorHAnsi"/>
              </w:rPr>
              <w:t>5%)</w:t>
            </w:r>
          </w:p>
        </w:tc>
        <w:tc>
          <w:tcPr>
            <w:tcW w:w="1383" w:type="dxa"/>
          </w:tcPr>
          <w:p w14:paraId="1A705732" w14:textId="77777777" w:rsidR="00904A1C" w:rsidRPr="00904A1C" w:rsidRDefault="00904A1C" w:rsidP="0071547C">
            <w:pPr>
              <w:jc w:val="center"/>
              <w:rPr>
                <w:rFonts w:asciiTheme="majorHAnsi" w:hAnsiTheme="majorHAnsi"/>
              </w:rPr>
            </w:pPr>
          </w:p>
          <w:p w14:paraId="62CDCC0A" w14:textId="7C3C1103" w:rsidR="00904A1C" w:rsidRPr="00904A1C" w:rsidRDefault="00904A1C" w:rsidP="0071547C">
            <w:pPr>
              <w:jc w:val="center"/>
              <w:rPr>
                <w:rFonts w:asciiTheme="majorHAnsi" w:hAnsiTheme="majorHAnsi"/>
                <w:color w:val="auto"/>
              </w:rPr>
            </w:pPr>
            <w:r w:rsidRPr="00904A1C">
              <w:rPr>
                <w:rFonts w:asciiTheme="majorHAnsi" w:hAnsiTheme="majorHAnsi"/>
              </w:rPr>
              <w:t>32</w:t>
            </w:r>
            <w:r w:rsidR="00FD7C53">
              <w:rPr>
                <w:rFonts w:asciiTheme="majorHAnsi" w:hAnsiTheme="majorHAnsi"/>
              </w:rPr>
              <w:t>·</w:t>
            </w:r>
            <w:r w:rsidRPr="00904A1C">
              <w:rPr>
                <w:rFonts w:asciiTheme="majorHAnsi" w:hAnsiTheme="majorHAnsi"/>
              </w:rPr>
              <w:t>86</w:t>
            </w:r>
          </w:p>
          <w:p w14:paraId="0C19824A" w14:textId="27659069" w:rsidR="00904A1C" w:rsidRPr="00904A1C" w:rsidRDefault="00904A1C" w:rsidP="0071547C">
            <w:pPr>
              <w:jc w:val="center"/>
              <w:rPr>
                <w:rFonts w:asciiTheme="majorHAnsi" w:hAnsiTheme="majorHAnsi"/>
                <w:color w:val="auto"/>
              </w:rPr>
            </w:pPr>
            <w:r w:rsidRPr="00904A1C">
              <w:rPr>
                <w:rFonts w:asciiTheme="majorHAnsi" w:hAnsiTheme="majorHAnsi"/>
              </w:rPr>
              <w:t>(9</w:t>
            </w:r>
            <w:r w:rsidR="00FD7C53">
              <w:rPr>
                <w:rFonts w:asciiTheme="majorHAnsi" w:hAnsiTheme="majorHAnsi"/>
              </w:rPr>
              <w:t>·</w:t>
            </w:r>
            <w:r w:rsidRPr="00904A1C">
              <w:rPr>
                <w:rFonts w:asciiTheme="majorHAnsi" w:hAnsiTheme="majorHAnsi"/>
              </w:rPr>
              <w:t>55)</w:t>
            </w:r>
          </w:p>
        </w:tc>
        <w:tc>
          <w:tcPr>
            <w:tcW w:w="1701" w:type="dxa"/>
          </w:tcPr>
          <w:p w14:paraId="49A7FE84" w14:textId="77777777" w:rsidR="00904A1C" w:rsidRPr="00904A1C" w:rsidRDefault="00904A1C" w:rsidP="0071547C">
            <w:pPr>
              <w:jc w:val="center"/>
              <w:rPr>
                <w:rFonts w:asciiTheme="majorHAnsi" w:hAnsiTheme="majorHAnsi"/>
              </w:rPr>
            </w:pPr>
          </w:p>
          <w:p w14:paraId="4CDBD92E" w14:textId="7E61CA68" w:rsidR="00904A1C" w:rsidRPr="00904A1C" w:rsidRDefault="00904A1C" w:rsidP="0071547C">
            <w:pPr>
              <w:jc w:val="center"/>
              <w:rPr>
                <w:rFonts w:asciiTheme="majorHAnsi" w:hAnsiTheme="majorHAnsi"/>
                <w:color w:val="auto"/>
              </w:rPr>
            </w:pPr>
            <w:r w:rsidRPr="00904A1C">
              <w:rPr>
                <w:rFonts w:asciiTheme="majorHAnsi" w:hAnsiTheme="majorHAnsi"/>
              </w:rPr>
              <w:t>33</w:t>
            </w:r>
            <w:r w:rsidR="00FD7C53">
              <w:rPr>
                <w:rFonts w:asciiTheme="majorHAnsi" w:hAnsiTheme="majorHAnsi"/>
              </w:rPr>
              <w:t>·</w:t>
            </w:r>
            <w:r w:rsidRPr="00904A1C">
              <w:rPr>
                <w:rFonts w:asciiTheme="majorHAnsi" w:hAnsiTheme="majorHAnsi"/>
              </w:rPr>
              <w:t>62</w:t>
            </w:r>
          </w:p>
          <w:p w14:paraId="2927A1A3" w14:textId="089EF5D0" w:rsidR="00904A1C" w:rsidRPr="00904A1C" w:rsidRDefault="00904A1C" w:rsidP="0071547C">
            <w:pPr>
              <w:jc w:val="center"/>
              <w:rPr>
                <w:rFonts w:asciiTheme="majorHAnsi" w:hAnsiTheme="majorHAnsi"/>
                <w:color w:val="auto"/>
              </w:rPr>
            </w:pPr>
            <w:r w:rsidRPr="00904A1C">
              <w:rPr>
                <w:rFonts w:asciiTheme="majorHAnsi" w:hAnsiTheme="majorHAnsi"/>
              </w:rPr>
              <w:t>(9</w:t>
            </w:r>
            <w:r w:rsidR="00FD7C53">
              <w:rPr>
                <w:rFonts w:asciiTheme="majorHAnsi" w:hAnsiTheme="majorHAnsi"/>
              </w:rPr>
              <w:t>·</w:t>
            </w:r>
            <w:r w:rsidRPr="00904A1C">
              <w:rPr>
                <w:rFonts w:asciiTheme="majorHAnsi" w:hAnsiTheme="majorHAnsi"/>
              </w:rPr>
              <w:t>65)</w:t>
            </w:r>
          </w:p>
        </w:tc>
        <w:tc>
          <w:tcPr>
            <w:tcW w:w="1559" w:type="dxa"/>
          </w:tcPr>
          <w:p w14:paraId="7070C194" w14:textId="77777777" w:rsidR="00904A1C" w:rsidRPr="00904A1C" w:rsidRDefault="00904A1C" w:rsidP="0071547C">
            <w:pPr>
              <w:jc w:val="center"/>
              <w:rPr>
                <w:rFonts w:asciiTheme="majorHAnsi" w:hAnsiTheme="majorHAnsi"/>
              </w:rPr>
            </w:pPr>
          </w:p>
          <w:p w14:paraId="30BF4307" w14:textId="5548F41E" w:rsidR="00904A1C" w:rsidRPr="00904A1C" w:rsidRDefault="00904A1C" w:rsidP="0071547C">
            <w:pPr>
              <w:jc w:val="center"/>
              <w:rPr>
                <w:rFonts w:asciiTheme="majorHAnsi" w:hAnsiTheme="majorHAnsi"/>
                <w:color w:val="auto"/>
              </w:rPr>
            </w:pPr>
            <w:r w:rsidRPr="00904A1C">
              <w:rPr>
                <w:rFonts w:asciiTheme="majorHAnsi" w:hAnsiTheme="majorHAnsi"/>
              </w:rPr>
              <w:t>34</w:t>
            </w:r>
            <w:r w:rsidR="00FD7C53">
              <w:rPr>
                <w:rFonts w:asciiTheme="majorHAnsi" w:hAnsiTheme="majorHAnsi"/>
              </w:rPr>
              <w:t>·</w:t>
            </w:r>
            <w:r w:rsidRPr="00904A1C">
              <w:rPr>
                <w:rFonts w:asciiTheme="majorHAnsi" w:hAnsiTheme="majorHAnsi"/>
              </w:rPr>
              <w:t>52</w:t>
            </w:r>
          </w:p>
          <w:p w14:paraId="347B2B8D" w14:textId="6ACA0EA5" w:rsidR="00904A1C" w:rsidRPr="00904A1C" w:rsidRDefault="00904A1C" w:rsidP="0071547C">
            <w:pPr>
              <w:jc w:val="center"/>
              <w:rPr>
                <w:rFonts w:asciiTheme="majorHAnsi" w:hAnsiTheme="majorHAnsi"/>
                <w:color w:val="auto"/>
              </w:rPr>
            </w:pPr>
            <w:r w:rsidRPr="00904A1C">
              <w:rPr>
                <w:rFonts w:asciiTheme="majorHAnsi" w:hAnsiTheme="majorHAnsi"/>
              </w:rPr>
              <w:t>(9</w:t>
            </w:r>
            <w:r w:rsidR="00FD7C53">
              <w:rPr>
                <w:rFonts w:asciiTheme="majorHAnsi" w:hAnsiTheme="majorHAnsi"/>
              </w:rPr>
              <w:t>·</w:t>
            </w:r>
            <w:r w:rsidRPr="00904A1C">
              <w:rPr>
                <w:rFonts w:asciiTheme="majorHAnsi" w:hAnsiTheme="majorHAnsi"/>
              </w:rPr>
              <w:t>96)</w:t>
            </w:r>
          </w:p>
        </w:tc>
        <w:tc>
          <w:tcPr>
            <w:tcW w:w="1701" w:type="dxa"/>
          </w:tcPr>
          <w:p w14:paraId="7442890D" w14:textId="77777777" w:rsidR="00904A1C" w:rsidRPr="00904A1C" w:rsidRDefault="00904A1C" w:rsidP="0071547C">
            <w:pPr>
              <w:jc w:val="center"/>
              <w:rPr>
                <w:rFonts w:asciiTheme="majorHAnsi" w:hAnsiTheme="majorHAnsi"/>
              </w:rPr>
            </w:pPr>
          </w:p>
          <w:p w14:paraId="3790A6D8" w14:textId="64A0B16C" w:rsidR="00904A1C" w:rsidRPr="00904A1C" w:rsidRDefault="00904A1C" w:rsidP="0071547C">
            <w:pPr>
              <w:jc w:val="center"/>
              <w:rPr>
                <w:rFonts w:asciiTheme="majorHAnsi" w:hAnsiTheme="majorHAnsi"/>
                <w:color w:val="auto"/>
              </w:rPr>
            </w:pPr>
            <w:r w:rsidRPr="00904A1C">
              <w:rPr>
                <w:rFonts w:asciiTheme="majorHAnsi" w:hAnsiTheme="majorHAnsi"/>
              </w:rPr>
              <w:t>34</w:t>
            </w:r>
            <w:r w:rsidR="00FD7C53">
              <w:rPr>
                <w:rFonts w:asciiTheme="majorHAnsi" w:hAnsiTheme="majorHAnsi"/>
              </w:rPr>
              <w:t>·</w:t>
            </w:r>
            <w:r w:rsidRPr="00904A1C">
              <w:rPr>
                <w:rFonts w:asciiTheme="majorHAnsi" w:hAnsiTheme="majorHAnsi"/>
              </w:rPr>
              <w:t>14</w:t>
            </w:r>
          </w:p>
          <w:p w14:paraId="435D6E55" w14:textId="03C36237" w:rsidR="00904A1C" w:rsidRPr="00904A1C" w:rsidRDefault="00904A1C" w:rsidP="0071547C">
            <w:pPr>
              <w:jc w:val="center"/>
              <w:rPr>
                <w:rFonts w:asciiTheme="majorHAnsi" w:hAnsiTheme="majorHAnsi"/>
                <w:color w:val="auto"/>
              </w:rPr>
            </w:pPr>
            <w:r w:rsidRPr="00904A1C">
              <w:rPr>
                <w:rFonts w:asciiTheme="majorHAnsi" w:hAnsiTheme="majorHAnsi"/>
              </w:rPr>
              <w:t>(10</w:t>
            </w:r>
            <w:r w:rsidR="00FD7C53">
              <w:rPr>
                <w:rFonts w:asciiTheme="majorHAnsi" w:hAnsiTheme="majorHAnsi"/>
              </w:rPr>
              <w:t>·</w:t>
            </w:r>
            <w:r w:rsidRPr="00904A1C">
              <w:rPr>
                <w:rFonts w:asciiTheme="majorHAnsi" w:hAnsiTheme="majorHAnsi"/>
              </w:rPr>
              <w:t>77)</w:t>
            </w:r>
          </w:p>
        </w:tc>
      </w:tr>
      <w:tr w:rsidR="00904A1C" w:rsidRPr="00904A1C" w14:paraId="34E76A0B" w14:textId="77777777" w:rsidTr="0071547C">
        <w:tc>
          <w:tcPr>
            <w:tcW w:w="1419" w:type="dxa"/>
          </w:tcPr>
          <w:p w14:paraId="2E57F6E4" w14:textId="77777777" w:rsidR="00904A1C" w:rsidRPr="00904A1C" w:rsidRDefault="00904A1C" w:rsidP="0071547C">
            <w:pPr>
              <w:rPr>
                <w:rFonts w:asciiTheme="majorHAnsi" w:hAnsiTheme="majorHAnsi"/>
                <w:color w:val="auto"/>
              </w:rPr>
            </w:pPr>
            <w:r w:rsidRPr="00904A1C">
              <w:rPr>
                <w:rFonts w:asciiTheme="majorHAnsi" w:hAnsiTheme="majorHAnsi"/>
              </w:rPr>
              <w:t>FM 100-Hue  total error score</w:t>
            </w:r>
          </w:p>
        </w:tc>
        <w:tc>
          <w:tcPr>
            <w:tcW w:w="1383" w:type="dxa"/>
          </w:tcPr>
          <w:p w14:paraId="7FA75254" w14:textId="799B939F" w:rsidR="00904A1C" w:rsidRPr="00904A1C" w:rsidRDefault="00904A1C" w:rsidP="0071547C">
            <w:pPr>
              <w:jc w:val="center"/>
              <w:rPr>
                <w:rFonts w:asciiTheme="majorHAnsi" w:hAnsiTheme="majorHAnsi"/>
                <w:color w:val="auto"/>
              </w:rPr>
            </w:pPr>
            <w:r w:rsidRPr="00904A1C">
              <w:rPr>
                <w:rFonts w:asciiTheme="majorHAnsi" w:hAnsiTheme="majorHAnsi"/>
              </w:rPr>
              <w:t>88</w:t>
            </w:r>
            <w:r w:rsidR="00FD7C53">
              <w:rPr>
                <w:rFonts w:asciiTheme="majorHAnsi" w:hAnsiTheme="majorHAnsi"/>
              </w:rPr>
              <w:t>·</w:t>
            </w:r>
            <w:r w:rsidRPr="00904A1C">
              <w:rPr>
                <w:rFonts w:asciiTheme="majorHAnsi" w:hAnsiTheme="majorHAnsi"/>
              </w:rPr>
              <w:t>19</w:t>
            </w:r>
          </w:p>
          <w:p w14:paraId="510E67FC" w14:textId="607B2B14" w:rsidR="00904A1C" w:rsidRPr="00904A1C" w:rsidRDefault="00904A1C" w:rsidP="0071547C">
            <w:pPr>
              <w:jc w:val="center"/>
              <w:rPr>
                <w:rFonts w:asciiTheme="majorHAnsi" w:hAnsiTheme="majorHAnsi"/>
                <w:color w:val="auto"/>
              </w:rPr>
            </w:pPr>
            <w:r w:rsidRPr="00904A1C">
              <w:rPr>
                <w:rFonts w:asciiTheme="majorHAnsi" w:hAnsiTheme="majorHAnsi"/>
              </w:rPr>
              <w:t>(49</w:t>
            </w:r>
            <w:r w:rsidR="00FD7C53">
              <w:rPr>
                <w:rFonts w:asciiTheme="majorHAnsi" w:hAnsiTheme="majorHAnsi"/>
              </w:rPr>
              <w:t>·</w:t>
            </w:r>
            <w:r w:rsidRPr="00904A1C">
              <w:rPr>
                <w:rFonts w:asciiTheme="majorHAnsi" w:hAnsiTheme="majorHAnsi"/>
              </w:rPr>
              <w:t>20)</w:t>
            </w:r>
          </w:p>
        </w:tc>
        <w:tc>
          <w:tcPr>
            <w:tcW w:w="1701" w:type="dxa"/>
          </w:tcPr>
          <w:p w14:paraId="30B817F9" w14:textId="703082E4" w:rsidR="00904A1C" w:rsidRPr="00904A1C" w:rsidRDefault="00904A1C" w:rsidP="0071547C">
            <w:pPr>
              <w:jc w:val="center"/>
              <w:rPr>
                <w:rFonts w:asciiTheme="majorHAnsi" w:hAnsiTheme="majorHAnsi"/>
                <w:color w:val="auto"/>
              </w:rPr>
            </w:pPr>
            <w:r w:rsidRPr="00904A1C">
              <w:rPr>
                <w:rFonts w:asciiTheme="majorHAnsi" w:hAnsiTheme="majorHAnsi"/>
              </w:rPr>
              <w:t>84</w:t>
            </w:r>
            <w:r w:rsidR="00FD7C53">
              <w:rPr>
                <w:rFonts w:asciiTheme="majorHAnsi" w:hAnsiTheme="majorHAnsi"/>
              </w:rPr>
              <w:t>·</w:t>
            </w:r>
            <w:r w:rsidRPr="00904A1C">
              <w:rPr>
                <w:rFonts w:asciiTheme="majorHAnsi" w:hAnsiTheme="majorHAnsi"/>
              </w:rPr>
              <w:t>62</w:t>
            </w:r>
          </w:p>
          <w:p w14:paraId="217C74BD" w14:textId="101A62DC" w:rsidR="00904A1C" w:rsidRPr="00904A1C" w:rsidRDefault="00904A1C" w:rsidP="0071547C">
            <w:pPr>
              <w:jc w:val="center"/>
              <w:rPr>
                <w:rFonts w:asciiTheme="majorHAnsi" w:hAnsiTheme="majorHAnsi"/>
                <w:color w:val="auto"/>
              </w:rPr>
            </w:pPr>
            <w:r w:rsidRPr="00904A1C">
              <w:rPr>
                <w:rFonts w:asciiTheme="majorHAnsi" w:hAnsiTheme="majorHAnsi"/>
              </w:rPr>
              <w:t>(54</w:t>
            </w:r>
            <w:r w:rsidR="00FD7C53">
              <w:rPr>
                <w:rFonts w:asciiTheme="majorHAnsi" w:hAnsiTheme="majorHAnsi"/>
              </w:rPr>
              <w:t>·</w:t>
            </w:r>
            <w:r w:rsidRPr="00904A1C">
              <w:rPr>
                <w:rFonts w:asciiTheme="majorHAnsi" w:hAnsiTheme="majorHAnsi"/>
              </w:rPr>
              <w:t>56)</w:t>
            </w:r>
          </w:p>
        </w:tc>
        <w:tc>
          <w:tcPr>
            <w:tcW w:w="1559" w:type="dxa"/>
          </w:tcPr>
          <w:p w14:paraId="3E9742DD" w14:textId="5F4F597A" w:rsidR="00904A1C" w:rsidRPr="00904A1C" w:rsidRDefault="00904A1C" w:rsidP="0071547C">
            <w:pPr>
              <w:jc w:val="center"/>
              <w:rPr>
                <w:rFonts w:asciiTheme="majorHAnsi" w:hAnsiTheme="majorHAnsi"/>
                <w:color w:val="auto"/>
              </w:rPr>
            </w:pPr>
            <w:r w:rsidRPr="00904A1C">
              <w:rPr>
                <w:rFonts w:asciiTheme="majorHAnsi" w:hAnsiTheme="majorHAnsi"/>
              </w:rPr>
              <w:t>90</w:t>
            </w:r>
            <w:r w:rsidR="00FD7C53">
              <w:rPr>
                <w:rFonts w:asciiTheme="majorHAnsi" w:hAnsiTheme="majorHAnsi"/>
              </w:rPr>
              <w:t>·</w:t>
            </w:r>
            <w:r w:rsidRPr="00904A1C">
              <w:rPr>
                <w:rFonts w:asciiTheme="majorHAnsi" w:hAnsiTheme="majorHAnsi"/>
              </w:rPr>
              <w:t>88</w:t>
            </w:r>
          </w:p>
          <w:p w14:paraId="4BECE7B5" w14:textId="02288912" w:rsidR="00904A1C" w:rsidRPr="00904A1C" w:rsidRDefault="00904A1C" w:rsidP="0071547C">
            <w:pPr>
              <w:jc w:val="center"/>
              <w:rPr>
                <w:rFonts w:asciiTheme="majorHAnsi" w:hAnsiTheme="majorHAnsi"/>
                <w:color w:val="auto"/>
              </w:rPr>
            </w:pPr>
            <w:r w:rsidRPr="00904A1C">
              <w:rPr>
                <w:rFonts w:asciiTheme="majorHAnsi" w:hAnsiTheme="majorHAnsi"/>
              </w:rPr>
              <w:t>(56</w:t>
            </w:r>
            <w:r w:rsidR="00FD7C53">
              <w:rPr>
                <w:rFonts w:asciiTheme="majorHAnsi" w:hAnsiTheme="majorHAnsi"/>
              </w:rPr>
              <w:t>·</w:t>
            </w:r>
            <w:r w:rsidRPr="00904A1C">
              <w:rPr>
                <w:rFonts w:asciiTheme="majorHAnsi" w:hAnsiTheme="majorHAnsi"/>
              </w:rPr>
              <w:t>49)</w:t>
            </w:r>
          </w:p>
        </w:tc>
        <w:tc>
          <w:tcPr>
            <w:tcW w:w="1701" w:type="dxa"/>
          </w:tcPr>
          <w:p w14:paraId="5A81F946" w14:textId="681F32A8" w:rsidR="00904A1C" w:rsidRPr="00904A1C" w:rsidRDefault="00904A1C" w:rsidP="0071547C">
            <w:pPr>
              <w:jc w:val="center"/>
              <w:rPr>
                <w:rFonts w:asciiTheme="majorHAnsi" w:hAnsiTheme="majorHAnsi"/>
                <w:color w:val="auto"/>
              </w:rPr>
            </w:pPr>
            <w:r w:rsidRPr="00904A1C">
              <w:rPr>
                <w:rFonts w:asciiTheme="majorHAnsi" w:hAnsiTheme="majorHAnsi"/>
              </w:rPr>
              <w:t>95</w:t>
            </w:r>
            <w:r w:rsidR="00FD7C53">
              <w:rPr>
                <w:rFonts w:asciiTheme="majorHAnsi" w:hAnsiTheme="majorHAnsi"/>
              </w:rPr>
              <w:t>·</w:t>
            </w:r>
            <w:r w:rsidRPr="00904A1C">
              <w:rPr>
                <w:rFonts w:asciiTheme="majorHAnsi" w:hAnsiTheme="majorHAnsi"/>
              </w:rPr>
              <w:t>33</w:t>
            </w:r>
          </w:p>
          <w:p w14:paraId="4744C932" w14:textId="0FE73CF0" w:rsidR="00904A1C" w:rsidRPr="00904A1C" w:rsidRDefault="00904A1C" w:rsidP="0071547C">
            <w:pPr>
              <w:jc w:val="center"/>
              <w:rPr>
                <w:rFonts w:asciiTheme="majorHAnsi" w:hAnsiTheme="majorHAnsi"/>
                <w:color w:val="auto"/>
              </w:rPr>
            </w:pPr>
            <w:r w:rsidRPr="00904A1C">
              <w:rPr>
                <w:rFonts w:asciiTheme="majorHAnsi" w:hAnsiTheme="majorHAnsi"/>
              </w:rPr>
              <w:t>(106</w:t>
            </w:r>
            <w:r w:rsidR="00FD7C53">
              <w:rPr>
                <w:rFonts w:asciiTheme="majorHAnsi" w:hAnsiTheme="majorHAnsi"/>
              </w:rPr>
              <w:t>·</w:t>
            </w:r>
            <w:r w:rsidRPr="00904A1C">
              <w:rPr>
                <w:rFonts w:asciiTheme="majorHAnsi" w:hAnsiTheme="majorHAnsi"/>
              </w:rPr>
              <w:t>56)</w:t>
            </w:r>
          </w:p>
        </w:tc>
      </w:tr>
      <w:tr w:rsidR="00904A1C" w:rsidRPr="00904A1C" w14:paraId="449B3298" w14:textId="77777777" w:rsidTr="0071547C">
        <w:tc>
          <w:tcPr>
            <w:tcW w:w="1419" w:type="dxa"/>
          </w:tcPr>
          <w:p w14:paraId="2CDBEA89" w14:textId="77777777" w:rsidR="00904A1C" w:rsidRPr="00904A1C" w:rsidRDefault="00904A1C" w:rsidP="0071547C">
            <w:pPr>
              <w:rPr>
                <w:rFonts w:asciiTheme="majorHAnsi" w:hAnsiTheme="majorHAnsi"/>
                <w:color w:val="auto"/>
              </w:rPr>
            </w:pPr>
            <w:r w:rsidRPr="00904A1C">
              <w:rPr>
                <w:rFonts w:asciiTheme="majorHAnsi" w:hAnsiTheme="majorHAnsi"/>
              </w:rPr>
              <w:t>VEP latency (</w:t>
            </w:r>
            <w:proofErr w:type="spellStart"/>
            <w:r w:rsidRPr="00904A1C">
              <w:rPr>
                <w:rFonts w:asciiTheme="majorHAnsi" w:hAnsiTheme="majorHAnsi"/>
              </w:rPr>
              <w:t>ms</w:t>
            </w:r>
            <w:proofErr w:type="spellEnd"/>
            <w:r w:rsidRPr="00904A1C">
              <w:rPr>
                <w:rFonts w:asciiTheme="majorHAnsi" w:hAnsiTheme="majorHAnsi"/>
              </w:rPr>
              <w:t>)</w:t>
            </w:r>
          </w:p>
        </w:tc>
        <w:tc>
          <w:tcPr>
            <w:tcW w:w="1383" w:type="dxa"/>
          </w:tcPr>
          <w:p w14:paraId="0BC148A3" w14:textId="35198EDE" w:rsidR="00904A1C" w:rsidRPr="00904A1C" w:rsidRDefault="00904A1C" w:rsidP="0071547C">
            <w:pPr>
              <w:jc w:val="center"/>
              <w:rPr>
                <w:rFonts w:asciiTheme="majorHAnsi" w:hAnsiTheme="majorHAnsi"/>
                <w:color w:val="auto"/>
              </w:rPr>
            </w:pPr>
            <w:r w:rsidRPr="00904A1C">
              <w:rPr>
                <w:rFonts w:asciiTheme="majorHAnsi" w:hAnsiTheme="majorHAnsi"/>
              </w:rPr>
              <w:t>104</w:t>
            </w:r>
            <w:r w:rsidR="00FD7C53">
              <w:rPr>
                <w:rFonts w:asciiTheme="majorHAnsi" w:hAnsiTheme="majorHAnsi"/>
              </w:rPr>
              <w:t>·</w:t>
            </w:r>
            <w:r w:rsidRPr="00904A1C">
              <w:rPr>
                <w:rFonts w:asciiTheme="majorHAnsi" w:hAnsiTheme="majorHAnsi"/>
              </w:rPr>
              <w:t>0</w:t>
            </w:r>
          </w:p>
          <w:p w14:paraId="110C57E7" w14:textId="308A9FA9" w:rsidR="00904A1C" w:rsidRPr="00904A1C" w:rsidRDefault="00904A1C" w:rsidP="0071547C">
            <w:pPr>
              <w:jc w:val="center"/>
              <w:rPr>
                <w:rFonts w:asciiTheme="majorHAnsi" w:hAnsiTheme="majorHAnsi"/>
                <w:color w:val="auto"/>
              </w:rPr>
            </w:pPr>
            <w:r w:rsidRPr="00904A1C">
              <w:rPr>
                <w:rFonts w:asciiTheme="majorHAnsi" w:hAnsiTheme="majorHAnsi"/>
              </w:rPr>
              <w:t>(6</w:t>
            </w:r>
            <w:r w:rsidR="00FD7C53">
              <w:rPr>
                <w:rFonts w:asciiTheme="majorHAnsi" w:hAnsiTheme="majorHAnsi"/>
              </w:rPr>
              <w:t>·</w:t>
            </w:r>
            <w:r w:rsidRPr="00904A1C">
              <w:rPr>
                <w:rFonts w:asciiTheme="majorHAnsi" w:hAnsiTheme="majorHAnsi"/>
              </w:rPr>
              <w:t>3)</w:t>
            </w:r>
          </w:p>
        </w:tc>
        <w:tc>
          <w:tcPr>
            <w:tcW w:w="1701" w:type="dxa"/>
          </w:tcPr>
          <w:p w14:paraId="219505B9" w14:textId="511BD509" w:rsidR="00904A1C" w:rsidRPr="00904A1C" w:rsidRDefault="00904A1C" w:rsidP="0071547C">
            <w:pPr>
              <w:jc w:val="center"/>
              <w:rPr>
                <w:rFonts w:asciiTheme="majorHAnsi" w:hAnsiTheme="majorHAnsi"/>
                <w:color w:val="auto"/>
              </w:rPr>
            </w:pPr>
            <w:r w:rsidRPr="00904A1C">
              <w:rPr>
                <w:rFonts w:asciiTheme="majorHAnsi" w:hAnsiTheme="majorHAnsi"/>
              </w:rPr>
              <w:t>108</w:t>
            </w:r>
            <w:r w:rsidR="00FD7C53">
              <w:rPr>
                <w:rFonts w:asciiTheme="majorHAnsi" w:hAnsiTheme="majorHAnsi"/>
              </w:rPr>
              <w:t>·</w:t>
            </w:r>
            <w:r w:rsidRPr="00904A1C">
              <w:rPr>
                <w:rFonts w:asciiTheme="majorHAnsi" w:hAnsiTheme="majorHAnsi"/>
              </w:rPr>
              <w:t>3</w:t>
            </w:r>
          </w:p>
          <w:p w14:paraId="6D0944A6" w14:textId="33C88E6A" w:rsidR="00904A1C" w:rsidRPr="00904A1C" w:rsidRDefault="00904A1C" w:rsidP="0071547C">
            <w:pPr>
              <w:jc w:val="center"/>
              <w:rPr>
                <w:rFonts w:asciiTheme="majorHAnsi" w:hAnsiTheme="majorHAnsi"/>
                <w:color w:val="auto"/>
              </w:rPr>
            </w:pPr>
            <w:r w:rsidRPr="00904A1C">
              <w:rPr>
                <w:rFonts w:asciiTheme="majorHAnsi" w:hAnsiTheme="majorHAnsi"/>
              </w:rPr>
              <w:t>(19</w:t>
            </w:r>
            <w:r w:rsidR="00FD7C53">
              <w:rPr>
                <w:rFonts w:asciiTheme="majorHAnsi" w:hAnsiTheme="majorHAnsi"/>
              </w:rPr>
              <w:t>·</w:t>
            </w:r>
            <w:r w:rsidRPr="00904A1C">
              <w:rPr>
                <w:rFonts w:asciiTheme="majorHAnsi" w:hAnsiTheme="majorHAnsi"/>
              </w:rPr>
              <w:t>8)</w:t>
            </w:r>
          </w:p>
        </w:tc>
        <w:tc>
          <w:tcPr>
            <w:tcW w:w="1559" w:type="dxa"/>
          </w:tcPr>
          <w:p w14:paraId="179B8839" w14:textId="300C51AC" w:rsidR="00904A1C" w:rsidRPr="00904A1C" w:rsidRDefault="00904A1C" w:rsidP="0071547C">
            <w:pPr>
              <w:jc w:val="center"/>
              <w:rPr>
                <w:rFonts w:asciiTheme="majorHAnsi" w:hAnsiTheme="majorHAnsi"/>
                <w:color w:val="auto"/>
              </w:rPr>
            </w:pPr>
            <w:r w:rsidRPr="00904A1C">
              <w:rPr>
                <w:rFonts w:asciiTheme="majorHAnsi" w:hAnsiTheme="majorHAnsi"/>
              </w:rPr>
              <w:t>104</w:t>
            </w:r>
            <w:r w:rsidR="00FD7C53">
              <w:rPr>
                <w:rFonts w:asciiTheme="majorHAnsi" w:hAnsiTheme="majorHAnsi"/>
              </w:rPr>
              <w:t>·</w:t>
            </w:r>
            <w:r w:rsidRPr="00904A1C">
              <w:rPr>
                <w:rFonts w:asciiTheme="majorHAnsi" w:hAnsiTheme="majorHAnsi"/>
              </w:rPr>
              <w:t>8</w:t>
            </w:r>
          </w:p>
          <w:p w14:paraId="44C5A62F" w14:textId="63A6132A" w:rsidR="00904A1C" w:rsidRPr="00904A1C" w:rsidRDefault="00904A1C" w:rsidP="0071547C">
            <w:pPr>
              <w:jc w:val="center"/>
              <w:rPr>
                <w:rFonts w:asciiTheme="majorHAnsi" w:hAnsiTheme="majorHAnsi"/>
                <w:color w:val="auto"/>
              </w:rPr>
            </w:pPr>
            <w:r w:rsidRPr="00904A1C">
              <w:rPr>
                <w:rFonts w:asciiTheme="majorHAnsi" w:hAnsiTheme="majorHAnsi"/>
              </w:rPr>
              <w:t>(5</w:t>
            </w:r>
            <w:r w:rsidR="00FD7C53">
              <w:rPr>
                <w:rFonts w:asciiTheme="majorHAnsi" w:hAnsiTheme="majorHAnsi"/>
              </w:rPr>
              <w:t>·</w:t>
            </w:r>
            <w:r w:rsidRPr="00904A1C">
              <w:rPr>
                <w:rFonts w:asciiTheme="majorHAnsi" w:hAnsiTheme="majorHAnsi"/>
              </w:rPr>
              <w:t>9)</w:t>
            </w:r>
          </w:p>
        </w:tc>
        <w:tc>
          <w:tcPr>
            <w:tcW w:w="1701" w:type="dxa"/>
          </w:tcPr>
          <w:p w14:paraId="6D852ABE" w14:textId="753A30BC" w:rsidR="00904A1C" w:rsidRPr="00904A1C" w:rsidRDefault="00904A1C" w:rsidP="0071547C">
            <w:pPr>
              <w:jc w:val="center"/>
              <w:rPr>
                <w:rFonts w:asciiTheme="majorHAnsi" w:hAnsiTheme="majorHAnsi"/>
                <w:color w:val="auto"/>
              </w:rPr>
            </w:pPr>
            <w:r w:rsidRPr="00904A1C">
              <w:rPr>
                <w:rFonts w:asciiTheme="majorHAnsi" w:hAnsiTheme="majorHAnsi"/>
              </w:rPr>
              <w:t>106</w:t>
            </w:r>
            <w:r w:rsidR="00FD7C53">
              <w:rPr>
                <w:rFonts w:asciiTheme="majorHAnsi" w:hAnsiTheme="majorHAnsi"/>
              </w:rPr>
              <w:t>·</w:t>
            </w:r>
            <w:r w:rsidRPr="00904A1C">
              <w:rPr>
                <w:rFonts w:asciiTheme="majorHAnsi" w:hAnsiTheme="majorHAnsi"/>
              </w:rPr>
              <w:t>1</w:t>
            </w:r>
          </w:p>
          <w:p w14:paraId="28C5BAC7" w14:textId="546C8D83" w:rsidR="00904A1C" w:rsidRPr="00904A1C" w:rsidRDefault="00904A1C" w:rsidP="0071547C">
            <w:pPr>
              <w:jc w:val="center"/>
              <w:rPr>
                <w:rFonts w:asciiTheme="majorHAnsi" w:hAnsiTheme="majorHAnsi"/>
                <w:color w:val="auto"/>
              </w:rPr>
            </w:pPr>
            <w:r w:rsidRPr="00904A1C">
              <w:rPr>
                <w:rFonts w:asciiTheme="majorHAnsi" w:hAnsiTheme="majorHAnsi"/>
              </w:rPr>
              <w:t>(6</w:t>
            </w:r>
            <w:r w:rsidR="00FD7C53">
              <w:rPr>
                <w:rFonts w:asciiTheme="majorHAnsi" w:hAnsiTheme="majorHAnsi"/>
              </w:rPr>
              <w:t>·</w:t>
            </w:r>
            <w:r w:rsidRPr="00904A1C">
              <w:rPr>
                <w:rFonts w:asciiTheme="majorHAnsi" w:hAnsiTheme="majorHAnsi"/>
              </w:rPr>
              <w:t>2)</w:t>
            </w:r>
          </w:p>
        </w:tc>
      </w:tr>
      <w:tr w:rsidR="00904A1C" w:rsidRPr="00904A1C" w14:paraId="341F2341" w14:textId="77777777" w:rsidTr="0071547C">
        <w:tc>
          <w:tcPr>
            <w:tcW w:w="1419" w:type="dxa"/>
          </w:tcPr>
          <w:p w14:paraId="10F0C3F1" w14:textId="77777777" w:rsidR="00904A1C" w:rsidRPr="00904A1C" w:rsidRDefault="00904A1C" w:rsidP="0071547C">
            <w:pPr>
              <w:rPr>
                <w:rFonts w:asciiTheme="majorHAnsi" w:hAnsiTheme="majorHAnsi"/>
              </w:rPr>
            </w:pPr>
            <w:r w:rsidRPr="00904A1C">
              <w:rPr>
                <w:rFonts w:asciiTheme="majorHAnsi" w:hAnsiTheme="majorHAnsi"/>
              </w:rPr>
              <w:t xml:space="preserve">VEP amplitude </w:t>
            </w:r>
          </w:p>
          <w:p w14:paraId="7F99BC67" w14:textId="77777777" w:rsidR="00904A1C" w:rsidRPr="00904A1C" w:rsidRDefault="00904A1C" w:rsidP="0071547C">
            <w:pPr>
              <w:rPr>
                <w:rFonts w:asciiTheme="majorHAnsi" w:hAnsiTheme="majorHAnsi"/>
                <w:color w:val="auto"/>
              </w:rPr>
            </w:pPr>
            <w:r w:rsidRPr="00904A1C">
              <w:rPr>
                <w:rFonts w:asciiTheme="majorHAnsi" w:hAnsiTheme="majorHAnsi"/>
              </w:rPr>
              <w:t>(</w:t>
            </w:r>
            <w:proofErr w:type="spellStart"/>
            <w:r w:rsidRPr="00904A1C">
              <w:rPr>
                <w:rFonts w:asciiTheme="majorHAnsi" w:hAnsiTheme="majorHAnsi"/>
              </w:rPr>
              <w:t>μV</w:t>
            </w:r>
            <w:proofErr w:type="spellEnd"/>
            <w:r w:rsidRPr="00904A1C">
              <w:rPr>
                <w:rFonts w:asciiTheme="majorHAnsi" w:hAnsiTheme="majorHAnsi"/>
              </w:rPr>
              <w:t xml:space="preserve">) </w:t>
            </w:r>
          </w:p>
        </w:tc>
        <w:tc>
          <w:tcPr>
            <w:tcW w:w="1383" w:type="dxa"/>
          </w:tcPr>
          <w:p w14:paraId="47DDC30A" w14:textId="637DC61C" w:rsidR="00904A1C" w:rsidRPr="00904A1C" w:rsidRDefault="00904A1C" w:rsidP="0071547C">
            <w:pPr>
              <w:jc w:val="center"/>
              <w:rPr>
                <w:rFonts w:asciiTheme="majorHAnsi" w:hAnsiTheme="majorHAnsi"/>
                <w:color w:val="auto"/>
              </w:rPr>
            </w:pPr>
            <w:r w:rsidRPr="00904A1C">
              <w:rPr>
                <w:rFonts w:asciiTheme="majorHAnsi" w:hAnsiTheme="majorHAnsi"/>
              </w:rPr>
              <w:t>10</w:t>
            </w:r>
            <w:r w:rsidR="00FD7C53">
              <w:rPr>
                <w:rFonts w:asciiTheme="majorHAnsi" w:hAnsiTheme="majorHAnsi"/>
              </w:rPr>
              <w:t>·</w:t>
            </w:r>
            <w:r w:rsidRPr="00904A1C">
              <w:rPr>
                <w:rFonts w:asciiTheme="majorHAnsi" w:hAnsiTheme="majorHAnsi"/>
              </w:rPr>
              <w:t>2</w:t>
            </w:r>
          </w:p>
          <w:p w14:paraId="219027C8" w14:textId="6B26131C" w:rsidR="00904A1C" w:rsidRPr="00904A1C" w:rsidRDefault="00904A1C" w:rsidP="0071547C">
            <w:pPr>
              <w:jc w:val="center"/>
              <w:rPr>
                <w:rFonts w:asciiTheme="majorHAnsi" w:hAnsiTheme="majorHAnsi"/>
                <w:color w:val="auto"/>
              </w:rPr>
            </w:pPr>
            <w:r w:rsidRPr="00904A1C">
              <w:rPr>
                <w:rFonts w:asciiTheme="majorHAnsi" w:hAnsiTheme="majorHAnsi"/>
              </w:rPr>
              <w:t>(5</w:t>
            </w:r>
            <w:r w:rsidR="00FD7C53">
              <w:rPr>
                <w:rFonts w:asciiTheme="majorHAnsi" w:hAnsiTheme="majorHAnsi"/>
              </w:rPr>
              <w:t>·</w:t>
            </w:r>
            <w:r w:rsidRPr="00904A1C">
              <w:rPr>
                <w:rFonts w:asciiTheme="majorHAnsi" w:hAnsiTheme="majorHAnsi"/>
              </w:rPr>
              <w:t>0)</w:t>
            </w:r>
          </w:p>
        </w:tc>
        <w:tc>
          <w:tcPr>
            <w:tcW w:w="1701" w:type="dxa"/>
          </w:tcPr>
          <w:p w14:paraId="3252F2A2" w14:textId="2EB80B70" w:rsidR="00904A1C" w:rsidRPr="00904A1C" w:rsidRDefault="00904A1C" w:rsidP="0071547C">
            <w:pPr>
              <w:jc w:val="center"/>
              <w:rPr>
                <w:rFonts w:asciiTheme="majorHAnsi" w:hAnsiTheme="majorHAnsi"/>
                <w:color w:val="auto"/>
              </w:rPr>
            </w:pPr>
            <w:r w:rsidRPr="00904A1C">
              <w:rPr>
                <w:rFonts w:asciiTheme="majorHAnsi" w:hAnsiTheme="majorHAnsi"/>
              </w:rPr>
              <w:t>9</w:t>
            </w:r>
            <w:r w:rsidR="00FD7C53">
              <w:rPr>
                <w:rFonts w:asciiTheme="majorHAnsi" w:hAnsiTheme="majorHAnsi"/>
              </w:rPr>
              <w:t>·</w:t>
            </w:r>
            <w:r w:rsidRPr="00904A1C">
              <w:rPr>
                <w:rFonts w:asciiTheme="majorHAnsi" w:hAnsiTheme="majorHAnsi"/>
              </w:rPr>
              <w:t>5</w:t>
            </w:r>
          </w:p>
          <w:p w14:paraId="3332F590" w14:textId="659BA1AD" w:rsidR="00904A1C" w:rsidRPr="00904A1C" w:rsidRDefault="00904A1C" w:rsidP="0071547C">
            <w:pPr>
              <w:jc w:val="center"/>
              <w:rPr>
                <w:rFonts w:asciiTheme="majorHAnsi" w:hAnsiTheme="majorHAnsi"/>
                <w:color w:val="auto"/>
              </w:rPr>
            </w:pPr>
            <w:r w:rsidRPr="00904A1C">
              <w:rPr>
                <w:rFonts w:asciiTheme="majorHAnsi" w:hAnsiTheme="majorHAnsi"/>
              </w:rPr>
              <w:t>(5</w:t>
            </w:r>
            <w:r w:rsidR="00FD7C53">
              <w:rPr>
                <w:rFonts w:asciiTheme="majorHAnsi" w:hAnsiTheme="majorHAnsi"/>
              </w:rPr>
              <w:t>·</w:t>
            </w:r>
            <w:r w:rsidRPr="00904A1C">
              <w:rPr>
                <w:rFonts w:asciiTheme="majorHAnsi" w:hAnsiTheme="majorHAnsi"/>
              </w:rPr>
              <w:t>0)</w:t>
            </w:r>
          </w:p>
        </w:tc>
        <w:tc>
          <w:tcPr>
            <w:tcW w:w="1559" w:type="dxa"/>
          </w:tcPr>
          <w:p w14:paraId="45035E71" w14:textId="1E964975" w:rsidR="00904A1C" w:rsidRPr="00904A1C" w:rsidRDefault="00904A1C" w:rsidP="0071547C">
            <w:pPr>
              <w:jc w:val="center"/>
              <w:rPr>
                <w:rFonts w:asciiTheme="majorHAnsi" w:hAnsiTheme="majorHAnsi"/>
                <w:color w:val="auto"/>
              </w:rPr>
            </w:pPr>
            <w:r w:rsidRPr="00904A1C">
              <w:rPr>
                <w:rFonts w:asciiTheme="majorHAnsi" w:hAnsiTheme="majorHAnsi"/>
              </w:rPr>
              <w:t>10</w:t>
            </w:r>
            <w:r w:rsidR="00FD7C53">
              <w:rPr>
                <w:rFonts w:asciiTheme="majorHAnsi" w:hAnsiTheme="majorHAnsi"/>
              </w:rPr>
              <w:t>·</w:t>
            </w:r>
            <w:r w:rsidRPr="00904A1C">
              <w:rPr>
                <w:rFonts w:asciiTheme="majorHAnsi" w:hAnsiTheme="majorHAnsi"/>
              </w:rPr>
              <w:t>8</w:t>
            </w:r>
          </w:p>
          <w:p w14:paraId="2D4AF9AE" w14:textId="068CDEA8" w:rsidR="00904A1C" w:rsidRPr="00904A1C" w:rsidRDefault="00904A1C" w:rsidP="0071547C">
            <w:pPr>
              <w:jc w:val="center"/>
              <w:rPr>
                <w:rFonts w:asciiTheme="majorHAnsi" w:hAnsiTheme="majorHAnsi"/>
                <w:color w:val="auto"/>
              </w:rPr>
            </w:pPr>
            <w:r w:rsidRPr="00904A1C">
              <w:rPr>
                <w:rFonts w:asciiTheme="majorHAnsi" w:hAnsiTheme="majorHAnsi"/>
              </w:rPr>
              <w:t>(5</w:t>
            </w:r>
            <w:r w:rsidR="00FD7C53">
              <w:rPr>
                <w:rFonts w:asciiTheme="majorHAnsi" w:hAnsiTheme="majorHAnsi"/>
              </w:rPr>
              <w:t>·</w:t>
            </w:r>
            <w:r w:rsidRPr="00904A1C">
              <w:rPr>
                <w:rFonts w:asciiTheme="majorHAnsi" w:hAnsiTheme="majorHAnsi"/>
              </w:rPr>
              <w:t>9)</w:t>
            </w:r>
          </w:p>
        </w:tc>
        <w:tc>
          <w:tcPr>
            <w:tcW w:w="1701" w:type="dxa"/>
          </w:tcPr>
          <w:p w14:paraId="30595FE1" w14:textId="65467BA4" w:rsidR="00904A1C" w:rsidRPr="00904A1C" w:rsidRDefault="00904A1C" w:rsidP="0071547C">
            <w:pPr>
              <w:jc w:val="center"/>
              <w:rPr>
                <w:rFonts w:asciiTheme="majorHAnsi" w:hAnsiTheme="majorHAnsi"/>
                <w:color w:val="auto"/>
              </w:rPr>
            </w:pPr>
            <w:r w:rsidRPr="00904A1C">
              <w:rPr>
                <w:rFonts w:asciiTheme="majorHAnsi" w:hAnsiTheme="majorHAnsi"/>
              </w:rPr>
              <w:t>9</w:t>
            </w:r>
            <w:r w:rsidR="00FD7C53">
              <w:rPr>
                <w:rFonts w:asciiTheme="majorHAnsi" w:hAnsiTheme="majorHAnsi"/>
              </w:rPr>
              <w:t>·</w:t>
            </w:r>
            <w:r w:rsidRPr="00904A1C">
              <w:rPr>
                <w:rFonts w:asciiTheme="majorHAnsi" w:hAnsiTheme="majorHAnsi"/>
              </w:rPr>
              <w:t>8</w:t>
            </w:r>
          </w:p>
          <w:p w14:paraId="6FC00224" w14:textId="5C022DA6" w:rsidR="00904A1C" w:rsidRPr="00904A1C" w:rsidRDefault="00904A1C" w:rsidP="0071547C">
            <w:pPr>
              <w:jc w:val="center"/>
              <w:rPr>
                <w:rFonts w:asciiTheme="majorHAnsi" w:hAnsiTheme="majorHAnsi"/>
                <w:color w:val="auto"/>
              </w:rPr>
            </w:pPr>
            <w:r w:rsidRPr="00904A1C">
              <w:rPr>
                <w:rFonts w:asciiTheme="majorHAnsi" w:hAnsiTheme="majorHAnsi"/>
              </w:rPr>
              <w:t>(6</w:t>
            </w:r>
            <w:r w:rsidR="00FD7C53">
              <w:rPr>
                <w:rFonts w:asciiTheme="majorHAnsi" w:hAnsiTheme="majorHAnsi"/>
              </w:rPr>
              <w:t>·</w:t>
            </w:r>
            <w:r w:rsidRPr="00904A1C">
              <w:rPr>
                <w:rFonts w:asciiTheme="majorHAnsi" w:hAnsiTheme="majorHAnsi"/>
              </w:rPr>
              <w:t>1)</w:t>
            </w:r>
          </w:p>
        </w:tc>
      </w:tr>
      <w:tr w:rsidR="00904A1C" w:rsidRPr="00904A1C" w14:paraId="0CB31A7D" w14:textId="77777777" w:rsidTr="0071547C">
        <w:tc>
          <w:tcPr>
            <w:tcW w:w="1419" w:type="dxa"/>
          </w:tcPr>
          <w:p w14:paraId="299837FA" w14:textId="77777777" w:rsidR="00904A1C" w:rsidRPr="00904A1C" w:rsidRDefault="00904A1C" w:rsidP="0071547C">
            <w:pPr>
              <w:rPr>
                <w:rFonts w:asciiTheme="majorHAnsi" w:hAnsiTheme="majorHAnsi"/>
                <w:color w:val="auto"/>
              </w:rPr>
            </w:pPr>
            <w:r w:rsidRPr="00904A1C">
              <w:rPr>
                <w:rFonts w:asciiTheme="majorHAnsi" w:hAnsiTheme="majorHAnsi"/>
              </w:rPr>
              <w:t>Optic nerve cross-sectional area (mm</w:t>
            </w:r>
            <w:r w:rsidRPr="00904A1C">
              <w:rPr>
                <w:rFonts w:asciiTheme="majorHAnsi" w:hAnsiTheme="majorHAnsi"/>
                <w:vertAlign w:val="superscript"/>
              </w:rPr>
              <w:t>2</w:t>
            </w:r>
            <w:r w:rsidRPr="00904A1C">
              <w:rPr>
                <w:rFonts w:asciiTheme="majorHAnsi" w:hAnsiTheme="majorHAnsi"/>
              </w:rPr>
              <w:t>)</w:t>
            </w:r>
          </w:p>
        </w:tc>
        <w:tc>
          <w:tcPr>
            <w:tcW w:w="1383" w:type="dxa"/>
          </w:tcPr>
          <w:p w14:paraId="4FA8309C" w14:textId="77777777" w:rsidR="00904A1C" w:rsidRPr="00904A1C" w:rsidRDefault="00904A1C" w:rsidP="0071547C">
            <w:pPr>
              <w:jc w:val="center"/>
              <w:rPr>
                <w:rFonts w:asciiTheme="majorHAnsi" w:hAnsiTheme="majorHAnsi"/>
              </w:rPr>
            </w:pPr>
          </w:p>
          <w:p w14:paraId="025DB2C2" w14:textId="5A9E28CC" w:rsidR="00904A1C" w:rsidRPr="00904A1C" w:rsidRDefault="00904A1C" w:rsidP="0071547C">
            <w:pPr>
              <w:jc w:val="center"/>
              <w:rPr>
                <w:rFonts w:asciiTheme="majorHAnsi" w:hAnsiTheme="majorHAnsi"/>
                <w:color w:val="auto"/>
              </w:rPr>
            </w:pPr>
            <w:r w:rsidRPr="00904A1C">
              <w:rPr>
                <w:rFonts w:asciiTheme="majorHAnsi" w:hAnsiTheme="majorHAnsi"/>
              </w:rPr>
              <w:t>5</w:t>
            </w:r>
            <w:r w:rsidR="00FD7C53">
              <w:rPr>
                <w:rFonts w:asciiTheme="majorHAnsi" w:hAnsiTheme="majorHAnsi"/>
              </w:rPr>
              <w:t>·</w:t>
            </w:r>
            <w:r w:rsidRPr="00904A1C">
              <w:rPr>
                <w:rFonts w:asciiTheme="majorHAnsi" w:hAnsiTheme="majorHAnsi"/>
              </w:rPr>
              <w:t>51</w:t>
            </w:r>
          </w:p>
          <w:p w14:paraId="5F9F6709" w14:textId="008FFEBE" w:rsidR="00904A1C" w:rsidRPr="00904A1C" w:rsidRDefault="00904A1C" w:rsidP="0071547C">
            <w:pPr>
              <w:jc w:val="center"/>
              <w:rPr>
                <w:rFonts w:asciiTheme="majorHAnsi" w:hAnsiTheme="majorHAnsi"/>
                <w:color w:val="auto"/>
              </w:rPr>
            </w:pPr>
            <w:r w:rsidRPr="00904A1C">
              <w:rPr>
                <w:rFonts w:asciiTheme="majorHAnsi" w:hAnsiTheme="majorHAnsi"/>
              </w:rPr>
              <w:t>(0</w:t>
            </w:r>
            <w:r w:rsidR="00FD7C53">
              <w:rPr>
                <w:rFonts w:asciiTheme="majorHAnsi" w:hAnsiTheme="majorHAnsi"/>
              </w:rPr>
              <w:t>·</w:t>
            </w:r>
            <w:r w:rsidRPr="00904A1C">
              <w:rPr>
                <w:rFonts w:asciiTheme="majorHAnsi" w:hAnsiTheme="majorHAnsi"/>
              </w:rPr>
              <w:t>90)</w:t>
            </w:r>
          </w:p>
        </w:tc>
        <w:tc>
          <w:tcPr>
            <w:tcW w:w="1701" w:type="dxa"/>
          </w:tcPr>
          <w:p w14:paraId="0140A4B5" w14:textId="77777777" w:rsidR="00904A1C" w:rsidRPr="00904A1C" w:rsidRDefault="00904A1C" w:rsidP="0071547C">
            <w:pPr>
              <w:jc w:val="center"/>
              <w:rPr>
                <w:rFonts w:asciiTheme="majorHAnsi" w:hAnsiTheme="majorHAnsi"/>
              </w:rPr>
            </w:pPr>
          </w:p>
          <w:p w14:paraId="27FB7578" w14:textId="2F2C7054" w:rsidR="00904A1C" w:rsidRPr="00904A1C" w:rsidRDefault="00904A1C" w:rsidP="0071547C">
            <w:pPr>
              <w:jc w:val="center"/>
              <w:rPr>
                <w:rFonts w:asciiTheme="majorHAnsi" w:hAnsiTheme="majorHAnsi"/>
                <w:color w:val="auto"/>
              </w:rPr>
            </w:pPr>
            <w:r w:rsidRPr="00904A1C">
              <w:rPr>
                <w:rFonts w:asciiTheme="majorHAnsi" w:hAnsiTheme="majorHAnsi"/>
              </w:rPr>
              <w:t>5</w:t>
            </w:r>
            <w:r w:rsidR="00FD7C53">
              <w:rPr>
                <w:rFonts w:asciiTheme="majorHAnsi" w:hAnsiTheme="majorHAnsi"/>
              </w:rPr>
              <w:t>·</w:t>
            </w:r>
            <w:r w:rsidRPr="00904A1C">
              <w:rPr>
                <w:rFonts w:asciiTheme="majorHAnsi" w:hAnsiTheme="majorHAnsi"/>
              </w:rPr>
              <w:t>15</w:t>
            </w:r>
          </w:p>
          <w:p w14:paraId="74D63B88" w14:textId="56DE0DEC" w:rsidR="00904A1C" w:rsidRPr="00904A1C" w:rsidRDefault="00904A1C" w:rsidP="0071547C">
            <w:pPr>
              <w:jc w:val="center"/>
              <w:rPr>
                <w:rFonts w:asciiTheme="majorHAnsi" w:hAnsiTheme="majorHAnsi"/>
                <w:color w:val="auto"/>
              </w:rPr>
            </w:pPr>
            <w:r w:rsidRPr="00904A1C">
              <w:rPr>
                <w:rFonts w:asciiTheme="majorHAnsi" w:hAnsiTheme="majorHAnsi"/>
              </w:rPr>
              <w:t>(0</w:t>
            </w:r>
            <w:r w:rsidR="00FD7C53">
              <w:rPr>
                <w:rFonts w:asciiTheme="majorHAnsi" w:hAnsiTheme="majorHAnsi"/>
              </w:rPr>
              <w:t>·</w:t>
            </w:r>
            <w:r w:rsidRPr="00904A1C">
              <w:rPr>
                <w:rFonts w:asciiTheme="majorHAnsi" w:hAnsiTheme="majorHAnsi"/>
              </w:rPr>
              <w:t>82)</w:t>
            </w:r>
          </w:p>
        </w:tc>
        <w:tc>
          <w:tcPr>
            <w:tcW w:w="1559" w:type="dxa"/>
          </w:tcPr>
          <w:p w14:paraId="59B6CBED" w14:textId="77777777" w:rsidR="00904A1C" w:rsidRPr="00904A1C" w:rsidRDefault="00904A1C" w:rsidP="0071547C">
            <w:pPr>
              <w:jc w:val="center"/>
              <w:rPr>
                <w:rFonts w:asciiTheme="majorHAnsi" w:hAnsiTheme="majorHAnsi"/>
              </w:rPr>
            </w:pPr>
          </w:p>
          <w:p w14:paraId="54BA1A8A" w14:textId="1FC9000C" w:rsidR="00904A1C" w:rsidRPr="00904A1C" w:rsidRDefault="00904A1C" w:rsidP="0071547C">
            <w:pPr>
              <w:jc w:val="center"/>
              <w:rPr>
                <w:rFonts w:asciiTheme="majorHAnsi" w:hAnsiTheme="majorHAnsi"/>
                <w:color w:val="auto"/>
              </w:rPr>
            </w:pPr>
            <w:r w:rsidRPr="00904A1C">
              <w:rPr>
                <w:rFonts w:asciiTheme="majorHAnsi" w:hAnsiTheme="majorHAnsi"/>
              </w:rPr>
              <w:t>5</w:t>
            </w:r>
            <w:r w:rsidR="00FD7C53">
              <w:rPr>
                <w:rFonts w:asciiTheme="majorHAnsi" w:hAnsiTheme="majorHAnsi"/>
              </w:rPr>
              <w:t>·</w:t>
            </w:r>
            <w:r w:rsidRPr="00904A1C">
              <w:rPr>
                <w:rFonts w:asciiTheme="majorHAnsi" w:hAnsiTheme="majorHAnsi"/>
              </w:rPr>
              <w:t>32</w:t>
            </w:r>
          </w:p>
          <w:p w14:paraId="0298F900" w14:textId="7D139E54" w:rsidR="00904A1C" w:rsidRPr="00904A1C" w:rsidRDefault="00904A1C" w:rsidP="0071547C">
            <w:pPr>
              <w:jc w:val="center"/>
              <w:rPr>
                <w:rFonts w:asciiTheme="majorHAnsi" w:hAnsiTheme="majorHAnsi"/>
                <w:color w:val="auto"/>
              </w:rPr>
            </w:pPr>
            <w:r w:rsidRPr="00904A1C">
              <w:rPr>
                <w:rFonts w:asciiTheme="majorHAnsi" w:hAnsiTheme="majorHAnsi"/>
              </w:rPr>
              <w:t>(0</w:t>
            </w:r>
            <w:r w:rsidR="00FD7C53">
              <w:rPr>
                <w:rFonts w:asciiTheme="majorHAnsi" w:hAnsiTheme="majorHAnsi"/>
              </w:rPr>
              <w:t>·</w:t>
            </w:r>
            <w:r w:rsidRPr="00904A1C">
              <w:rPr>
                <w:rFonts w:asciiTheme="majorHAnsi" w:hAnsiTheme="majorHAnsi"/>
              </w:rPr>
              <w:t>73)</w:t>
            </w:r>
          </w:p>
        </w:tc>
        <w:tc>
          <w:tcPr>
            <w:tcW w:w="1701" w:type="dxa"/>
          </w:tcPr>
          <w:p w14:paraId="419538CF" w14:textId="77777777" w:rsidR="00904A1C" w:rsidRPr="00904A1C" w:rsidRDefault="00904A1C" w:rsidP="0071547C">
            <w:pPr>
              <w:jc w:val="center"/>
              <w:rPr>
                <w:rFonts w:asciiTheme="majorHAnsi" w:hAnsiTheme="majorHAnsi"/>
              </w:rPr>
            </w:pPr>
          </w:p>
          <w:p w14:paraId="14B145CE" w14:textId="74ADF1C7" w:rsidR="00904A1C" w:rsidRPr="00904A1C" w:rsidRDefault="00904A1C" w:rsidP="0071547C">
            <w:pPr>
              <w:jc w:val="center"/>
              <w:rPr>
                <w:rFonts w:asciiTheme="majorHAnsi" w:hAnsiTheme="majorHAnsi"/>
                <w:color w:val="auto"/>
              </w:rPr>
            </w:pPr>
            <w:r w:rsidRPr="00904A1C">
              <w:rPr>
                <w:rFonts w:asciiTheme="majorHAnsi" w:hAnsiTheme="majorHAnsi"/>
              </w:rPr>
              <w:t>5</w:t>
            </w:r>
            <w:r w:rsidR="00FD7C53">
              <w:rPr>
                <w:rFonts w:asciiTheme="majorHAnsi" w:hAnsiTheme="majorHAnsi"/>
              </w:rPr>
              <w:t>·</w:t>
            </w:r>
            <w:r w:rsidRPr="00904A1C">
              <w:rPr>
                <w:rFonts w:asciiTheme="majorHAnsi" w:hAnsiTheme="majorHAnsi"/>
              </w:rPr>
              <w:t>41</w:t>
            </w:r>
          </w:p>
          <w:p w14:paraId="6FCFA9D4" w14:textId="50214379" w:rsidR="00904A1C" w:rsidRPr="00904A1C" w:rsidRDefault="00904A1C" w:rsidP="0071547C">
            <w:pPr>
              <w:jc w:val="center"/>
              <w:rPr>
                <w:rFonts w:asciiTheme="majorHAnsi" w:hAnsiTheme="majorHAnsi"/>
                <w:color w:val="auto"/>
              </w:rPr>
            </w:pPr>
            <w:r w:rsidRPr="00904A1C">
              <w:rPr>
                <w:rFonts w:asciiTheme="majorHAnsi" w:hAnsiTheme="majorHAnsi"/>
              </w:rPr>
              <w:t>(0</w:t>
            </w:r>
            <w:r w:rsidR="00FD7C53">
              <w:rPr>
                <w:rFonts w:asciiTheme="majorHAnsi" w:hAnsiTheme="majorHAnsi"/>
              </w:rPr>
              <w:t>·</w:t>
            </w:r>
            <w:r w:rsidRPr="00904A1C">
              <w:rPr>
                <w:rFonts w:asciiTheme="majorHAnsi" w:hAnsiTheme="majorHAnsi"/>
              </w:rPr>
              <w:t>72)</w:t>
            </w:r>
          </w:p>
        </w:tc>
      </w:tr>
    </w:tbl>
    <w:p w14:paraId="4E0BD340" w14:textId="77777777" w:rsidR="00904A1C" w:rsidRPr="00904A1C" w:rsidRDefault="00904A1C" w:rsidP="00904A1C">
      <w:pPr>
        <w:rPr>
          <w:rFonts w:asciiTheme="majorHAnsi" w:hAnsiTheme="majorHAnsi"/>
        </w:rPr>
      </w:pPr>
    </w:p>
    <w:p w14:paraId="36B40DAD" w14:textId="77777777" w:rsidR="00904A1C" w:rsidRPr="00904A1C" w:rsidRDefault="00904A1C" w:rsidP="00904A1C">
      <w:pPr>
        <w:rPr>
          <w:rFonts w:asciiTheme="majorHAnsi" w:hAnsiTheme="majorHAnsi"/>
        </w:rPr>
      </w:pPr>
      <w:r w:rsidRPr="00904A1C">
        <w:rPr>
          <w:rFonts w:asciiTheme="majorHAnsi" w:hAnsiTheme="majorHAnsi"/>
        </w:rPr>
        <w:t xml:space="preserve">Data are </w:t>
      </w:r>
      <w:proofErr w:type="gramStart"/>
      <w:r w:rsidRPr="00904A1C">
        <w:rPr>
          <w:rFonts w:asciiTheme="majorHAnsi" w:hAnsiTheme="majorHAnsi"/>
        </w:rPr>
        <w:t>mean</w:t>
      </w:r>
      <w:proofErr w:type="gramEnd"/>
      <w:r w:rsidRPr="00904A1C">
        <w:rPr>
          <w:rFonts w:asciiTheme="majorHAnsi" w:hAnsiTheme="majorHAnsi"/>
        </w:rPr>
        <w:t xml:space="preserve"> (standard deviation)</w:t>
      </w:r>
    </w:p>
    <w:p w14:paraId="641C4E3B" w14:textId="77777777" w:rsidR="001178C0" w:rsidRPr="00904A1C" w:rsidRDefault="001178C0" w:rsidP="00412D99">
      <w:pPr>
        <w:rPr>
          <w:rFonts w:asciiTheme="majorHAnsi" w:hAnsiTheme="majorHAnsi"/>
          <w:b/>
        </w:rPr>
      </w:pPr>
    </w:p>
    <w:p w14:paraId="5AAABD05" w14:textId="77777777" w:rsidR="00904A1C" w:rsidRPr="00904A1C" w:rsidRDefault="00904A1C">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
        </w:rPr>
      </w:pPr>
      <w:r w:rsidRPr="00904A1C">
        <w:rPr>
          <w:rFonts w:asciiTheme="majorHAnsi" w:hAnsiTheme="majorHAnsi"/>
          <w:b/>
        </w:rPr>
        <w:br w:type="page"/>
      </w:r>
    </w:p>
    <w:p w14:paraId="18E3A3AF" w14:textId="499D063D" w:rsidR="0088149C" w:rsidRDefault="0088149C" w:rsidP="00412D99">
      <w:pPr>
        <w:rPr>
          <w:rFonts w:ascii="Calibri" w:hAnsi="Calibri"/>
          <w:b/>
        </w:rPr>
      </w:pPr>
      <w:r w:rsidRPr="003318E4">
        <w:rPr>
          <w:rFonts w:ascii="Calibri" w:hAnsi="Calibri"/>
          <w:b/>
        </w:rPr>
        <w:lastRenderedPageBreak/>
        <w:t xml:space="preserve">Table </w:t>
      </w:r>
      <w:r w:rsidR="00904A1C">
        <w:rPr>
          <w:rFonts w:ascii="Calibri" w:hAnsi="Calibri"/>
          <w:b/>
        </w:rPr>
        <w:t>3</w:t>
      </w:r>
      <w:r w:rsidR="00C336FA">
        <w:rPr>
          <w:rFonts w:ascii="Calibri" w:hAnsi="Calibri"/>
          <w:b/>
        </w:rPr>
        <w:t xml:space="preserve">: </w:t>
      </w:r>
      <w:r w:rsidR="009E5F71">
        <w:rPr>
          <w:rFonts w:ascii="Calibri" w:hAnsi="Calibri"/>
          <w:b/>
        </w:rPr>
        <w:t>Bas</w:t>
      </w:r>
      <w:r w:rsidR="001113C7">
        <w:rPr>
          <w:rFonts w:ascii="Calibri" w:hAnsi="Calibri"/>
          <w:b/>
        </w:rPr>
        <w:t>eline and 6 month measurements in the affected eye by treatment group, and i</w:t>
      </w:r>
      <w:r w:rsidRPr="003318E4">
        <w:rPr>
          <w:rFonts w:ascii="Calibri" w:hAnsi="Calibri"/>
          <w:b/>
        </w:rPr>
        <w:t xml:space="preserve">ntention to treat comparison of primary and secondary outcomes at </w:t>
      </w:r>
      <w:r w:rsidR="000B6E60">
        <w:rPr>
          <w:rFonts w:ascii="Calibri" w:hAnsi="Calibri"/>
          <w:b/>
        </w:rPr>
        <w:t>six</w:t>
      </w:r>
      <w:r w:rsidRPr="003318E4">
        <w:rPr>
          <w:rFonts w:ascii="Calibri" w:hAnsi="Calibri"/>
          <w:b/>
        </w:rPr>
        <w:t xml:space="preserve"> months</w:t>
      </w:r>
    </w:p>
    <w:p w14:paraId="273A8687" w14:textId="77777777" w:rsidR="001113C7" w:rsidRDefault="001113C7" w:rsidP="00412D99">
      <w:pPr>
        <w:rPr>
          <w:rFonts w:ascii="Calibri" w:hAnsi="Calibri"/>
          <w:b/>
        </w:rPr>
      </w:pPr>
    </w:p>
    <w:tbl>
      <w:tblPr>
        <w:tblStyle w:val="MediumGrid1-Accent5"/>
        <w:tblW w:w="11199" w:type="dxa"/>
        <w:tblInd w:w="-1438" w:type="dxa"/>
        <w:tblLook w:val="04A0" w:firstRow="1" w:lastRow="0" w:firstColumn="1" w:lastColumn="0" w:noHBand="0" w:noVBand="1"/>
      </w:tblPr>
      <w:tblGrid>
        <w:gridCol w:w="1556"/>
        <w:gridCol w:w="2193"/>
        <w:gridCol w:w="2240"/>
        <w:gridCol w:w="1552"/>
        <w:gridCol w:w="1034"/>
        <w:gridCol w:w="1565"/>
        <w:gridCol w:w="1059"/>
      </w:tblGrid>
      <w:tr w:rsidR="001C1B9F" w:rsidRPr="00903E82" w14:paraId="00A7FF64" w14:textId="77777777" w:rsidTr="001256AC">
        <w:trPr>
          <w:gridAfter w:val="2"/>
          <w:cnfStyle w:val="100000000000" w:firstRow="1" w:lastRow="0" w:firstColumn="0" w:lastColumn="0" w:oddVBand="0" w:evenVBand="0" w:oddHBand="0" w:evenHBand="0" w:firstRowFirstColumn="0" w:firstRowLastColumn="0" w:lastRowFirstColumn="0" w:lastRowLastColumn="0"/>
          <w:wAfter w:w="2624" w:type="dxa"/>
        </w:trPr>
        <w:tc>
          <w:tcPr>
            <w:cnfStyle w:val="001000000000" w:firstRow="0" w:lastRow="0" w:firstColumn="1" w:lastColumn="0" w:oddVBand="0" w:evenVBand="0" w:oddHBand="0" w:evenHBand="0" w:firstRowFirstColumn="0" w:firstRowLastColumn="0" w:lastRowFirstColumn="0" w:lastRowLastColumn="0"/>
            <w:tcW w:w="1556" w:type="dxa"/>
          </w:tcPr>
          <w:p w14:paraId="75CFDFF1"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b w:val="0"/>
                <w:bCs w:val="0"/>
                <w:color w:val="FFFFFF" w:themeColor="background1"/>
                <w:sz w:val="20"/>
                <w:szCs w:val="20"/>
              </w:rPr>
            </w:pPr>
          </w:p>
        </w:tc>
        <w:tc>
          <w:tcPr>
            <w:tcW w:w="2193" w:type="dxa"/>
          </w:tcPr>
          <w:p w14:paraId="42CF1009" w14:textId="459E4B88"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themeColor="text1"/>
                <w:sz w:val="20"/>
                <w:szCs w:val="20"/>
              </w:rPr>
            </w:pPr>
            <w:r w:rsidRPr="001256AC">
              <w:rPr>
                <w:rFonts w:ascii="Calibri" w:hAnsi="Calibri"/>
                <w:sz w:val="20"/>
                <w:szCs w:val="20"/>
              </w:rPr>
              <w:t xml:space="preserve">                     </w:t>
            </w:r>
            <w:r w:rsidR="003B2154">
              <w:rPr>
                <w:rFonts w:ascii="Calibri" w:hAnsi="Calibri"/>
                <w:sz w:val="20"/>
                <w:szCs w:val="20"/>
              </w:rPr>
              <w:t xml:space="preserve">       </w:t>
            </w:r>
            <w:r w:rsidRPr="001256AC">
              <w:rPr>
                <w:rFonts w:ascii="Calibri" w:hAnsi="Calibri"/>
                <w:sz w:val="20"/>
                <w:szCs w:val="20"/>
              </w:rPr>
              <w:t xml:space="preserve">Baseline                     </w:t>
            </w:r>
          </w:p>
        </w:tc>
        <w:tc>
          <w:tcPr>
            <w:tcW w:w="2240" w:type="dxa"/>
          </w:tcPr>
          <w:p w14:paraId="1CA6FEC4" w14:textId="2033394E"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themeColor="text1"/>
                <w:sz w:val="20"/>
                <w:szCs w:val="20"/>
              </w:rPr>
            </w:pPr>
          </w:p>
        </w:tc>
        <w:tc>
          <w:tcPr>
            <w:tcW w:w="1552" w:type="dxa"/>
          </w:tcPr>
          <w:p w14:paraId="4D886258" w14:textId="64C4815D"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themeColor="text1"/>
                <w:sz w:val="20"/>
                <w:szCs w:val="20"/>
              </w:rPr>
            </w:pPr>
            <w:r w:rsidRPr="001256AC">
              <w:rPr>
                <w:rFonts w:ascii="Calibri" w:hAnsi="Calibri"/>
                <w:sz w:val="20"/>
                <w:szCs w:val="20"/>
              </w:rPr>
              <w:t xml:space="preserve">       </w:t>
            </w:r>
            <w:r w:rsidR="003B2154">
              <w:rPr>
                <w:rFonts w:ascii="Calibri" w:hAnsi="Calibri"/>
                <w:sz w:val="20"/>
                <w:szCs w:val="20"/>
              </w:rPr>
              <w:t xml:space="preserve">     </w:t>
            </w:r>
            <w:r w:rsidRPr="001256AC">
              <w:rPr>
                <w:rFonts w:ascii="Calibri" w:hAnsi="Calibri"/>
                <w:sz w:val="20"/>
                <w:szCs w:val="20"/>
              </w:rPr>
              <w:t>6 months</w:t>
            </w:r>
          </w:p>
        </w:tc>
        <w:tc>
          <w:tcPr>
            <w:tcW w:w="1034" w:type="dxa"/>
          </w:tcPr>
          <w:p w14:paraId="0431AC34"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themeColor="text1"/>
                <w:sz w:val="20"/>
                <w:szCs w:val="20"/>
              </w:rPr>
            </w:pPr>
          </w:p>
        </w:tc>
      </w:tr>
      <w:tr w:rsidR="001C1B9F" w:rsidRPr="00903E82" w14:paraId="18669C1D" w14:textId="77777777" w:rsidTr="00125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Pr>
          <w:p w14:paraId="47FD5128"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0"/>
                <w:szCs w:val="20"/>
              </w:rPr>
            </w:pPr>
          </w:p>
        </w:tc>
        <w:tc>
          <w:tcPr>
            <w:tcW w:w="2193" w:type="dxa"/>
          </w:tcPr>
          <w:p w14:paraId="5C1F3D5A" w14:textId="0631DAE9"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0"/>
                <w:szCs w:val="20"/>
              </w:rPr>
            </w:pPr>
            <w:r w:rsidRPr="001256AC">
              <w:rPr>
                <w:rFonts w:ascii="Calibri" w:hAnsi="Calibri"/>
                <w:sz w:val="20"/>
                <w:szCs w:val="20"/>
              </w:rPr>
              <w:t>Phenytoin</w:t>
            </w:r>
          </w:p>
          <w:p w14:paraId="3581987D"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0"/>
                <w:szCs w:val="20"/>
              </w:rPr>
            </w:pPr>
            <w:r w:rsidRPr="001256AC">
              <w:rPr>
                <w:rFonts w:ascii="Calibri" w:hAnsi="Calibri"/>
                <w:sz w:val="20"/>
                <w:szCs w:val="20"/>
              </w:rPr>
              <w:t>Mean (SD)</w:t>
            </w:r>
          </w:p>
        </w:tc>
        <w:tc>
          <w:tcPr>
            <w:tcW w:w="2240" w:type="dxa"/>
          </w:tcPr>
          <w:p w14:paraId="47C3B160"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0"/>
                <w:szCs w:val="20"/>
              </w:rPr>
            </w:pPr>
            <w:r w:rsidRPr="001256AC">
              <w:rPr>
                <w:rFonts w:ascii="Calibri" w:hAnsi="Calibri"/>
                <w:sz w:val="20"/>
                <w:szCs w:val="20"/>
              </w:rPr>
              <w:t>Placebo</w:t>
            </w:r>
          </w:p>
          <w:p w14:paraId="39789208"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0"/>
                <w:szCs w:val="20"/>
              </w:rPr>
            </w:pPr>
            <w:r w:rsidRPr="001256AC">
              <w:rPr>
                <w:rFonts w:ascii="Calibri" w:hAnsi="Calibri"/>
                <w:sz w:val="20"/>
                <w:szCs w:val="20"/>
              </w:rPr>
              <w:t>Mean (SD)</w:t>
            </w:r>
          </w:p>
        </w:tc>
        <w:tc>
          <w:tcPr>
            <w:tcW w:w="1552" w:type="dxa"/>
          </w:tcPr>
          <w:p w14:paraId="618714CC"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0"/>
                <w:szCs w:val="20"/>
              </w:rPr>
            </w:pPr>
            <w:r w:rsidRPr="001256AC">
              <w:rPr>
                <w:rFonts w:ascii="Calibri" w:hAnsi="Calibri"/>
                <w:sz w:val="20"/>
                <w:szCs w:val="20"/>
              </w:rPr>
              <w:t>Phenytoin</w:t>
            </w:r>
          </w:p>
          <w:p w14:paraId="1635B26D"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0"/>
                <w:szCs w:val="20"/>
              </w:rPr>
            </w:pPr>
            <w:r w:rsidRPr="001256AC">
              <w:rPr>
                <w:rFonts w:ascii="Calibri" w:hAnsi="Calibri"/>
                <w:sz w:val="20"/>
                <w:szCs w:val="20"/>
              </w:rPr>
              <w:t>Mean (SD)</w:t>
            </w:r>
          </w:p>
        </w:tc>
        <w:tc>
          <w:tcPr>
            <w:tcW w:w="1034" w:type="dxa"/>
          </w:tcPr>
          <w:p w14:paraId="250AAAAF"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0"/>
                <w:szCs w:val="20"/>
              </w:rPr>
            </w:pPr>
            <w:r w:rsidRPr="001256AC">
              <w:rPr>
                <w:rFonts w:ascii="Calibri" w:hAnsi="Calibri"/>
                <w:sz w:val="20"/>
                <w:szCs w:val="20"/>
              </w:rPr>
              <w:t>Placebo</w:t>
            </w:r>
          </w:p>
          <w:p w14:paraId="2542C010"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0"/>
                <w:szCs w:val="20"/>
              </w:rPr>
            </w:pPr>
            <w:r w:rsidRPr="001256AC">
              <w:rPr>
                <w:rFonts w:ascii="Calibri" w:hAnsi="Calibri"/>
                <w:sz w:val="20"/>
                <w:szCs w:val="20"/>
              </w:rPr>
              <w:t>Mean (SD)</w:t>
            </w:r>
          </w:p>
          <w:p w14:paraId="0CCEDA0A"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0"/>
                <w:szCs w:val="20"/>
              </w:rPr>
            </w:pPr>
          </w:p>
        </w:tc>
        <w:tc>
          <w:tcPr>
            <w:tcW w:w="1565" w:type="dxa"/>
          </w:tcPr>
          <w:p w14:paraId="768F7C42"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hAnsi="Calibri" w:cs="Lucida Grande"/>
                <w:b/>
                <w:bCs/>
                <w:color w:val="000000"/>
                <w:sz w:val="20"/>
                <w:szCs w:val="20"/>
              </w:rPr>
            </w:pPr>
            <w:r w:rsidRPr="001256AC">
              <w:rPr>
                <w:rFonts w:ascii="Calibri" w:hAnsi="Calibri"/>
                <w:sz w:val="20"/>
                <w:szCs w:val="20"/>
              </w:rPr>
              <w:t>Adjusted</w:t>
            </w:r>
            <w:r w:rsidRPr="001256AC">
              <w:rPr>
                <w:rFonts w:ascii="Calibri" w:hAnsi="Calibri" w:cs="Lucida Grande"/>
                <w:color w:val="000000"/>
                <w:sz w:val="20"/>
                <w:szCs w:val="20"/>
              </w:rPr>
              <w:t>¶</w:t>
            </w:r>
          </w:p>
          <w:p w14:paraId="799EECE1"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0"/>
                <w:szCs w:val="20"/>
              </w:rPr>
            </w:pPr>
            <w:r w:rsidRPr="001256AC">
              <w:rPr>
                <w:rFonts w:ascii="Calibri" w:hAnsi="Calibri"/>
                <w:sz w:val="20"/>
                <w:szCs w:val="20"/>
              </w:rPr>
              <w:t>six month active-placebo difference</w:t>
            </w:r>
          </w:p>
          <w:p w14:paraId="60F26C25"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0"/>
                <w:szCs w:val="20"/>
              </w:rPr>
            </w:pPr>
            <w:r w:rsidRPr="001256AC">
              <w:rPr>
                <w:rFonts w:ascii="Calibri" w:hAnsi="Calibri"/>
                <w:sz w:val="20"/>
                <w:szCs w:val="20"/>
              </w:rPr>
              <w:t>(95% CI)</w:t>
            </w:r>
          </w:p>
        </w:tc>
        <w:tc>
          <w:tcPr>
            <w:tcW w:w="1059" w:type="dxa"/>
          </w:tcPr>
          <w:p w14:paraId="4F2BC3BF" w14:textId="107DDDC4"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0"/>
                <w:szCs w:val="20"/>
              </w:rPr>
            </w:pPr>
            <w:r w:rsidRPr="001256AC">
              <w:rPr>
                <w:rFonts w:ascii="Calibri" w:hAnsi="Calibri"/>
                <w:sz w:val="20"/>
                <w:szCs w:val="20"/>
              </w:rPr>
              <w:t>p value</w:t>
            </w:r>
          </w:p>
          <w:p w14:paraId="5D015D56"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0"/>
                <w:szCs w:val="20"/>
              </w:rPr>
            </w:pPr>
          </w:p>
        </w:tc>
      </w:tr>
      <w:tr w:rsidR="001C1B9F" w:rsidRPr="00903E82" w14:paraId="04C4B9E7" w14:textId="77777777" w:rsidTr="001256AC">
        <w:tc>
          <w:tcPr>
            <w:cnfStyle w:val="001000000000" w:firstRow="0" w:lastRow="0" w:firstColumn="1" w:lastColumn="0" w:oddVBand="0" w:evenVBand="0" w:oddHBand="0" w:evenHBand="0" w:firstRowFirstColumn="0" w:firstRowLastColumn="0" w:lastRowFirstColumn="0" w:lastRowLastColumn="0"/>
            <w:tcW w:w="1556" w:type="dxa"/>
          </w:tcPr>
          <w:p w14:paraId="337FBF48"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0"/>
                <w:szCs w:val="20"/>
              </w:rPr>
            </w:pPr>
            <w:r w:rsidRPr="001256AC">
              <w:rPr>
                <w:rFonts w:ascii="Calibri" w:hAnsi="Calibri"/>
                <w:sz w:val="20"/>
                <w:szCs w:val="20"/>
              </w:rPr>
              <w:t>RNFL thickness (</w:t>
            </w:r>
            <w:r w:rsidRPr="001256AC">
              <w:rPr>
                <w:rFonts w:ascii="Calibri" w:hAnsi="Calibri"/>
                <w:i/>
                <w:sz w:val="20"/>
                <w:szCs w:val="20"/>
              </w:rPr>
              <w:t>u</w:t>
            </w:r>
            <w:r w:rsidRPr="001256AC">
              <w:rPr>
                <w:rFonts w:ascii="Calibri" w:hAnsi="Calibri"/>
                <w:sz w:val="20"/>
                <w:szCs w:val="20"/>
              </w:rPr>
              <w:t>m)</w:t>
            </w:r>
          </w:p>
        </w:tc>
        <w:tc>
          <w:tcPr>
            <w:tcW w:w="2193" w:type="dxa"/>
          </w:tcPr>
          <w:p w14:paraId="46D9F038"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0"/>
              </w:rPr>
            </w:pPr>
            <w:r w:rsidRPr="001256AC">
              <w:rPr>
                <w:rFonts w:ascii="Calibri" w:hAnsi="Calibri"/>
                <w:sz w:val="20"/>
                <w:szCs w:val="20"/>
              </w:rPr>
              <w:t>130·62 (46·4)</w:t>
            </w:r>
          </w:p>
          <w:p w14:paraId="31E15DA0"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0"/>
              </w:rPr>
            </w:pPr>
            <w:r w:rsidRPr="001256AC">
              <w:rPr>
                <w:rFonts w:ascii="Calibri" w:hAnsi="Calibri"/>
                <w:sz w:val="20"/>
                <w:szCs w:val="20"/>
              </w:rPr>
              <w:t>n=42</w:t>
            </w:r>
          </w:p>
        </w:tc>
        <w:tc>
          <w:tcPr>
            <w:tcW w:w="2240" w:type="dxa"/>
          </w:tcPr>
          <w:p w14:paraId="2DD18F54"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0"/>
              </w:rPr>
            </w:pPr>
            <w:r w:rsidRPr="001256AC">
              <w:rPr>
                <w:rFonts w:ascii="Calibri" w:hAnsi="Calibri"/>
                <w:sz w:val="20"/>
                <w:szCs w:val="20"/>
              </w:rPr>
              <w:t>125·20 (43·4)</w:t>
            </w:r>
          </w:p>
          <w:p w14:paraId="5B7458F0"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0"/>
              </w:rPr>
            </w:pPr>
            <w:r w:rsidRPr="001256AC">
              <w:rPr>
                <w:rFonts w:ascii="Calibri" w:hAnsi="Calibri"/>
                <w:sz w:val="20"/>
                <w:szCs w:val="20"/>
              </w:rPr>
              <w:t>n=44</w:t>
            </w:r>
          </w:p>
        </w:tc>
        <w:tc>
          <w:tcPr>
            <w:tcW w:w="1552" w:type="dxa"/>
          </w:tcPr>
          <w:p w14:paraId="1984DDB6"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256AC">
              <w:rPr>
                <w:rFonts w:ascii="Calibri" w:hAnsi="Calibri"/>
                <w:sz w:val="20"/>
                <w:szCs w:val="20"/>
              </w:rPr>
              <w:t>81·46 (16·27)</w:t>
            </w:r>
          </w:p>
          <w:p w14:paraId="193A3F86"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256AC">
              <w:rPr>
                <w:rFonts w:ascii="Calibri" w:hAnsi="Calibri"/>
                <w:sz w:val="20"/>
                <w:szCs w:val="20"/>
              </w:rPr>
              <w:t>n=39</w:t>
            </w:r>
          </w:p>
        </w:tc>
        <w:tc>
          <w:tcPr>
            <w:tcW w:w="1034" w:type="dxa"/>
          </w:tcPr>
          <w:p w14:paraId="6AA3B831"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256AC">
              <w:rPr>
                <w:rFonts w:ascii="Calibri" w:hAnsi="Calibri"/>
                <w:sz w:val="20"/>
                <w:szCs w:val="20"/>
              </w:rPr>
              <w:t>74·29 (15·14)</w:t>
            </w:r>
          </w:p>
          <w:p w14:paraId="25DE18B4"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256AC">
              <w:rPr>
                <w:rFonts w:ascii="Calibri" w:hAnsi="Calibri"/>
                <w:sz w:val="20"/>
                <w:szCs w:val="20"/>
              </w:rPr>
              <w:t>n=42</w:t>
            </w:r>
          </w:p>
        </w:tc>
        <w:tc>
          <w:tcPr>
            <w:tcW w:w="1565" w:type="dxa"/>
          </w:tcPr>
          <w:p w14:paraId="54667041"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0"/>
              </w:rPr>
            </w:pPr>
            <w:r w:rsidRPr="001256AC">
              <w:rPr>
                <w:rFonts w:ascii="Calibri" w:hAnsi="Calibri"/>
                <w:sz w:val="20"/>
                <w:szCs w:val="20"/>
              </w:rPr>
              <w:t>7·15</w:t>
            </w:r>
          </w:p>
          <w:p w14:paraId="78ED56A9"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256AC">
              <w:rPr>
                <w:rFonts w:ascii="Calibri" w:hAnsi="Calibri"/>
                <w:sz w:val="20"/>
                <w:szCs w:val="20"/>
              </w:rPr>
              <w:t>(1·08, 13·22)</w:t>
            </w:r>
          </w:p>
          <w:p w14:paraId="4422848F"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059" w:type="dxa"/>
          </w:tcPr>
          <w:p w14:paraId="7B4442D4"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256AC">
              <w:rPr>
                <w:rFonts w:asciiTheme="majorHAnsi" w:hAnsiTheme="majorHAnsi"/>
                <w:sz w:val="20"/>
                <w:szCs w:val="20"/>
              </w:rPr>
              <w:t>0·021</w:t>
            </w:r>
          </w:p>
        </w:tc>
      </w:tr>
      <w:tr w:rsidR="001C1B9F" w:rsidRPr="00903E82" w14:paraId="3027D0FA" w14:textId="77777777" w:rsidTr="00125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Pr>
          <w:p w14:paraId="0A1C8234"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0"/>
                <w:szCs w:val="20"/>
              </w:rPr>
            </w:pPr>
            <w:r w:rsidRPr="001256AC">
              <w:rPr>
                <w:rFonts w:ascii="Calibri" w:hAnsi="Calibri"/>
                <w:sz w:val="20"/>
                <w:szCs w:val="20"/>
              </w:rPr>
              <w:t>Macular volume (mm</w:t>
            </w:r>
            <w:r w:rsidRPr="001256AC">
              <w:rPr>
                <w:rFonts w:ascii="Calibri" w:hAnsi="Calibri"/>
                <w:sz w:val="20"/>
                <w:szCs w:val="20"/>
                <w:vertAlign w:val="superscript"/>
              </w:rPr>
              <w:t>3</w:t>
            </w:r>
            <w:r w:rsidRPr="001256AC">
              <w:rPr>
                <w:rFonts w:ascii="Calibri" w:hAnsi="Calibri"/>
                <w:sz w:val="20"/>
                <w:szCs w:val="20"/>
              </w:rPr>
              <w:t>)</w:t>
            </w:r>
          </w:p>
        </w:tc>
        <w:tc>
          <w:tcPr>
            <w:tcW w:w="2193" w:type="dxa"/>
          </w:tcPr>
          <w:p w14:paraId="02BBA99C"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0"/>
                <w:szCs w:val="20"/>
              </w:rPr>
            </w:pPr>
            <w:r w:rsidRPr="001256AC">
              <w:rPr>
                <w:rFonts w:ascii="Calibri" w:hAnsi="Calibri"/>
                <w:sz w:val="20"/>
                <w:szCs w:val="20"/>
              </w:rPr>
              <w:t>8·71 (0·46)</w:t>
            </w:r>
          </w:p>
          <w:p w14:paraId="7466794B"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0"/>
                <w:szCs w:val="20"/>
              </w:rPr>
            </w:pPr>
            <w:r w:rsidRPr="001256AC">
              <w:rPr>
                <w:rFonts w:ascii="Calibri" w:hAnsi="Calibri"/>
                <w:sz w:val="20"/>
                <w:szCs w:val="20"/>
              </w:rPr>
              <w:t>n=42</w:t>
            </w:r>
          </w:p>
        </w:tc>
        <w:tc>
          <w:tcPr>
            <w:tcW w:w="2240" w:type="dxa"/>
          </w:tcPr>
          <w:p w14:paraId="1A483839"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0"/>
                <w:szCs w:val="20"/>
              </w:rPr>
            </w:pPr>
            <w:r w:rsidRPr="001256AC">
              <w:rPr>
                <w:rFonts w:ascii="Calibri" w:hAnsi="Calibri"/>
                <w:sz w:val="20"/>
                <w:szCs w:val="20"/>
              </w:rPr>
              <w:t>8·63 (0·43)</w:t>
            </w:r>
          </w:p>
          <w:p w14:paraId="5FA1A491"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0"/>
                <w:szCs w:val="20"/>
              </w:rPr>
            </w:pPr>
            <w:r w:rsidRPr="001256AC">
              <w:rPr>
                <w:rFonts w:ascii="Calibri" w:hAnsi="Calibri"/>
                <w:sz w:val="20"/>
                <w:szCs w:val="20"/>
              </w:rPr>
              <w:t>n=44</w:t>
            </w:r>
          </w:p>
        </w:tc>
        <w:tc>
          <w:tcPr>
            <w:tcW w:w="1552" w:type="dxa"/>
          </w:tcPr>
          <w:p w14:paraId="573341EA"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0"/>
                <w:szCs w:val="20"/>
              </w:rPr>
            </w:pPr>
            <w:r w:rsidRPr="001256AC">
              <w:rPr>
                <w:rFonts w:ascii="Calibri" w:hAnsi="Calibri"/>
                <w:sz w:val="20"/>
                <w:szCs w:val="20"/>
              </w:rPr>
              <w:t xml:space="preserve">8·25 </w:t>
            </w:r>
          </w:p>
          <w:p w14:paraId="647495C8"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256AC">
              <w:rPr>
                <w:rFonts w:ascii="Calibri" w:hAnsi="Calibri"/>
                <w:sz w:val="20"/>
                <w:szCs w:val="20"/>
              </w:rPr>
              <w:t>(0·45)</w:t>
            </w:r>
          </w:p>
          <w:p w14:paraId="67A30972"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256AC">
              <w:rPr>
                <w:rFonts w:ascii="Calibri" w:hAnsi="Calibri"/>
                <w:sz w:val="20"/>
                <w:szCs w:val="20"/>
              </w:rPr>
              <w:t>n=39</w:t>
            </w:r>
          </w:p>
        </w:tc>
        <w:tc>
          <w:tcPr>
            <w:tcW w:w="1034" w:type="dxa"/>
          </w:tcPr>
          <w:p w14:paraId="74AE5AEA"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256AC">
              <w:rPr>
                <w:rFonts w:ascii="Calibri" w:hAnsi="Calibri"/>
                <w:sz w:val="20"/>
                <w:szCs w:val="20"/>
              </w:rPr>
              <w:t>8·07 (0·42)</w:t>
            </w:r>
          </w:p>
          <w:p w14:paraId="5FE2B08D"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256AC">
              <w:rPr>
                <w:rFonts w:ascii="Calibri" w:hAnsi="Calibri"/>
                <w:sz w:val="20"/>
                <w:szCs w:val="20"/>
              </w:rPr>
              <w:t>n= 41</w:t>
            </w:r>
          </w:p>
        </w:tc>
        <w:tc>
          <w:tcPr>
            <w:tcW w:w="1565" w:type="dxa"/>
          </w:tcPr>
          <w:p w14:paraId="169C00A5"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0"/>
                <w:szCs w:val="20"/>
              </w:rPr>
            </w:pPr>
            <w:r w:rsidRPr="001256AC">
              <w:rPr>
                <w:rFonts w:ascii="Calibri" w:hAnsi="Calibri"/>
                <w:sz w:val="20"/>
                <w:szCs w:val="20"/>
              </w:rPr>
              <w:t>0·20</w:t>
            </w:r>
          </w:p>
          <w:p w14:paraId="79D1713C"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256AC">
              <w:rPr>
                <w:rFonts w:ascii="Calibri" w:hAnsi="Calibri"/>
                <w:sz w:val="20"/>
                <w:szCs w:val="20"/>
              </w:rPr>
              <w:t>(0·06, 0·34)</w:t>
            </w:r>
          </w:p>
          <w:p w14:paraId="72F20CF2"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059" w:type="dxa"/>
          </w:tcPr>
          <w:p w14:paraId="4AE78D62"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256AC">
              <w:rPr>
                <w:rFonts w:asciiTheme="majorHAnsi" w:hAnsiTheme="majorHAnsi"/>
                <w:sz w:val="20"/>
                <w:szCs w:val="20"/>
              </w:rPr>
              <w:t>0·005</w:t>
            </w:r>
          </w:p>
        </w:tc>
      </w:tr>
      <w:tr w:rsidR="001C1B9F" w:rsidRPr="00903E82" w14:paraId="73C5E682" w14:textId="77777777" w:rsidTr="001256AC">
        <w:tc>
          <w:tcPr>
            <w:cnfStyle w:val="001000000000" w:firstRow="0" w:lastRow="0" w:firstColumn="1" w:lastColumn="0" w:oddVBand="0" w:evenVBand="0" w:oddHBand="0" w:evenHBand="0" w:firstRowFirstColumn="0" w:firstRowLastColumn="0" w:lastRowFirstColumn="0" w:lastRowLastColumn="0"/>
            <w:tcW w:w="1556" w:type="dxa"/>
          </w:tcPr>
          <w:p w14:paraId="0288E1A3"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0"/>
                <w:szCs w:val="20"/>
              </w:rPr>
            </w:pPr>
            <w:proofErr w:type="spellStart"/>
            <w:r w:rsidRPr="001256AC">
              <w:rPr>
                <w:rFonts w:ascii="Calibri" w:hAnsi="Calibri"/>
                <w:sz w:val="20"/>
                <w:szCs w:val="20"/>
              </w:rPr>
              <w:t>LogMar</w:t>
            </w:r>
            <w:proofErr w:type="spellEnd"/>
            <w:r w:rsidRPr="001256AC">
              <w:rPr>
                <w:rFonts w:ascii="Calibri" w:hAnsi="Calibri"/>
                <w:sz w:val="20"/>
                <w:szCs w:val="20"/>
              </w:rPr>
              <w:t xml:space="preserve"> visual acuity</w:t>
            </w:r>
          </w:p>
        </w:tc>
        <w:tc>
          <w:tcPr>
            <w:tcW w:w="2193" w:type="dxa"/>
          </w:tcPr>
          <w:p w14:paraId="5844E362"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0"/>
              </w:rPr>
            </w:pPr>
            <w:r w:rsidRPr="001256AC">
              <w:rPr>
                <w:rFonts w:ascii="Calibri" w:hAnsi="Calibri"/>
                <w:sz w:val="20"/>
                <w:szCs w:val="20"/>
              </w:rPr>
              <w:t>1·08 (0·56)</w:t>
            </w:r>
          </w:p>
          <w:p w14:paraId="65D41725"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0"/>
              </w:rPr>
            </w:pPr>
            <w:r w:rsidRPr="001256AC">
              <w:rPr>
                <w:rFonts w:ascii="Calibri" w:hAnsi="Calibri"/>
                <w:sz w:val="20"/>
                <w:szCs w:val="20"/>
              </w:rPr>
              <w:t>n=42</w:t>
            </w:r>
          </w:p>
        </w:tc>
        <w:tc>
          <w:tcPr>
            <w:tcW w:w="2240" w:type="dxa"/>
          </w:tcPr>
          <w:p w14:paraId="1488D08B"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0"/>
              </w:rPr>
            </w:pPr>
            <w:r w:rsidRPr="001256AC">
              <w:rPr>
                <w:rFonts w:ascii="Calibri" w:hAnsi="Calibri"/>
                <w:sz w:val="20"/>
                <w:szCs w:val="20"/>
              </w:rPr>
              <w:t>1·04 (0·62)</w:t>
            </w:r>
          </w:p>
          <w:p w14:paraId="5FB51FC3"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0"/>
              </w:rPr>
            </w:pPr>
            <w:r w:rsidRPr="001256AC">
              <w:rPr>
                <w:rFonts w:ascii="Calibri" w:hAnsi="Calibri"/>
                <w:sz w:val="20"/>
                <w:szCs w:val="20"/>
              </w:rPr>
              <w:t>n=44</w:t>
            </w:r>
          </w:p>
        </w:tc>
        <w:tc>
          <w:tcPr>
            <w:tcW w:w="1552" w:type="dxa"/>
          </w:tcPr>
          <w:p w14:paraId="42906FAE"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0"/>
              </w:rPr>
            </w:pPr>
            <w:r w:rsidRPr="001256AC">
              <w:rPr>
                <w:rFonts w:ascii="Calibri" w:hAnsi="Calibri"/>
                <w:sz w:val="20"/>
                <w:szCs w:val="20"/>
              </w:rPr>
              <w:t>0·09</w:t>
            </w:r>
          </w:p>
          <w:p w14:paraId="3A193902"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256AC">
              <w:rPr>
                <w:rFonts w:ascii="Calibri" w:hAnsi="Calibri"/>
                <w:sz w:val="20"/>
                <w:szCs w:val="20"/>
              </w:rPr>
              <w:t xml:space="preserve"> (0·40)</w:t>
            </w:r>
          </w:p>
          <w:p w14:paraId="74ACD08C"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256AC">
              <w:rPr>
                <w:rFonts w:ascii="Calibri" w:hAnsi="Calibri"/>
                <w:sz w:val="20"/>
                <w:szCs w:val="20"/>
              </w:rPr>
              <w:t>n=39</w:t>
            </w:r>
          </w:p>
        </w:tc>
        <w:tc>
          <w:tcPr>
            <w:tcW w:w="1034" w:type="dxa"/>
          </w:tcPr>
          <w:p w14:paraId="24C98E5C"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256AC">
              <w:rPr>
                <w:rFonts w:ascii="Calibri" w:hAnsi="Calibri"/>
                <w:sz w:val="20"/>
                <w:szCs w:val="20"/>
              </w:rPr>
              <w:t>0·04 (0·18)</w:t>
            </w:r>
          </w:p>
          <w:p w14:paraId="636730DE"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256AC">
              <w:rPr>
                <w:rFonts w:ascii="Calibri" w:hAnsi="Calibri"/>
                <w:sz w:val="20"/>
                <w:szCs w:val="20"/>
              </w:rPr>
              <w:t>n=42</w:t>
            </w:r>
          </w:p>
        </w:tc>
        <w:tc>
          <w:tcPr>
            <w:tcW w:w="1565" w:type="dxa"/>
          </w:tcPr>
          <w:p w14:paraId="08CA9F80"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0"/>
              </w:rPr>
            </w:pPr>
            <w:r w:rsidRPr="001256AC">
              <w:rPr>
                <w:rFonts w:ascii="Calibri" w:hAnsi="Calibri"/>
                <w:sz w:val="20"/>
                <w:szCs w:val="20"/>
              </w:rPr>
              <w:t>0·02</w:t>
            </w:r>
          </w:p>
          <w:p w14:paraId="6055A5B9"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256AC">
              <w:rPr>
                <w:rFonts w:ascii="Calibri" w:hAnsi="Calibri"/>
                <w:sz w:val="20"/>
                <w:szCs w:val="20"/>
              </w:rPr>
              <w:t>(-0·11, 0·16)</w:t>
            </w:r>
          </w:p>
          <w:p w14:paraId="50C39B33"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059" w:type="dxa"/>
          </w:tcPr>
          <w:p w14:paraId="7B25CA11"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256AC">
              <w:rPr>
                <w:rFonts w:asciiTheme="majorHAnsi" w:hAnsiTheme="majorHAnsi"/>
                <w:sz w:val="20"/>
                <w:szCs w:val="20"/>
              </w:rPr>
              <w:t>0·728</w:t>
            </w:r>
          </w:p>
        </w:tc>
      </w:tr>
      <w:tr w:rsidR="001C1B9F" w:rsidRPr="00903E82" w14:paraId="199419B2" w14:textId="77777777" w:rsidTr="00125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Pr>
          <w:p w14:paraId="0A28FEA5"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0"/>
                <w:szCs w:val="20"/>
              </w:rPr>
            </w:pPr>
            <w:r w:rsidRPr="001256AC">
              <w:rPr>
                <w:rFonts w:ascii="Calibri" w:hAnsi="Calibri"/>
                <w:sz w:val="20"/>
                <w:szCs w:val="20"/>
              </w:rPr>
              <w:t>1·25% low contrast letter score</w:t>
            </w:r>
          </w:p>
        </w:tc>
        <w:tc>
          <w:tcPr>
            <w:tcW w:w="2193" w:type="dxa"/>
          </w:tcPr>
          <w:p w14:paraId="61BDA554"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0"/>
                <w:szCs w:val="20"/>
              </w:rPr>
            </w:pPr>
            <w:r w:rsidRPr="001256AC">
              <w:rPr>
                <w:rFonts w:ascii="Calibri" w:hAnsi="Calibri"/>
                <w:sz w:val="20"/>
                <w:szCs w:val="20"/>
              </w:rPr>
              <w:t>0·07 (0·46)</w:t>
            </w:r>
          </w:p>
          <w:p w14:paraId="437C79DB"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0"/>
                <w:szCs w:val="20"/>
              </w:rPr>
            </w:pPr>
            <w:r w:rsidRPr="001256AC">
              <w:rPr>
                <w:rFonts w:ascii="Calibri" w:hAnsi="Calibri"/>
                <w:sz w:val="20"/>
                <w:szCs w:val="20"/>
              </w:rPr>
              <w:t>n=42</w:t>
            </w:r>
          </w:p>
        </w:tc>
        <w:tc>
          <w:tcPr>
            <w:tcW w:w="2240" w:type="dxa"/>
          </w:tcPr>
          <w:p w14:paraId="195BA772"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0"/>
                <w:szCs w:val="20"/>
              </w:rPr>
            </w:pPr>
            <w:r w:rsidRPr="001256AC">
              <w:rPr>
                <w:rFonts w:ascii="Calibri" w:hAnsi="Calibri"/>
                <w:sz w:val="20"/>
                <w:szCs w:val="20"/>
              </w:rPr>
              <w:t>0·45 (3·02)</w:t>
            </w:r>
          </w:p>
          <w:p w14:paraId="6C336E91"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0"/>
                <w:szCs w:val="20"/>
              </w:rPr>
            </w:pPr>
            <w:r w:rsidRPr="001256AC">
              <w:rPr>
                <w:rFonts w:ascii="Calibri" w:hAnsi="Calibri"/>
                <w:sz w:val="20"/>
                <w:szCs w:val="20"/>
              </w:rPr>
              <w:t>n=44</w:t>
            </w:r>
          </w:p>
        </w:tc>
        <w:tc>
          <w:tcPr>
            <w:tcW w:w="1552" w:type="dxa"/>
          </w:tcPr>
          <w:p w14:paraId="0C25ACB0"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256AC">
              <w:rPr>
                <w:rFonts w:ascii="Calibri" w:hAnsi="Calibri"/>
                <w:sz w:val="20"/>
                <w:szCs w:val="20"/>
              </w:rPr>
              <w:t>13·38 (12·14)</w:t>
            </w:r>
          </w:p>
          <w:p w14:paraId="1C5E80BB"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256AC">
              <w:rPr>
                <w:rFonts w:ascii="Calibri" w:hAnsi="Calibri"/>
                <w:sz w:val="20"/>
                <w:szCs w:val="20"/>
              </w:rPr>
              <w:t>n=39</w:t>
            </w:r>
          </w:p>
        </w:tc>
        <w:tc>
          <w:tcPr>
            <w:tcW w:w="1034" w:type="dxa"/>
          </w:tcPr>
          <w:p w14:paraId="707D4086"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256AC">
              <w:rPr>
                <w:rFonts w:ascii="Calibri" w:hAnsi="Calibri"/>
                <w:sz w:val="20"/>
                <w:szCs w:val="20"/>
              </w:rPr>
              <w:t>12·33 (12·13)</w:t>
            </w:r>
          </w:p>
          <w:p w14:paraId="10215689"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256AC">
              <w:rPr>
                <w:rFonts w:ascii="Calibri" w:hAnsi="Calibri"/>
                <w:sz w:val="20"/>
                <w:szCs w:val="20"/>
              </w:rPr>
              <w:t>n=42</w:t>
            </w:r>
          </w:p>
        </w:tc>
        <w:tc>
          <w:tcPr>
            <w:tcW w:w="1565" w:type="dxa"/>
          </w:tcPr>
          <w:p w14:paraId="6A017100"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0"/>
                <w:szCs w:val="20"/>
              </w:rPr>
            </w:pPr>
            <w:r w:rsidRPr="001256AC">
              <w:rPr>
                <w:rFonts w:ascii="Calibri" w:hAnsi="Calibri"/>
                <w:sz w:val="20"/>
                <w:szCs w:val="20"/>
              </w:rPr>
              <w:t>1·19</w:t>
            </w:r>
          </w:p>
          <w:p w14:paraId="545905C9"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256AC">
              <w:rPr>
                <w:rFonts w:ascii="Calibri" w:hAnsi="Calibri"/>
                <w:sz w:val="20"/>
                <w:szCs w:val="20"/>
              </w:rPr>
              <w:t>(-4·16, 6·53)</w:t>
            </w:r>
          </w:p>
          <w:p w14:paraId="763FC25D"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059" w:type="dxa"/>
          </w:tcPr>
          <w:p w14:paraId="07105B88"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256AC">
              <w:rPr>
                <w:rFonts w:asciiTheme="majorHAnsi" w:hAnsiTheme="majorHAnsi"/>
                <w:sz w:val="20"/>
                <w:szCs w:val="20"/>
              </w:rPr>
              <w:t>0·660</w:t>
            </w:r>
          </w:p>
        </w:tc>
      </w:tr>
      <w:tr w:rsidR="001C1B9F" w:rsidRPr="00903E82" w14:paraId="5B51686B" w14:textId="77777777" w:rsidTr="001256AC">
        <w:tc>
          <w:tcPr>
            <w:cnfStyle w:val="001000000000" w:firstRow="0" w:lastRow="0" w:firstColumn="1" w:lastColumn="0" w:oddVBand="0" w:evenVBand="0" w:oddHBand="0" w:evenHBand="0" w:firstRowFirstColumn="0" w:firstRowLastColumn="0" w:lastRowFirstColumn="0" w:lastRowLastColumn="0"/>
            <w:tcW w:w="1556" w:type="dxa"/>
          </w:tcPr>
          <w:p w14:paraId="61AA785C"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0"/>
                <w:szCs w:val="20"/>
              </w:rPr>
            </w:pPr>
            <w:r w:rsidRPr="001256AC">
              <w:rPr>
                <w:rFonts w:ascii="Calibri" w:hAnsi="Calibri"/>
                <w:sz w:val="20"/>
                <w:szCs w:val="20"/>
              </w:rPr>
              <w:t xml:space="preserve">2·5% low contrast letter score </w:t>
            </w:r>
          </w:p>
        </w:tc>
        <w:tc>
          <w:tcPr>
            <w:tcW w:w="2193" w:type="dxa"/>
          </w:tcPr>
          <w:p w14:paraId="63D85230"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0"/>
              </w:rPr>
            </w:pPr>
            <w:r w:rsidRPr="001256AC">
              <w:rPr>
                <w:rFonts w:ascii="Calibri" w:hAnsi="Calibri"/>
                <w:sz w:val="20"/>
                <w:szCs w:val="20"/>
              </w:rPr>
              <w:t>0·21 (1·24)</w:t>
            </w:r>
          </w:p>
          <w:p w14:paraId="7CD5E36F"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0"/>
              </w:rPr>
            </w:pPr>
            <w:r w:rsidRPr="001256AC">
              <w:rPr>
                <w:rFonts w:ascii="Calibri" w:hAnsi="Calibri"/>
                <w:sz w:val="20"/>
                <w:szCs w:val="20"/>
              </w:rPr>
              <w:t>n=42</w:t>
            </w:r>
          </w:p>
        </w:tc>
        <w:tc>
          <w:tcPr>
            <w:tcW w:w="2240" w:type="dxa"/>
          </w:tcPr>
          <w:p w14:paraId="34831E06"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0"/>
              </w:rPr>
            </w:pPr>
            <w:r w:rsidRPr="001256AC">
              <w:rPr>
                <w:rFonts w:ascii="Calibri" w:hAnsi="Calibri"/>
                <w:sz w:val="20"/>
                <w:szCs w:val="20"/>
              </w:rPr>
              <w:t>0·77 (3·83)</w:t>
            </w:r>
          </w:p>
          <w:p w14:paraId="25239A08"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0"/>
              </w:rPr>
            </w:pPr>
            <w:r w:rsidRPr="001256AC">
              <w:rPr>
                <w:rFonts w:ascii="Calibri" w:hAnsi="Calibri"/>
                <w:sz w:val="20"/>
                <w:szCs w:val="20"/>
              </w:rPr>
              <w:t>n=44</w:t>
            </w:r>
          </w:p>
        </w:tc>
        <w:tc>
          <w:tcPr>
            <w:tcW w:w="1552" w:type="dxa"/>
          </w:tcPr>
          <w:p w14:paraId="61D8F42E"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256AC">
              <w:rPr>
                <w:rFonts w:ascii="Calibri" w:hAnsi="Calibri"/>
                <w:sz w:val="20"/>
                <w:szCs w:val="20"/>
              </w:rPr>
              <w:t>19·69 (13·80)</w:t>
            </w:r>
          </w:p>
          <w:p w14:paraId="5B1C694B"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256AC">
              <w:rPr>
                <w:rFonts w:ascii="Calibri" w:hAnsi="Calibri"/>
                <w:sz w:val="20"/>
                <w:szCs w:val="20"/>
              </w:rPr>
              <w:t>n=39</w:t>
            </w:r>
          </w:p>
        </w:tc>
        <w:tc>
          <w:tcPr>
            <w:tcW w:w="1034" w:type="dxa"/>
          </w:tcPr>
          <w:p w14:paraId="6C004141"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256AC">
              <w:rPr>
                <w:rFonts w:ascii="Calibri" w:hAnsi="Calibri"/>
                <w:sz w:val="20"/>
                <w:szCs w:val="20"/>
              </w:rPr>
              <w:t>17·55 (14·19)</w:t>
            </w:r>
          </w:p>
          <w:p w14:paraId="60D440BD"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256AC">
              <w:rPr>
                <w:rFonts w:ascii="Calibri" w:hAnsi="Calibri"/>
                <w:sz w:val="20"/>
                <w:szCs w:val="20"/>
              </w:rPr>
              <w:t>n=42</w:t>
            </w:r>
          </w:p>
        </w:tc>
        <w:tc>
          <w:tcPr>
            <w:tcW w:w="1565" w:type="dxa"/>
          </w:tcPr>
          <w:p w14:paraId="49C482AD"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0"/>
              </w:rPr>
            </w:pPr>
            <w:r w:rsidRPr="001256AC">
              <w:rPr>
                <w:rFonts w:ascii="Calibri" w:hAnsi="Calibri"/>
                <w:sz w:val="20"/>
                <w:szCs w:val="20"/>
              </w:rPr>
              <w:t>2·07</w:t>
            </w:r>
          </w:p>
          <w:p w14:paraId="12D615E5"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256AC">
              <w:rPr>
                <w:rFonts w:ascii="Calibri" w:hAnsi="Calibri"/>
                <w:sz w:val="20"/>
                <w:szCs w:val="20"/>
              </w:rPr>
              <w:t>(-4·10, 8·25)</w:t>
            </w:r>
          </w:p>
          <w:p w14:paraId="3A12AD03"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059" w:type="dxa"/>
          </w:tcPr>
          <w:p w14:paraId="7984161E"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256AC">
              <w:rPr>
                <w:rFonts w:asciiTheme="majorHAnsi" w:hAnsiTheme="majorHAnsi"/>
                <w:sz w:val="20"/>
                <w:szCs w:val="20"/>
              </w:rPr>
              <w:t>0·506</w:t>
            </w:r>
          </w:p>
        </w:tc>
      </w:tr>
      <w:tr w:rsidR="001C1B9F" w:rsidRPr="00903E82" w14:paraId="491A93C8" w14:textId="77777777" w:rsidTr="00125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Pr>
          <w:p w14:paraId="5D1FC3E2"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0"/>
                <w:szCs w:val="20"/>
              </w:rPr>
            </w:pPr>
            <w:r w:rsidRPr="001256AC">
              <w:rPr>
                <w:rFonts w:ascii="Calibri" w:hAnsi="Calibri"/>
                <w:sz w:val="20"/>
                <w:szCs w:val="20"/>
              </w:rPr>
              <w:t>FM 100-Hue total error score</w:t>
            </w:r>
          </w:p>
        </w:tc>
        <w:tc>
          <w:tcPr>
            <w:tcW w:w="2193" w:type="dxa"/>
          </w:tcPr>
          <w:p w14:paraId="26AAAE56"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0"/>
                <w:szCs w:val="20"/>
              </w:rPr>
            </w:pPr>
            <w:r w:rsidRPr="001256AC">
              <w:rPr>
                <w:rFonts w:ascii="Calibri" w:hAnsi="Calibri"/>
                <w:sz w:val="20"/>
                <w:szCs w:val="20"/>
              </w:rPr>
              <w:t>1066 (764·6)</w:t>
            </w:r>
          </w:p>
          <w:p w14:paraId="7CEEEF08"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0"/>
                <w:szCs w:val="20"/>
              </w:rPr>
            </w:pPr>
            <w:r w:rsidRPr="001256AC">
              <w:rPr>
                <w:rFonts w:ascii="Calibri" w:hAnsi="Calibri"/>
                <w:sz w:val="20"/>
                <w:szCs w:val="20"/>
              </w:rPr>
              <w:t>n=42</w:t>
            </w:r>
          </w:p>
        </w:tc>
        <w:tc>
          <w:tcPr>
            <w:tcW w:w="2240" w:type="dxa"/>
          </w:tcPr>
          <w:p w14:paraId="75550548"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0"/>
                <w:szCs w:val="20"/>
              </w:rPr>
            </w:pPr>
            <w:r w:rsidRPr="001256AC">
              <w:rPr>
                <w:rFonts w:ascii="Calibri" w:hAnsi="Calibri"/>
                <w:sz w:val="20"/>
                <w:szCs w:val="20"/>
              </w:rPr>
              <w:t>1139 (775·5)</w:t>
            </w:r>
          </w:p>
          <w:p w14:paraId="59B89344"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0"/>
                <w:szCs w:val="20"/>
              </w:rPr>
            </w:pPr>
            <w:r w:rsidRPr="001256AC">
              <w:rPr>
                <w:rFonts w:ascii="Calibri" w:hAnsi="Calibri"/>
                <w:sz w:val="20"/>
                <w:szCs w:val="20"/>
              </w:rPr>
              <w:t>n=43</w:t>
            </w:r>
          </w:p>
        </w:tc>
        <w:tc>
          <w:tcPr>
            <w:tcW w:w="1552" w:type="dxa"/>
          </w:tcPr>
          <w:p w14:paraId="18F67823"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256AC">
              <w:rPr>
                <w:rFonts w:ascii="Calibri" w:hAnsi="Calibri"/>
                <w:sz w:val="20"/>
                <w:szCs w:val="20"/>
              </w:rPr>
              <w:t>181·28 (223·79)</w:t>
            </w:r>
          </w:p>
          <w:p w14:paraId="426BA7CA"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256AC">
              <w:rPr>
                <w:rFonts w:ascii="Calibri" w:hAnsi="Calibri"/>
                <w:sz w:val="20"/>
                <w:szCs w:val="20"/>
              </w:rPr>
              <w:t>n=39</w:t>
            </w:r>
          </w:p>
        </w:tc>
        <w:tc>
          <w:tcPr>
            <w:tcW w:w="1034" w:type="dxa"/>
          </w:tcPr>
          <w:p w14:paraId="3710B864"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256AC">
              <w:rPr>
                <w:rFonts w:ascii="Calibri" w:hAnsi="Calibri"/>
                <w:sz w:val="20"/>
                <w:szCs w:val="20"/>
              </w:rPr>
              <w:t>195·24 (212·61)</w:t>
            </w:r>
          </w:p>
          <w:p w14:paraId="177E9D29"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256AC">
              <w:rPr>
                <w:rFonts w:ascii="Calibri" w:hAnsi="Calibri"/>
                <w:sz w:val="20"/>
                <w:szCs w:val="20"/>
              </w:rPr>
              <w:t>n=42</w:t>
            </w:r>
          </w:p>
        </w:tc>
        <w:tc>
          <w:tcPr>
            <w:tcW w:w="1565" w:type="dxa"/>
          </w:tcPr>
          <w:p w14:paraId="6F5FF6A6"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256AC">
              <w:rPr>
                <w:rFonts w:ascii="Calibri" w:hAnsi="Calibri"/>
                <w:sz w:val="20"/>
                <w:szCs w:val="20"/>
              </w:rPr>
              <w:t>-18·46</w:t>
            </w:r>
          </w:p>
          <w:p w14:paraId="4F862674"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256AC">
              <w:rPr>
                <w:rFonts w:ascii="Calibri" w:hAnsi="Calibri"/>
                <w:sz w:val="20"/>
                <w:szCs w:val="20"/>
              </w:rPr>
              <w:t>(-116·44,79·51)</w:t>
            </w:r>
          </w:p>
        </w:tc>
        <w:tc>
          <w:tcPr>
            <w:tcW w:w="1059" w:type="dxa"/>
          </w:tcPr>
          <w:p w14:paraId="687E1C8F"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256AC">
              <w:rPr>
                <w:rFonts w:asciiTheme="majorHAnsi" w:hAnsiTheme="majorHAnsi"/>
                <w:sz w:val="20"/>
                <w:szCs w:val="20"/>
              </w:rPr>
              <w:t>0·708</w:t>
            </w:r>
          </w:p>
        </w:tc>
      </w:tr>
      <w:tr w:rsidR="001C1B9F" w:rsidRPr="00903E82" w14:paraId="7E329EB7" w14:textId="77777777" w:rsidTr="001256AC">
        <w:tc>
          <w:tcPr>
            <w:cnfStyle w:val="001000000000" w:firstRow="0" w:lastRow="0" w:firstColumn="1" w:lastColumn="0" w:oddVBand="0" w:evenVBand="0" w:oddHBand="0" w:evenHBand="0" w:firstRowFirstColumn="0" w:firstRowLastColumn="0" w:lastRowFirstColumn="0" w:lastRowLastColumn="0"/>
            <w:tcW w:w="1556" w:type="dxa"/>
          </w:tcPr>
          <w:p w14:paraId="1BA446D6"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0"/>
                <w:szCs w:val="20"/>
              </w:rPr>
            </w:pPr>
            <w:r w:rsidRPr="001256AC">
              <w:rPr>
                <w:rFonts w:ascii="Calibri" w:hAnsi="Calibri"/>
                <w:sz w:val="20"/>
                <w:szCs w:val="20"/>
              </w:rPr>
              <w:t xml:space="preserve"> VEP latency (</w:t>
            </w:r>
            <w:proofErr w:type="spellStart"/>
            <w:r w:rsidRPr="001256AC">
              <w:rPr>
                <w:rFonts w:ascii="Calibri" w:hAnsi="Calibri"/>
                <w:sz w:val="20"/>
                <w:szCs w:val="20"/>
              </w:rPr>
              <w:t>ms</w:t>
            </w:r>
            <w:proofErr w:type="spellEnd"/>
            <w:r w:rsidRPr="001256AC">
              <w:rPr>
                <w:rFonts w:ascii="Calibri" w:hAnsi="Calibri"/>
                <w:sz w:val="20"/>
                <w:szCs w:val="20"/>
              </w:rPr>
              <w:t>)</w:t>
            </w:r>
            <w:r w:rsidRPr="001256AC">
              <w:rPr>
                <w:rFonts w:ascii="Calibri" w:hAnsi="Calibri"/>
                <w:sz w:val="20"/>
                <w:szCs w:val="20"/>
                <w:vertAlign w:val="superscript"/>
              </w:rPr>
              <w:t>a</w:t>
            </w:r>
          </w:p>
        </w:tc>
        <w:tc>
          <w:tcPr>
            <w:tcW w:w="2193" w:type="dxa"/>
          </w:tcPr>
          <w:p w14:paraId="083E37CB"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0"/>
              </w:rPr>
            </w:pPr>
            <w:r w:rsidRPr="001256AC">
              <w:rPr>
                <w:rFonts w:ascii="Calibri" w:hAnsi="Calibri"/>
                <w:sz w:val="20"/>
                <w:szCs w:val="20"/>
              </w:rPr>
              <w:t>167·9 (35·2)</w:t>
            </w:r>
          </w:p>
          <w:p w14:paraId="55EF1520"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0"/>
              </w:rPr>
            </w:pPr>
            <w:r w:rsidRPr="001256AC">
              <w:rPr>
                <w:rFonts w:ascii="Calibri" w:hAnsi="Calibri"/>
                <w:sz w:val="20"/>
                <w:szCs w:val="20"/>
              </w:rPr>
              <w:t>n=39</w:t>
            </w:r>
          </w:p>
        </w:tc>
        <w:tc>
          <w:tcPr>
            <w:tcW w:w="2240" w:type="dxa"/>
          </w:tcPr>
          <w:p w14:paraId="500A572C"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0"/>
              </w:rPr>
            </w:pPr>
            <w:r w:rsidRPr="001256AC">
              <w:rPr>
                <w:rFonts w:ascii="Calibri" w:hAnsi="Calibri"/>
                <w:sz w:val="20"/>
                <w:szCs w:val="20"/>
              </w:rPr>
              <w:t>167·6 (35·8)</w:t>
            </w:r>
          </w:p>
          <w:p w14:paraId="37BF1810"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0"/>
              </w:rPr>
            </w:pPr>
            <w:r w:rsidRPr="001256AC">
              <w:rPr>
                <w:rFonts w:ascii="Calibri" w:hAnsi="Calibri"/>
                <w:sz w:val="20"/>
                <w:szCs w:val="20"/>
              </w:rPr>
              <w:t>n=43</w:t>
            </w:r>
          </w:p>
        </w:tc>
        <w:tc>
          <w:tcPr>
            <w:tcW w:w="1552" w:type="dxa"/>
          </w:tcPr>
          <w:p w14:paraId="390AF8ED"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256AC">
              <w:rPr>
                <w:rFonts w:ascii="Calibri" w:hAnsi="Calibri"/>
                <w:sz w:val="20"/>
                <w:szCs w:val="20"/>
              </w:rPr>
              <w:t>133·0 (24·8)</w:t>
            </w:r>
          </w:p>
          <w:p w14:paraId="74FC7123"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256AC">
              <w:rPr>
                <w:rFonts w:ascii="Calibri" w:hAnsi="Calibri"/>
                <w:sz w:val="20"/>
                <w:szCs w:val="20"/>
              </w:rPr>
              <w:t>n=35</w:t>
            </w:r>
          </w:p>
        </w:tc>
        <w:tc>
          <w:tcPr>
            <w:tcW w:w="1034" w:type="dxa"/>
          </w:tcPr>
          <w:p w14:paraId="138D5224"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256AC">
              <w:rPr>
                <w:rFonts w:ascii="Calibri" w:hAnsi="Calibri"/>
                <w:sz w:val="20"/>
                <w:szCs w:val="20"/>
              </w:rPr>
              <w:t>127·4 (19·3)</w:t>
            </w:r>
          </w:p>
          <w:p w14:paraId="2F94DD76"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256AC">
              <w:rPr>
                <w:rFonts w:ascii="Calibri" w:hAnsi="Calibri"/>
                <w:sz w:val="20"/>
                <w:szCs w:val="20"/>
              </w:rPr>
              <w:t>n=40</w:t>
            </w:r>
          </w:p>
        </w:tc>
        <w:tc>
          <w:tcPr>
            <w:tcW w:w="1565" w:type="dxa"/>
          </w:tcPr>
          <w:p w14:paraId="7D00BC0C"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0"/>
              </w:rPr>
            </w:pPr>
            <w:r w:rsidRPr="001256AC">
              <w:rPr>
                <w:rFonts w:ascii="Calibri" w:hAnsi="Calibri"/>
                <w:sz w:val="20"/>
                <w:szCs w:val="20"/>
              </w:rPr>
              <w:t>5·71</w:t>
            </w:r>
          </w:p>
          <w:p w14:paraId="203B23CE"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256AC">
              <w:rPr>
                <w:rFonts w:ascii="Calibri" w:hAnsi="Calibri"/>
                <w:sz w:val="20"/>
                <w:szCs w:val="20"/>
              </w:rPr>
              <w:t>(-4·56, 15·99)</w:t>
            </w:r>
          </w:p>
          <w:p w14:paraId="17D94AAA"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059" w:type="dxa"/>
          </w:tcPr>
          <w:p w14:paraId="06121169"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256AC">
              <w:rPr>
                <w:rFonts w:asciiTheme="majorHAnsi" w:hAnsiTheme="majorHAnsi"/>
                <w:sz w:val="20"/>
                <w:szCs w:val="20"/>
              </w:rPr>
              <w:t>0·271</w:t>
            </w:r>
          </w:p>
        </w:tc>
      </w:tr>
      <w:tr w:rsidR="001C1B9F" w:rsidRPr="00903E82" w14:paraId="6B293CB1" w14:textId="77777777" w:rsidTr="00125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Pr>
          <w:p w14:paraId="76FFCDCF"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0"/>
                <w:szCs w:val="20"/>
              </w:rPr>
            </w:pPr>
            <w:r w:rsidRPr="001256AC">
              <w:rPr>
                <w:rFonts w:ascii="Calibri" w:hAnsi="Calibri"/>
                <w:sz w:val="20"/>
                <w:szCs w:val="20"/>
              </w:rPr>
              <w:t>VEP amplitude (</w:t>
            </w:r>
            <w:proofErr w:type="spellStart"/>
            <w:r w:rsidRPr="001256AC">
              <w:rPr>
                <w:rFonts w:ascii="Calibri" w:hAnsi="Calibri"/>
                <w:i/>
                <w:sz w:val="20"/>
                <w:szCs w:val="20"/>
              </w:rPr>
              <w:t>u</w:t>
            </w:r>
            <w:r w:rsidRPr="001256AC">
              <w:rPr>
                <w:rFonts w:ascii="Calibri" w:hAnsi="Calibri"/>
                <w:sz w:val="20"/>
                <w:szCs w:val="20"/>
              </w:rPr>
              <w:t>V</w:t>
            </w:r>
            <w:proofErr w:type="spellEnd"/>
            <w:r w:rsidRPr="001256AC">
              <w:rPr>
                <w:rFonts w:ascii="Calibri" w:hAnsi="Calibri"/>
                <w:sz w:val="20"/>
                <w:szCs w:val="20"/>
              </w:rPr>
              <w:t>)</w:t>
            </w:r>
            <w:r w:rsidRPr="001256AC">
              <w:rPr>
                <w:rFonts w:ascii="Calibri" w:hAnsi="Calibri"/>
                <w:sz w:val="20"/>
                <w:szCs w:val="20"/>
                <w:vertAlign w:val="superscript"/>
              </w:rPr>
              <w:t>a</w:t>
            </w:r>
          </w:p>
        </w:tc>
        <w:tc>
          <w:tcPr>
            <w:tcW w:w="2193" w:type="dxa"/>
          </w:tcPr>
          <w:p w14:paraId="4E877DCD"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0"/>
                <w:szCs w:val="20"/>
              </w:rPr>
            </w:pPr>
            <w:r w:rsidRPr="001256AC">
              <w:rPr>
                <w:rFonts w:ascii="Calibri" w:hAnsi="Calibri"/>
                <w:sz w:val="20"/>
                <w:szCs w:val="20"/>
              </w:rPr>
              <w:t xml:space="preserve">2·7 </w:t>
            </w:r>
          </w:p>
          <w:p w14:paraId="3EF20833"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0"/>
                <w:szCs w:val="20"/>
              </w:rPr>
            </w:pPr>
            <w:r w:rsidRPr="001256AC">
              <w:rPr>
                <w:rFonts w:ascii="Calibri" w:hAnsi="Calibri"/>
                <w:sz w:val="20"/>
                <w:szCs w:val="20"/>
              </w:rPr>
              <w:t>(3·8)</w:t>
            </w:r>
          </w:p>
          <w:p w14:paraId="6631677D"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0"/>
                <w:szCs w:val="20"/>
              </w:rPr>
            </w:pPr>
            <w:r w:rsidRPr="001256AC">
              <w:rPr>
                <w:rFonts w:ascii="Calibri" w:hAnsi="Calibri"/>
                <w:sz w:val="20"/>
                <w:szCs w:val="20"/>
              </w:rPr>
              <w:t>n=39</w:t>
            </w:r>
          </w:p>
        </w:tc>
        <w:tc>
          <w:tcPr>
            <w:tcW w:w="2240" w:type="dxa"/>
          </w:tcPr>
          <w:p w14:paraId="105C13E2"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0"/>
                <w:szCs w:val="20"/>
              </w:rPr>
            </w:pPr>
            <w:r w:rsidRPr="001256AC">
              <w:rPr>
                <w:rFonts w:ascii="Calibri" w:hAnsi="Calibri"/>
                <w:sz w:val="20"/>
                <w:szCs w:val="20"/>
              </w:rPr>
              <w:t>3·0 (3·8)</w:t>
            </w:r>
          </w:p>
          <w:p w14:paraId="3773870A"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0"/>
                <w:szCs w:val="20"/>
              </w:rPr>
            </w:pPr>
            <w:r w:rsidRPr="001256AC">
              <w:rPr>
                <w:rFonts w:ascii="Calibri" w:hAnsi="Calibri"/>
                <w:sz w:val="20"/>
                <w:szCs w:val="20"/>
              </w:rPr>
              <w:t>n=43</w:t>
            </w:r>
          </w:p>
        </w:tc>
        <w:tc>
          <w:tcPr>
            <w:tcW w:w="1552" w:type="dxa"/>
          </w:tcPr>
          <w:p w14:paraId="66105E7A"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256AC">
              <w:rPr>
                <w:rFonts w:ascii="Calibri" w:hAnsi="Calibri"/>
                <w:sz w:val="20"/>
                <w:szCs w:val="20"/>
              </w:rPr>
              <w:t>7·1(4·6)</w:t>
            </w:r>
          </w:p>
          <w:p w14:paraId="1D0551FA"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256AC">
              <w:rPr>
                <w:rFonts w:ascii="Calibri" w:hAnsi="Calibri"/>
                <w:sz w:val="20"/>
                <w:szCs w:val="20"/>
              </w:rPr>
              <w:t>n=35</w:t>
            </w:r>
          </w:p>
        </w:tc>
        <w:tc>
          <w:tcPr>
            <w:tcW w:w="1034" w:type="dxa"/>
          </w:tcPr>
          <w:p w14:paraId="7026AD9F"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256AC">
              <w:rPr>
                <w:rFonts w:ascii="Calibri" w:hAnsi="Calibri"/>
                <w:sz w:val="20"/>
                <w:szCs w:val="20"/>
              </w:rPr>
              <w:t>7·3 (4·6)</w:t>
            </w:r>
          </w:p>
          <w:p w14:paraId="16DFA9BF"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256AC">
              <w:rPr>
                <w:rFonts w:ascii="Calibri" w:hAnsi="Calibri"/>
                <w:sz w:val="20"/>
                <w:szCs w:val="20"/>
              </w:rPr>
              <w:t>n=40</w:t>
            </w:r>
          </w:p>
        </w:tc>
        <w:tc>
          <w:tcPr>
            <w:tcW w:w="1565" w:type="dxa"/>
          </w:tcPr>
          <w:p w14:paraId="1D7FB6F7"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0"/>
                <w:szCs w:val="20"/>
              </w:rPr>
            </w:pPr>
            <w:r w:rsidRPr="001256AC">
              <w:rPr>
                <w:rFonts w:ascii="Calibri" w:hAnsi="Calibri"/>
                <w:sz w:val="20"/>
                <w:szCs w:val="20"/>
              </w:rPr>
              <w:t>-0·18</w:t>
            </w:r>
          </w:p>
          <w:p w14:paraId="479AEC82"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256AC">
              <w:rPr>
                <w:rFonts w:ascii="Calibri" w:hAnsi="Calibri"/>
                <w:sz w:val="20"/>
                <w:szCs w:val="20"/>
              </w:rPr>
              <w:t>(-1·83, 1·46)</w:t>
            </w:r>
          </w:p>
          <w:p w14:paraId="1D701BB5"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059" w:type="dxa"/>
          </w:tcPr>
          <w:p w14:paraId="70E3B87B"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256AC">
              <w:rPr>
                <w:rFonts w:asciiTheme="majorHAnsi" w:hAnsiTheme="majorHAnsi"/>
                <w:sz w:val="20"/>
                <w:szCs w:val="20"/>
              </w:rPr>
              <w:t xml:space="preserve">0·827 </w:t>
            </w:r>
          </w:p>
        </w:tc>
      </w:tr>
      <w:tr w:rsidR="001C1B9F" w:rsidRPr="00903E82" w14:paraId="2D79F4F7" w14:textId="77777777" w:rsidTr="001256AC">
        <w:tc>
          <w:tcPr>
            <w:cnfStyle w:val="001000000000" w:firstRow="0" w:lastRow="0" w:firstColumn="1" w:lastColumn="0" w:oddVBand="0" w:evenVBand="0" w:oddHBand="0" w:evenHBand="0" w:firstRowFirstColumn="0" w:firstRowLastColumn="0" w:lastRowFirstColumn="0" w:lastRowLastColumn="0"/>
            <w:tcW w:w="1556" w:type="dxa"/>
          </w:tcPr>
          <w:p w14:paraId="280A55CD"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0"/>
                <w:szCs w:val="20"/>
              </w:rPr>
            </w:pPr>
            <w:r w:rsidRPr="001256AC">
              <w:rPr>
                <w:rFonts w:ascii="Calibri" w:hAnsi="Calibri"/>
                <w:sz w:val="20"/>
                <w:szCs w:val="20"/>
              </w:rPr>
              <w:t>Lesion length (mm)</w:t>
            </w:r>
          </w:p>
        </w:tc>
        <w:tc>
          <w:tcPr>
            <w:tcW w:w="2193" w:type="dxa"/>
          </w:tcPr>
          <w:p w14:paraId="2F8A6AEC"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0"/>
              </w:rPr>
            </w:pPr>
            <w:r w:rsidRPr="001256AC">
              <w:rPr>
                <w:rFonts w:ascii="Calibri" w:hAnsi="Calibri"/>
                <w:sz w:val="20"/>
                <w:szCs w:val="20"/>
              </w:rPr>
              <w:t>17·2</w:t>
            </w:r>
          </w:p>
          <w:p w14:paraId="6C34A437"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0"/>
              </w:rPr>
            </w:pPr>
            <w:r w:rsidRPr="001256AC">
              <w:rPr>
                <w:rFonts w:ascii="Calibri" w:hAnsi="Calibri"/>
                <w:sz w:val="20"/>
                <w:szCs w:val="20"/>
              </w:rPr>
              <w:t xml:space="preserve"> (8·1)</w:t>
            </w:r>
          </w:p>
          <w:p w14:paraId="3A8CD2EF"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0"/>
              </w:rPr>
            </w:pPr>
            <w:r w:rsidRPr="001256AC">
              <w:rPr>
                <w:rFonts w:ascii="Calibri" w:hAnsi="Calibri"/>
                <w:sz w:val="20"/>
                <w:szCs w:val="20"/>
              </w:rPr>
              <w:t>n=39</w:t>
            </w:r>
          </w:p>
        </w:tc>
        <w:tc>
          <w:tcPr>
            <w:tcW w:w="2240" w:type="dxa"/>
          </w:tcPr>
          <w:p w14:paraId="4784E587"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0"/>
              </w:rPr>
            </w:pPr>
            <w:r w:rsidRPr="001256AC">
              <w:rPr>
                <w:rFonts w:ascii="Calibri" w:hAnsi="Calibri"/>
                <w:sz w:val="20"/>
                <w:szCs w:val="20"/>
              </w:rPr>
              <w:t>18·0 (7·1)</w:t>
            </w:r>
          </w:p>
          <w:p w14:paraId="5066498E"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0"/>
              </w:rPr>
            </w:pPr>
            <w:r w:rsidRPr="001256AC">
              <w:rPr>
                <w:rFonts w:ascii="Calibri" w:hAnsi="Calibri"/>
                <w:sz w:val="20"/>
                <w:szCs w:val="20"/>
              </w:rPr>
              <w:t>n=42</w:t>
            </w:r>
          </w:p>
        </w:tc>
        <w:tc>
          <w:tcPr>
            <w:tcW w:w="1552" w:type="dxa"/>
          </w:tcPr>
          <w:p w14:paraId="7F209A6F"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256AC">
              <w:rPr>
                <w:rFonts w:ascii="Calibri" w:hAnsi="Calibri"/>
                <w:sz w:val="20"/>
                <w:szCs w:val="20"/>
              </w:rPr>
              <w:t>15·15 (7·62)</w:t>
            </w:r>
          </w:p>
          <w:p w14:paraId="20D189F7"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256AC">
              <w:rPr>
                <w:rFonts w:ascii="Calibri" w:hAnsi="Calibri"/>
                <w:sz w:val="20"/>
                <w:szCs w:val="20"/>
              </w:rPr>
              <w:t>n=34</w:t>
            </w:r>
          </w:p>
        </w:tc>
        <w:tc>
          <w:tcPr>
            <w:tcW w:w="1034" w:type="dxa"/>
          </w:tcPr>
          <w:p w14:paraId="21A6831A"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256AC">
              <w:rPr>
                <w:rFonts w:ascii="Calibri" w:hAnsi="Calibri"/>
                <w:sz w:val="20"/>
                <w:szCs w:val="20"/>
              </w:rPr>
              <w:t>17·17 (10·11)</w:t>
            </w:r>
          </w:p>
          <w:p w14:paraId="0C004308"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256AC">
              <w:rPr>
                <w:rFonts w:ascii="Calibri" w:hAnsi="Calibri"/>
                <w:sz w:val="20"/>
                <w:szCs w:val="20"/>
              </w:rPr>
              <w:t>n=36</w:t>
            </w:r>
          </w:p>
        </w:tc>
        <w:tc>
          <w:tcPr>
            <w:tcW w:w="1565" w:type="dxa"/>
          </w:tcPr>
          <w:p w14:paraId="0118416F"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256AC">
              <w:rPr>
                <w:rFonts w:ascii="Calibri" w:hAnsi="Calibri"/>
                <w:sz w:val="20"/>
                <w:szCs w:val="20"/>
              </w:rPr>
              <w:t>-2·45</w:t>
            </w:r>
          </w:p>
          <w:p w14:paraId="1A92E34B"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256AC">
              <w:rPr>
                <w:rFonts w:ascii="Calibri" w:hAnsi="Calibri"/>
                <w:sz w:val="20"/>
                <w:szCs w:val="20"/>
              </w:rPr>
              <w:t>(-6·97, 2·08)</w:t>
            </w:r>
          </w:p>
        </w:tc>
        <w:tc>
          <w:tcPr>
            <w:tcW w:w="1059" w:type="dxa"/>
          </w:tcPr>
          <w:p w14:paraId="10266EEB"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256AC">
              <w:rPr>
                <w:rFonts w:asciiTheme="majorHAnsi" w:hAnsiTheme="majorHAnsi"/>
                <w:sz w:val="20"/>
                <w:szCs w:val="20"/>
              </w:rPr>
              <w:t>0·285</w:t>
            </w:r>
          </w:p>
        </w:tc>
      </w:tr>
      <w:tr w:rsidR="001C1B9F" w:rsidRPr="00903E82" w14:paraId="4107D132" w14:textId="77777777" w:rsidTr="00125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Pr>
          <w:p w14:paraId="3AB783C8"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0"/>
                <w:szCs w:val="20"/>
              </w:rPr>
            </w:pPr>
            <w:proofErr w:type="spellStart"/>
            <w:r w:rsidRPr="001256AC">
              <w:rPr>
                <w:rFonts w:ascii="Calibri" w:hAnsi="Calibri"/>
                <w:sz w:val="20"/>
                <w:szCs w:val="20"/>
              </w:rPr>
              <w:t>Lesional</w:t>
            </w:r>
            <w:proofErr w:type="spellEnd"/>
            <w:r w:rsidRPr="001256AC">
              <w:rPr>
                <w:rFonts w:ascii="Calibri" w:hAnsi="Calibri"/>
                <w:sz w:val="20"/>
                <w:szCs w:val="20"/>
              </w:rPr>
              <w:t xml:space="preserve"> optic nerve cross-sectional area (mm</w:t>
            </w:r>
            <w:r w:rsidRPr="001256AC">
              <w:rPr>
                <w:rFonts w:ascii="Calibri" w:hAnsi="Calibri"/>
                <w:sz w:val="20"/>
                <w:szCs w:val="20"/>
                <w:vertAlign w:val="superscript"/>
              </w:rPr>
              <w:t>2</w:t>
            </w:r>
            <w:r w:rsidRPr="001256AC">
              <w:rPr>
                <w:rFonts w:ascii="Calibri" w:hAnsi="Calibri"/>
                <w:sz w:val="20"/>
                <w:szCs w:val="20"/>
              </w:rPr>
              <w:t>)</w:t>
            </w:r>
          </w:p>
        </w:tc>
        <w:tc>
          <w:tcPr>
            <w:tcW w:w="2193" w:type="dxa"/>
          </w:tcPr>
          <w:p w14:paraId="2D475BE6"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0"/>
                <w:szCs w:val="20"/>
              </w:rPr>
            </w:pPr>
            <w:r w:rsidRPr="001256AC">
              <w:rPr>
                <w:rFonts w:ascii="Calibri" w:hAnsi="Calibri"/>
                <w:sz w:val="20"/>
                <w:szCs w:val="20"/>
              </w:rPr>
              <w:t>7.60</w:t>
            </w:r>
          </w:p>
          <w:p w14:paraId="259D463F"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0"/>
                <w:szCs w:val="20"/>
              </w:rPr>
            </w:pPr>
            <w:r w:rsidRPr="001256AC">
              <w:rPr>
                <w:rFonts w:ascii="Calibri" w:hAnsi="Calibri"/>
                <w:sz w:val="20"/>
                <w:szCs w:val="20"/>
              </w:rPr>
              <w:t>(1.55)</w:t>
            </w:r>
          </w:p>
          <w:p w14:paraId="1D9CA180"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0"/>
                <w:szCs w:val="20"/>
              </w:rPr>
            </w:pPr>
            <w:r w:rsidRPr="001256AC">
              <w:rPr>
                <w:rFonts w:ascii="Calibri" w:hAnsi="Calibri"/>
                <w:sz w:val="20"/>
                <w:szCs w:val="20"/>
              </w:rPr>
              <w:t>n=34</w:t>
            </w:r>
          </w:p>
        </w:tc>
        <w:tc>
          <w:tcPr>
            <w:tcW w:w="2240" w:type="dxa"/>
          </w:tcPr>
          <w:p w14:paraId="1CEC7156"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0"/>
                <w:szCs w:val="20"/>
              </w:rPr>
            </w:pPr>
            <w:r w:rsidRPr="001256AC">
              <w:rPr>
                <w:rFonts w:ascii="Calibri" w:hAnsi="Calibri"/>
                <w:sz w:val="20"/>
                <w:szCs w:val="20"/>
              </w:rPr>
              <w:t>7.48</w:t>
            </w:r>
          </w:p>
          <w:p w14:paraId="35C4AECF"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0"/>
                <w:szCs w:val="20"/>
              </w:rPr>
            </w:pPr>
            <w:r w:rsidRPr="001256AC">
              <w:rPr>
                <w:rFonts w:ascii="Calibri" w:hAnsi="Calibri"/>
                <w:sz w:val="20"/>
                <w:szCs w:val="20"/>
              </w:rPr>
              <w:t>(1.43)</w:t>
            </w:r>
          </w:p>
          <w:p w14:paraId="55730860"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0"/>
                <w:szCs w:val="20"/>
              </w:rPr>
            </w:pPr>
            <w:r w:rsidRPr="001256AC">
              <w:rPr>
                <w:rFonts w:ascii="Calibri" w:hAnsi="Calibri"/>
                <w:sz w:val="20"/>
                <w:szCs w:val="20"/>
              </w:rPr>
              <w:t>n=39</w:t>
            </w:r>
          </w:p>
        </w:tc>
        <w:tc>
          <w:tcPr>
            <w:tcW w:w="1552" w:type="dxa"/>
          </w:tcPr>
          <w:p w14:paraId="39152829"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0"/>
                <w:szCs w:val="20"/>
              </w:rPr>
            </w:pPr>
            <w:r w:rsidRPr="001256AC">
              <w:rPr>
                <w:rFonts w:ascii="Calibri" w:hAnsi="Calibri"/>
                <w:sz w:val="20"/>
                <w:szCs w:val="20"/>
              </w:rPr>
              <w:t>4·58</w:t>
            </w:r>
          </w:p>
          <w:p w14:paraId="7BB28C33"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256AC">
              <w:rPr>
                <w:rFonts w:ascii="Calibri" w:hAnsi="Calibri"/>
                <w:sz w:val="20"/>
                <w:szCs w:val="20"/>
              </w:rPr>
              <w:t xml:space="preserve"> (0·88)</w:t>
            </w:r>
          </w:p>
          <w:p w14:paraId="0BB98288"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256AC">
              <w:rPr>
                <w:rFonts w:ascii="Calibri" w:hAnsi="Calibri"/>
                <w:sz w:val="20"/>
                <w:szCs w:val="20"/>
              </w:rPr>
              <w:t>n=31</w:t>
            </w:r>
          </w:p>
        </w:tc>
        <w:tc>
          <w:tcPr>
            <w:tcW w:w="1034" w:type="dxa"/>
          </w:tcPr>
          <w:p w14:paraId="66D15493"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256AC">
              <w:rPr>
                <w:rFonts w:ascii="Calibri" w:hAnsi="Calibri"/>
                <w:sz w:val="20"/>
                <w:szCs w:val="20"/>
              </w:rPr>
              <w:t>4·48 (1·01)</w:t>
            </w:r>
          </w:p>
          <w:p w14:paraId="07A67BF3"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256AC">
              <w:rPr>
                <w:rFonts w:ascii="Calibri" w:hAnsi="Calibri"/>
                <w:sz w:val="20"/>
                <w:szCs w:val="20"/>
              </w:rPr>
              <w:t>n=34</w:t>
            </w:r>
          </w:p>
        </w:tc>
        <w:tc>
          <w:tcPr>
            <w:tcW w:w="1565" w:type="dxa"/>
          </w:tcPr>
          <w:p w14:paraId="18EDC603"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256AC">
              <w:rPr>
                <w:rFonts w:ascii="Calibri" w:hAnsi="Calibri"/>
                <w:sz w:val="20"/>
                <w:szCs w:val="20"/>
              </w:rPr>
              <w:t>0·40</w:t>
            </w:r>
          </w:p>
          <w:p w14:paraId="74D2256C"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256AC">
              <w:rPr>
                <w:rFonts w:ascii="Calibri" w:hAnsi="Calibri"/>
                <w:sz w:val="20"/>
                <w:szCs w:val="20"/>
              </w:rPr>
              <w:t>(-0·02-0·83)</w:t>
            </w:r>
          </w:p>
        </w:tc>
        <w:tc>
          <w:tcPr>
            <w:tcW w:w="1059" w:type="dxa"/>
          </w:tcPr>
          <w:p w14:paraId="3CF29340" w14:textId="77777777" w:rsidR="001C1B9F" w:rsidRPr="001256AC" w:rsidRDefault="001C1B9F" w:rsidP="00B56243">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256AC">
              <w:rPr>
                <w:rFonts w:asciiTheme="majorHAnsi" w:hAnsiTheme="majorHAnsi"/>
                <w:sz w:val="20"/>
                <w:szCs w:val="20"/>
              </w:rPr>
              <w:t xml:space="preserve">0·061 </w:t>
            </w:r>
          </w:p>
        </w:tc>
      </w:tr>
    </w:tbl>
    <w:p w14:paraId="4C91CA14" w14:textId="77777777" w:rsidR="00162C01" w:rsidRPr="003318E4" w:rsidRDefault="00162C01" w:rsidP="00412D99">
      <w:pPr>
        <w:rPr>
          <w:rFonts w:ascii="Calibri" w:hAnsi="Calibri"/>
          <w:b/>
        </w:rPr>
      </w:pPr>
    </w:p>
    <w:p w14:paraId="2161B82C" w14:textId="2AA99FD1" w:rsidR="00053471" w:rsidRPr="003318E4" w:rsidRDefault="0088149C" w:rsidP="00412D99">
      <w:pPr>
        <w:rPr>
          <w:rFonts w:ascii="Calibri" w:hAnsi="Calibri"/>
        </w:rPr>
      </w:pPr>
      <w:r w:rsidRPr="003318E4">
        <w:rPr>
          <w:rFonts w:ascii="Calibri" w:hAnsi="Calibri"/>
        </w:rPr>
        <w:t xml:space="preserve">Data are mean (SD) and number of </w:t>
      </w:r>
      <w:r w:rsidR="00C14376">
        <w:rPr>
          <w:rFonts w:ascii="Calibri" w:hAnsi="Calibri"/>
        </w:rPr>
        <w:t>participant</w:t>
      </w:r>
      <w:r w:rsidRPr="003318E4">
        <w:rPr>
          <w:rFonts w:ascii="Calibri" w:hAnsi="Calibri"/>
        </w:rPr>
        <w:t>s</w:t>
      </w:r>
    </w:p>
    <w:p w14:paraId="2AC3179B" w14:textId="6A78783D" w:rsidR="0088149C" w:rsidRPr="003318E4" w:rsidRDefault="0088149C" w:rsidP="00412D99">
      <w:pPr>
        <w:rPr>
          <w:rFonts w:ascii="Calibri" w:hAnsi="Calibri"/>
        </w:rPr>
      </w:pPr>
      <w:r w:rsidRPr="003318E4">
        <w:rPr>
          <w:rFonts w:ascii="Calibri" w:hAnsi="Calibri" w:cs="Lucida Grande"/>
          <w:b/>
          <w:color w:val="000000"/>
        </w:rPr>
        <w:t xml:space="preserve">¶ </w:t>
      </w:r>
      <w:r w:rsidRPr="003318E4">
        <w:rPr>
          <w:rFonts w:ascii="Calibri" w:hAnsi="Calibri"/>
        </w:rPr>
        <w:t>Pre-specified adjustment for b</w:t>
      </w:r>
      <w:r>
        <w:rPr>
          <w:rFonts w:ascii="Calibri" w:hAnsi="Calibri"/>
        </w:rPr>
        <w:t xml:space="preserve">aseline unaffected value, </w:t>
      </w:r>
      <w:proofErr w:type="spellStart"/>
      <w:r w:rsidR="004B50B6">
        <w:rPr>
          <w:rFonts w:ascii="Calibri" w:hAnsi="Calibri"/>
        </w:rPr>
        <w:t>centre</w:t>
      </w:r>
      <w:proofErr w:type="spellEnd"/>
      <w:r w:rsidRPr="003318E4">
        <w:rPr>
          <w:rFonts w:ascii="Calibri" w:hAnsi="Calibri"/>
        </w:rPr>
        <w:t>, days between onset and baseline, days betw</w:t>
      </w:r>
      <w:r>
        <w:rPr>
          <w:rFonts w:ascii="Calibri" w:hAnsi="Calibri"/>
        </w:rPr>
        <w:t xml:space="preserve">een steroid and baseline; </w:t>
      </w:r>
      <w:proofErr w:type="spellStart"/>
      <w:r w:rsidR="004B50B6">
        <w:rPr>
          <w:rFonts w:ascii="Calibri" w:hAnsi="Calibri"/>
        </w:rPr>
        <w:t>centre</w:t>
      </w:r>
      <w:proofErr w:type="spellEnd"/>
      <w:r w:rsidRPr="003318E4">
        <w:rPr>
          <w:rFonts w:ascii="Calibri" w:hAnsi="Calibri"/>
        </w:rPr>
        <w:t xml:space="preserve"> was</w:t>
      </w:r>
      <w:r w:rsidRPr="00C01AAF">
        <w:rPr>
          <w:rFonts w:asciiTheme="majorHAnsi" w:hAnsiTheme="majorHAnsi"/>
        </w:rPr>
        <w:t xml:space="preserve"> dropped for </w:t>
      </w:r>
      <w:r>
        <w:rPr>
          <w:rFonts w:ascii="Calibri" w:hAnsi="Calibri"/>
        </w:rPr>
        <w:t xml:space="preserve">optic nerve area, and </w:t>
      </w:r>
      <w:proofErr w:type="spellStart"/>
      <w:r w:rsidR="004B50B6">
        <w:rPr>
          <w:rFonts w:ascii="Calibri" w:hAnsi="Calibri"/>
        </w:rPr>
        <w:t>centre</w:t>
      </w:r>
      <w:proofErr w:type="spellEnd"/>
      <w:r w:rsidRPr="003318E4">
        <w:rPr>
          <w:rFonts w:ascii="Calibri" w:hAnsi="Calibri"/>
        </w:rPr>
        <w:t xml:space="preserve"> and baseline unaffected value were dropped for lesion length</w:t>
      </w:r>
    </w:p>
    <w:p w14:paraId="6D933A92" w14:textId="4864DEBB" w:rsidR="009E5F71" w:rsidRDefault="00510584" w:rsidP="001256AC">
      <w:pPr>
        <w:rPr>
          <w:rFonts w:asciiTheme="majorHAnsi" w:eastAsiaTheme="majorEastAsia" w:hAnsiTheme="majorHAnsi" w:cstheme="majorBidi"/>
          <w:b/>
          <w:bCs/>
          <w:color w:val="000000" w:themeColor="text1"/>
          <w:bdr w:val="none" w:sz="0" w:space="0" w:color="auto"/>
        </w:rPr>
      </w:pPr>
      <w:proofErr w:type="spellStart"/>
      <w:proofErr w:type="gramStart"/>
      <w:r>
        <w:rPr>
          <w:rFonts w:asciiTheme="majorHAnsi" w:hAnsiTheme="majorHAnsi"/>
          <w:vertAlign w:val="superscript"/>
        </w:rPr>
        <w:t>a</w:t>
      </w:r>
      <w:proofErr w:type="spellEnd"/>
      <w:proofErr w:type="gramEnd"/>
      <w:r>
        <w:rPr>
          <w:rFonts w:asciiTheme="majorHAnsi" w:hAnsiTheme="majorHAnsi"/>
          <w:vertAlign w:val="superscript"/>
        </w:rPr>
        <w:t xml:space="preserve"> </w:t>
      </w:r>
      <w:r w:rsidR="00361631">
        <w:rPr>
          <w:rFonts w:asciiTheme="majorHAnsi" w:hAnsiTheme="majorHAnsi"/>
        </w:rPr>
        <w:t xml:space="preserve">The six month comparison includes three participants on active drug, and none on </w:t>
      </w:r>
      <w:proofErr w:type="spellStart"/>
      <w:r w:rsidR="00361631">
        <w:rPr>
          <w:rFonts w:asciiTheme="majorHAnsi" w:hAnsiTheme="majorHAnsi"/>
        </w:rPr>
        <w:t>placebo,with</w:t>
      </w:r>
      <w:proofErr w:type="spellEnd"/>
      <w:r w:rsidR="00361631">
        <w:rPr>
          <w:rFonts w:asciiTheme="majorHAnsi" w:hAnsiTheme="majorHAnsi"/>
        </w:rPr>
        <w:t xml:space="preserve"> vision too poor to obtain</w:t>
      </w:r>
      <w:r w:rsidR="00361631" w:rsidRPr="00A8031C">
        <w:rPr>
          <w:rFonts w:asciiTheme="majorHAnsi" w:hAnsiTheme="majorHAnsi"/>
        </w:rPr>
        <w:t xml:space="preserve"> </w:t>
      </w:r>
      <w:r w:rsidR="00361631" w:rsidRPr="001256AC">
        <w:rPr>
          <w:rFonts w:asciiTheme="majorHAnsi" w:hAnsiTheme="majorHAnsi"/>
        </w:rPr>
        <w:t>VEP</w:t>
      </w:r>
      <w:r w:rsidR="00361631">
        <w:t xml:space="preserve"> </w:t>
      </w:r>
      <w:r w:rsidR="00361631">
        <w:rPr>
          <w:rFonts w:asciiTheme="majorHAnsi" w:hAnsiTheme="majorHAnsi"/>
        </w:rPr>
        <w:t>response, for which amplitudes of 0</w:t>
      </w:r>
      <w:r w:rsidR="00361631">
        <w:rPr>
          <w:rFonts w:ascii="Calibri" w:eastAsia="Calibri" w:hAnsi="Calibri" w:cs="Calibri"/>
        </w:rPr>
        <w:t>μV and latencies of 200ms</w:t>
      </w:r>
      <w:r w:rsidR="00361631">
        <w:rPr>
          <w:rFonts w:asciiTheme="majorHAnsi" w:hAnsiTheme="majorHAnsi"/>
        </w:rPr>
        <w:t xml:space="preserve"> were used.  The baseline summaries include 20 active and 20 placebo patients with vision too poor, for which these imputations were used.  </w:t>
      </w:r>
      <w:proofErr w:type="gramStart"/>
      <w:r w:rsidR="00361631">
        <w:rPr>
          <w:rFonts w:asciiTheme="majorHAnsi" w:hAnsiTheme="majorHAnsi"/>
        </w:rPr>
        <w:t>All the</w:t>
      </w:r>
      <w:proofErr w:type="gramEnd"/>
      <w:r w:rsidR="00361631">
        <w:rPr>
          <w:rFonts w:asciiTheme="majorHAnsi" w:hAnsiTheme="majorHAnsi"/>
        </w:rPr>
        <w:t xml:space="preserve"> unaffected eye VEPs were recordable.  Excluding the three subjects gives active – placebo differences of -0.22, p=0.955 (latency) and 0.36, p=0.647 (amplitude).</w:t>
      </w:r>
      <w:r w:rsidR="009E5F71">
        <w:rPr>
          <w:color w:val="000000" w:themeColor="text1"/>
        </w:rPr>
        <w:br w:type="page"/>
      </w:r>
    </w:p>
    <w:p w14:paraId="29329575" w14:textId="0ED71D7F" w:rsidR="00975733" w:rsidRPr="005A246C" w:rsidRDefault="00975733" w:rsidP="0050008E">
      <w:pPr>
        <w:pStyle w:val="Heading1"/>
        <w:rPr>
          <w:color w:val="000000" w:themeColor="text1"/>
          <w:sz w:val="24"/>
          <w:szCs w:val="24"/>
        </w:rPr>
      </w:pPr>
      <w:r>
        <w:rPr>
          <w:color w:val="000000" w:themeColor="text1"/>
          <w:sz w:val="24"/>
          <w:szCs w:val="24"/>
        </w:rPr>
        <w:lastRenderedPageBreak/>
        <w:t xml:space="preserve">Table </w:t>
      </w:r>
      <w:r w:rsidR="00904A1C">
        <w:rPr>
          <w:color w:val="000000" w:themeColor="text1"/>
          <w:sz w:val="24"/>
          <w:szCs w:val="24"/>
        </w:rPr>
        <w:t>4</w:t>
      </w:r>
      <w:r>
        <w:rPr>
          <w:color w:val="000000" w:themeColor="text1"/>
          <w:sz w:val="24"/>
          <w:szCs w:val="24"/>
        </w:rPr>
        <w:t xml:space="preserve">: </w:t>
      </w:r>
      <w:r w:rsidRPr="005A246C">
        <w:rPr>
          <w:color w:val="000000" w:themeColor="text1"/>
          <w:sz w:val="24"/>
          <w:szCs w:val="24"/>
        </w:rPr>
        <w:t>Adverse events</w:t>
      </w:r>
    </w:p>
    <w:p w14:paraId="149C6FB7" w14:textId="77777777" w:rsidR="00975733" w:rsidRPr="0093628F" w:rsidRDefault="00975733" w:rsidP="00412D99">
      <w:pPr>
        <w:rPr>
          <w:rFonts w:asciiTheme="majorHAnsi" w:hAnsiTheme="majorHAnsi"/>
          <w:b/>
        </w:rPr>
      </w:pPr>
    </w:p>
    <w:tbl>
      <w:tblPr>
        <w:tblStyle w:val="ColorfulGrid-Accent5"/>
        <w:tblW w:w="0" w:type="auto"/>
        <w:tblLook w:val="0620" w:firstRow="1" w:lastRow="0" w:firstColumn="0" w:lastColumn="0" w:noHBand="1" w:noVBand="1"/>
      </w:tblPr>
      <w:tblGrid>
        <w:gridCol w:w="2838"/>
        <w:gridCol w:w="2839"/>
        <w:gridCol w:w="2839"/>
      </w:tblGrid>
      <w:tr w:rsidR="00975733" w:rsidRPr="0093628F" w14:paraId="7B578703" w14:textId="77777777" w:rsidTr="00975733">
        <w:trPr>
          <w:cnfStyle w:val="100000000000" w:firstRow="1" w:lastRow="0" w:firstColumn="0" w:lastColumn="0" w:oddVBand="0" w:evenVBand="0" w:oddHBand="0" w:evenHBand="0" w:firstRowFirstColumn="0" w:firstRowLastColumn="0" w:lastRowFirstColumn="0" w:lastRowLastColumn="0"/>
        </w:trPr>
        <w:tc>
          <w:tcPr>
            <w:tcW w:w="2838" w:type="dxa"/>
          </w:tcPr>
          <w:p w14:paraId="50767A86" w14:textId="77777777" w:rsidR="00975733" w:rsidRPr="0093628F" w:rsidRDefault="00975733" w:rsidP="00412D99">
            <w:pPr>
              <w:rPr>
                <w:rFonts w:asciiTheme="majorHAnsi" w:hAnsiTheme="majorHAnsi"/>
                <w:color w:val="FFFFFF" w:themeColor="background1"/>
              </w:rPr>
            </w:pPr>
            <w:r w:rsidRPr="0093628F">
              <w:rPr>
                <w:rFonts w:asciiTheme="majorHAnsi" w:hAnsiTheme="majorHAnsi"/>
              </w:rPr>
              <w:t>Adverse Events</w:t>
            </w:r>
          </w:p>
        </w:tc>
        <w:tc>
          <w:tcPr>
            <w:tcW w:w="2839" w:type="dxa"/>
          </w:tcPr>
          <w:p w14:paraId="6C47459D" w14:textId="77777777" w:rsidR="00975733" w:rsidRPr="00A16035" w:rsidRDefault="00975733" w:rsidP="00412D99">
            <w:pPr>
              <w:jc w:val="center"/>
              <w:rPr>
                <w:rFonts w:asciiTheme="majorHAnsi" w:hAnsiTheme="majorHAnsi"/>
                <w:b w:val="0"/>
                <w:bCs w:val="0"/>
                <w:color w:val="auto"/>
                <w:sz w:val="20"/>
                <w:szCs w:val="20"/>
              </w:rPr>
            </w:pPr>
            <w:r w:rsidRPr="0093628F">
              <w:rPr>
                <w:rFonts w:asciiTheme="majorHAnsi" w:hAnsiTheme="majorHAnsi"/>
              </w:rPr>
              <w:t>Phenytoin</w:t>
            </w:r>
          </w:p>
        </w:tc>
        <w:tc>
          <w:tcPr>
            <w:tcW w:w="2839" w:type="dxa"/>
          </w:tcPr>
          <w:p w14:paraId="05467733" w14:textId="77777777" w:rsidR="00975733" w:rsidRPr="003A391A" w:rsidRDefault="00975733" w:rsidP="00412D99">
            <w:pPr>
              <w:jc w:val="center"/>
              <w:rPr>
                <w:rFonts w:asciiTheme="majorHAnsi" w:hAnsiTheme="majorHAnsi"/>
                <w:b w:val="0"/>
                <w:bCs w:val="0"/>
                <w:color w:val="auto"/>
                <w:sz w:val="20"/>
                <w:szCs w:val="20"/>
              </w:rPr>
            </w:pPr>
            <w:r w:rsidRPr="0093628F">
              <w:rPr>
                <w:rFonts w:asciiTheme="majorHAnsi" w:hAnsiTheme="majorHAnsi"/>
              </w:rPr>
              <w:t>Placebo</w:t>
            </w:r>
          </w:p>
        </w:tc>
      </w:tr>
      <w:tr w:rsidR="00975733" w:rsidRPr="0093628F" w14:paraId="4FC0984E" w14:textId="77777777" w:rsidTr="00975733">
        <w:tc>
          <w:tcPr>
            <w:tcW w:w="2838" w:type="dxa"/>
          </w:tcPr>
          <w:p w14:paraId="67E373BA" w14:textId="77777777" w:rsidR="00975733" w:rsidRPr="000F6EEB" w:rsidRDefault="00975733" w:rsidP="00412D99">
            <w:pPr>
              <w:rPr>
                <w:rFonts w:asciiTheme="majorHAnsi" w:hAnsiTheme="majorHAnsi"/>
                <w:color w:val="auto"/>
              </w:rPr>
            </w:pPr>
            <w:r w:rsidRPr="000F6EEB">
              <w:rPr>
                <w:rFonts w:asciiTheme="majorHAnsi" w:hAnsiTheme="majorHAnsi"/>
              </w:rPr>
              <w:t>At least one adverse event</w:t>
            </w:r>
          </w:p>
        </w:tc>
        <w:tc>
          <w:tcPr>
            <w:tcW w:w="2839" w:type="dxa"/>
          </w:tcPr>
          <w:p w14:paraId="1BDB874E" w14:textId="77777777" w:rsidR="00975733" w:rsidRPr="0093628F" w:rsidRDefault="00975733" w:rsidP="00412D99">
            <w:pPr>
              <w:jc w:val="center"/>
              <w:rPr>
                <w:rFonts w:asciiTheme="majorHAnsi" w:hAnsiTheme="majorHAnsi"/>
                <w:color w:val="auto"/>
              </w:rPr>
            </w:pPr>
            <w:r w:rsidRPr="0093628F">
              <w:rPr>
                <w:rFonts w:asciiTheme="majorHAnsi" w:hAnsiTheme="majorHAnsi"/>
              </w:rPr>
              <w:t>34 (8</w:t>
            </w:r>
            <w:r>
              <w:rPr>
                <w:rFonts w:asciiTheme="majorHAnsi" w:hAnsiTheme="majorHAnsi"/>
              </w:rPr>
              <w:t>1</w:t>
            </w:r>
            <w:r w:rsidRPr="0093628F">
              <w:rPr>
                <w:rFonts w:asciiTheme="majorHAnsi" w:hAnsiTheme="majorHAnsi"/>
              </w:rPr>
              <w:t>)</w:t>
            </w:r>
          </w:p>
        </w:tc>
        <w:tc>
          <w:tcPr>
            <w:tcW w:w="2839" w:type="dxa"/>
          </w:tcPr>
          <w:p w14:paraId="4FE281EB" w14:textId="77777777" w:rsidR="00975733" w:rsidRPr="0093628F" w:rsidRDefault="00975733" w:rsidP="00412D99">
            <w:pPr>
              <w:jc w:val="center"/>
              <w:rPr>
                <w:rFonts w:asciiTheme="majorHAnsi" w:hAnsiTheme="majorHAnsi"/>
                <w:color w:val="auto"/>
                <w:sz w:val="20"/>
                <w:szCs w:val="20"/>
              </w:rPr>
            </w:pPr>
            <w:r w:rsidRPr="0093628F">
              <w:rPr>
                <w:rFonts w:asciiTheme="majorHAnsi" w:hAnsiTheme="majorHAnsi"/>
              </w:rPr>
              <w:t>40 (9</w:t>
            </w:r>
            <w:r>
              <w:rPr>
                <w:rFonts w:asciiTheme="majorHAnsi" w:hAnsiTheme="majorHAnsi"/>
              </w:rPr>
              <w:t>1</w:t>
            </w:r>
            <w:r w:rsidRPr="0093628F">
              <w:rPr>
                <w:rFonts w:asciiTheme="majorHAnsi" w:hAnsiTheme="majorHAnsi"/>
              </w:rPr>
              <w:t>)</w:t>
            </w:r>
          </w:p>
          <w:p w14:paraId="3F9EF242" w14:textId="77777777" w:rsidR="00975733" w:rsidRPr="0093628F" w:rsidRDefault="00975733" w:rsidP="00412D99">
            <w:pPr>
              <w:jc w:val="center"/>
              <w:rPr>
                <w:rFonts w:asciiTheme="majorHAnsi" w:hAnsiTheme="majorHAnsi"/>
                <w:color w:val="auto"/>
              </w:rPr>
            </w:pPr>
          </w:p>
        </w:tc>
      </w:tr>
      <w:tr w:rsidR="00975733" w:rsidRPr="0093628F" w14:paraId="4452B3DC" w14:textId="77777777" w:rsidTr="00975733">
        <w:tc>
          <w:tcPr>
            <w:tcW w:w="2838" w:type="dxa"/>
          </w:tcPr>
          <w:p w14:paraId="2A9FC95F" w14:textId="77777777" w:rsidR="00975733" w:rsidRPr="000F6EEB" w:rsidRDefault="00975733" w:rsidP="00412D99">
            <w:pPr>
              <w:rPr>
                <w:rFonts w:asciiTheme="majorHAnsi" w:hAnsiTheme="majorHAnsi"/>
                <w:color w:val="auto"/>
              </w:rPr>
            </w:pPr>
            <w:r w:rsidRPr="000F6EEB">
              <w:rPr>
                <w:rFonts w:asciiTheme="majorHAnsi" w:hAnsiTheme="majorHAnsi"/>
              </w:rPr>
              <w:t>At least one adverse event leading to discontinuation of study medication</w:t>
            </w:r>
          </w:p>
        </w:tc>
        <w:tc>
          <w:tcPr>
            <w:tcW w:w="2839" w:type="dxa"/>
          </w:tcPr>
          <w:p w14:paraId="4EFCFD9B" w14:textId="77777777" w:rsidR="00975733" w:rsidRPr="0093628F" w:rsidRDefault="00975733" w:rsidP="00412D99">
            <w:pPr>
              <w:jc w:val="center"/>
              <w:rPr>
                <w:rFonts w:asciiTheme="majorHAnsi" w:hAnsiTheme="majorHAnsi"/>
                <w:color w:val="auto"/>
                <w:sz w:val="20"/>
                <w:szCs w:val="20"/>
              </w:rPr>
            </w:pPr>
            <w:r w:rsidRPr="0093628F">
              <w:rPr>
                <w:rFonts w:asciiTheme="majorHAnsi" w:hAnsiTheme="majorHAnsi"/>
              </w:rPr>
              <w:t>10 (2</w:t>
            </w:r>
            <w:r>
              <w:rPr>
                <w:rFonts w:asciiTheme="majorHAnsi" w:hAnsiTheme="majorHAnsi"/>
              </w:rPr>
              <w:t>4</w:t>
            </w:r>
            <w:r w:rsidRPr="0093628F">
              <w:rPr>
                <w:rFonts w:asciiTheme="majorHAnsi" w:hAnsiTheme="majorHAnsi"/>
              </w:rPr>
              <w:t>)</w:t>
            </w:r>
          </w:p>
        </w:tc>
        <w:tc>
          <w:tcPr>
            <w:tcW w:w="2839" w:type="dxa"/>
          </w:tcPr>
          <w:p w14:paraId="5A99F0B5" w14:textId="77777777" w:rsidR="00975733" w:rsidRPr="0093628F" w:rsidRDefault="00975733" w:rsidP="00412D99">
            <w:pPr>
              <w:jc w:val="center"/>
              <w:rPr>
                <w:rFonts w:asciiTheme="majorHAnsi" w:hAnsiTheme="majorHAnsi"/>
                <w:color w:val="auto"/>
                <w:sz w:val="20"/>
                <w:szCs w:val="20"/>
              </w:rPr>
            </w:pPr>
            <w:r w:rsidRPr="0093628F">
              <w:rPr>
                <w:rFonts w:asciiTheme="majorHAnsi" w:hAnsiTheme="majorHAnsi"/>
              </w:rPr>
              <w:t>3 (</w:t>
            </w:r>
            <w:r>
              <w:rPr>
                <w:rFonts w:asciiTheme="majorHAnsi" w:hAnsiTheme="majorHAnsi"/>
              </w:rPr>
              <w:t>7</w:t>
            </w:r>
            <w:r w:rsidRPr="0093628F">
              <w:rPr>
                <w:rFonts w:asciiTheme="majorHAnsi" w:hAnsiTheme="majorHAnsi"/>
              </w:rPr>
              <w:t>)</w:t>
            </w:r>
          </w:p>
          <w:p w14:paraId="5EB441F1" w14:textId="77777777" w:rsidR="00975733" w:rsidRPr="0093628F" w:rsidRDefault="00975733" w:rsidP="00412D99">
            <w:pPr>
              <w:jc w:val="center"/>
              <w:rPr>
                <w:rFonts w:asciiTheme="majorHAnsi" w:hAnsiTheme="majorHAnsi"/>
                <w:color w:val="auto"/>
              </w:rPr>
            </w:pPr>
          </w:p>
        </w:tc>
      </w:tr>
      <w:tr w:rsidR="00975733" w:rsidRPr="0093628F" w14:paraId="4A868A4A" w14:textId="77777777" w:rsidTr="00975733">
        <w:tc>
          <w:tcPr>
            <w:tcW w:w="2838" w:type="dxa"/>
          </w:tcPr>
          <w:p w14:paraId="33CADBAF" w14:textId="77777777" w:rsidR="00975733" w:rsidRPr="000F6EEB" w:rsidRDefault="00975733" w:rsidP="00412D99">
            <w:pPr>
              <w:rPr>
                <w:rFonts w:asciiTheme="majorHAnsi" w:hAnsiTheme="majorHAnsi"/>
                <w:color w:val="auto"/>
              </w:rPr>
            </w:pPr>
            <w:r w:rsidRPr="000F6EEB">
              <w:rPr>
                <w:rFonts w:asciiTheme="majorHAnsi" w:hAnsiTheme="majorHAnsi"/>
              </w:rPr>
              <w:t>Any serious adverse event</w:t>
            </w:r>
          </w:p>
        </w:tc>
        <w:tc>
          <w:tcPr>
            <w:tcW w:w="2839" w:type="dxa"/>
          </w:tcPr>
          <w:p w14:paraId="085A9D79" w14:textId="77777777" w:rsidR="00975733" w:rsidRPr="0093628F" w:rsidRDefault="00975733" w:rsidP="00412D99">
            <w:pPr>
              <w:jc w:val="center"/>
              <w:rPr>
                <w:rFonts w:asciiTheme="majorHAnsi" w:hAnsiTheme="majorHAnsi"/>
                <w:color w:val="auto"/>
                <w:sz w:val="20"/>
                <w:szCs w:val="20"/>
              </w:rPr>
            </w:pPr>
            <w:r w:rsidRPr="0093628F">
              <w:rPr>
                <w:rFonts w:asciiTheme="majorHAnsi" w:hAnsiTheme="majorHAnsi"/>
              </w:rPr>
              <w:t>5 (1</w:t>
            </w:r>
            <w:r>
              <w:rPr>
                <w:rFonts w:asciiTheme="majorHAnsi" w:hAnsiTheme="majorHAnsi"/>
              </w:rPr>
              <w:t>2</w:t>
            </w:r>
            <w:r w:rsidRPr="0093628F">
              <w:rPr>
                <w:rFonts w:asciiTheme="majorHAnsi" w:hAnsiTheme="majorHAnsi"/>
              </w:rPr>
              <w:t>)</w:t>
            </w:r>
          </w:p>
        </w:tc>
        <w:tc>
          <w:tcPr>
            <w:tcW w:w="2839" w:type="dxa"/>
          </w:tcPr>
          <w:p w14:paraId="1757D6B8" w14:textId="77777777" w:rsidR="00975733" w:rsidRPr="0093628F" w:rsidRDefault="00975733" w:rsidP="00412D99">
            <w:pPr>
              <w:jc w:val="center"/>
              <w:rPr>
                <w:rFonts w:asciiTheme="majorHAnsi" w:hAnsiTheme="majorHAnsi"/>
                <w:color w:val="auto"/>
                <w:sz w:val="20"/>
                <w:szCs w:val="20"/>
              </w:rPr>
            </w:pPr>
            <w:r w:rsidRPr="0093628F">
              <w:rPr>
                <w:rFonts w:asciiTheme="majorHAnsi" w:hAnsiTheme="majorHAnsi"/>
              </w:rPr>
              <w:t>2 (</w:t>
            </w:r>
            <w:r>
              <w:rPr>
                <w:rFonts w:asciiTheme="majorHAnsi" w:hAnsiTheme="majorHAnsi"/>
              </w:rPr>
              <w:t>5</w:t>
            </w:r>
            <w:r w:rsidRPr="0093628F">
              <w:rPr>
                <w:rFonts w:asciiTheme="majorHAnsi" w:hAnsiTheme="majorHAnsi"/>
              </w:rPr>
              <w:t>)</w:t>
            </w:r>
          </w:p>
          <w:p w14:paraId="1FD50752" w14:textId="77777777" w:rsidR="00975733" w:rsidRPr="0093628F" w:rsidRDefault="00975733" w:rsidP="00412D99">
            <w:pPr>
              <w:jc w:val="center"/>
              <w:rPr>
                <w:rFonts w:asciiTheme="majorHAnsi" w:hAnsiTheme="majorHAnsi"/>
                <w:color w:val="auto"/>
              </w:rPr>
            </w:pPr>
          </w:p>
        </w:tc>
      </w:tr>
      <w:tr w:rsidR="00975733" w:rsidRPr="0093628F" w14:paraId="5673A12D" w14:textId="77777777" w:rsidTr="00975733">
        <w:tc>
          <w:tcPr>
            <w:tcW w:w="2838" w:type="dxa"/>
          </w:tcPr>
          <w:p w14:paraId="267406E3" w14:textId="77777777" w:rsidR="00975733" w:rsidRPr="000F6EEB" w:rsidRDefault="00975733" w:rsidP="00412D99">
            <w:pPr>
              <w:rPr>
                <w:rFonts w:asciiTheme="majorHAnsi" w:hAnsiTheme="majorHAnsi"/>
                <w:color w:val="auto"/>
              </w:rPr>
            </w:pPr>
            <w:r w:rsidRPr="000F6EEB">
              <w:rPr>
                <w:rFonts w:asciiTheme="majorHAnsi" w:hAnsiTheme="majorHAnsi"/>
              </w:rPr>
              <w:t>Any event leading to death</w:t>
            </w:r>
          </w:p>
        </w:tc>
        <w:tc>
          <w:tcPr>
            <w:tcW w:w="2839" w:type="dxa"/>
          </w:tcPr>
          <w:p w14:paraId="4C38E950" w14:textId="77777777" w:rsidR="00975733" w:rsidRPr="0093628F" w:rsidRDefault="00975733" w:rsidP="00412D99">
            <w:pPr>
              <w:jc w:val="center"/>
              <w:rPr>
                <w:rFonts w:asciiTheme="majorHAnsi" w:hAnsiTheme="majorHAnsi"/>
                <w:color w:val="auto"/>
                <w:sz w:val="20"/>
                <w:szCs w:val="20"/>
              </w:rPr>
            </w:pPr>
            <w:r w:rsidRPr="0093628F">
              <w:rPr>
                <w:rFonts w:asciiTheme="majorHAnsi" w:hAnsiTheme="majorHAnsi"/>
              </w:rPr>
              <w:t>0</w:t>
            </w:r>
          </w:p>
        </w:tc>
        <w:tc>
          <w:tcPr>
            <w:tcW w:w="2839" w:type="dxa"/>
          </w:tcPr>
          <w:p w14:paraId="3E5B7A67" w14:textId="77777777" w:rsidR="00975733" w:rsidRPr="0093628F" w:rsidRDefault="00975733" w:rsidP="00412D99">
            <w:pPr>
              <w:jc w:val="center"/>
              <w:rPr>
                <w:rFonts w:asciiTheme="majorHAnsi" w:hAnsiTheme="majorHAnsi"/>
                <w:color w:val="auto"/>
                <w:sz w:val="20"/>
                <w:szCs w:val="20"/>
              </w:rPr>
            </w:pPr>
            <w:r w:rsidRPr="0093628F">
              <w:rPr>
                <w:rFonts w:asciiTheme="majorHAnsi" w:hAnsiTheme="majorHAnsi"/>
              </w:rPr>
              <w:t>0</w:t>
            </w:r>
          </w:p>
        </w:tc>
      </w:tr>
      <w:tr w:rsidR="00975733" w:rsidRPr="0093628F" w14:paraId="47F9DDB6" w14:textId="77777777" w:rsidTr="00975733">
        <w:tc>
          <w:tcPr>
            <w:tcW w:w="2838" w:type="dxa"/>
          </w:tcPr>
          <w:p w14:paraId="2CFB1A6F" w14:textId="00A9E3F8" w:rsidR="00975733" w:rsidRPr="000F6EEB" w:rsidRDefault="00975733" w:rsidP="00412D99">
            <w:pPr>
              <w:rPr>
                <w:rFonts w:asciiTheme="majorHAnsi" w:hAnsiTheme="majorHAnsi"/>
                <w:color w:val="auto"/>
              </w:rPr>
            </w:pPr>
            <w:r w:rsidRPr="000F6EEB">
              <w:rPr>
                <w:rFonts w:asciiTheme="majorHAnsi" w:hAnsiTheme="majorHAnsi"/>
              </w:rPr>
              <w:t xml:space="preserve">Mean number </w:t>
            </w:r>
            <w:r>
              <w:rPr>
                <w:rFonts w:asciiTheme="majorHAnsi" w:hAnsiTheme="majorHAnsi"/>
              </w:rPr>
              <w:t xml:space="preserve">(range) </w:t>
            </w:r>
            <w:r w:rsidRPr="000F6EEB">
              <w:rPr>
                <w:rFonts w:asciiTheme="majorHAnsi" w:hAnsiTheme="majorHAnsi"/>
              </w:rPr>
              <w:t xml:space="preserve">of all adverse events per </w:t>
            </w:r>
            <w:r w:rsidR="00C14376">
              <w:rPr>
                <w:rFonts w:asciiTheme="majorHAnsi" w:hAnsiTheme="majorHAnsi"/>
              </w:rPr>
              <w:t>participant</w:t>
            </w:r>
          </w:p>
        </w:tc>
        <w:tc>
          <w:tcPr>
            <w:tcW w:w="2839" w:type="dxa"/>
          </w:tcPr>
          <w:p w14:paraId="3831DB0F" w14:textId="4F6ECB44" w:rsidR="00975733" w:rsidRDefault="00975733" w:rsidP="00412D99">
            <w:pPr>
              <w:jc w:val="center"/>
              <w:rPr>
                <w:rFonts w:asciiTheme="majorHAnsi" w:hAnsiTheme="majorHAnsi"/>
                <w:color w:val="auto"/>
                <w:sz w:val="20"/>
                <w:szCs w:val="20"/>
              </w:rPr>
            </w:pPr>
            <w:r w:rsidRPr="0093628F">
              <w:rPr>
                <w:rFonts w:asciiTheme="majorHAnsi" w:hAnsiTheme="majorHAnsi"/>
              </w:rPr>
              <w:t>3</w:t>
            </w:r>
            <w:r w:rsidR="00FD7C53">
              <w:rPr>
                <w:rFonts w:asciiTheme="majorHAnsi" w:hAnsiTheme="majorHAnsi"/>
              </w:rPr>
              <w:t>·</w:t>
            </w:r>
            <w:r w:rsidRPr="0093628F">
              <w:rPr>
                <w:rFonts w:asciiTheme="majorHAnsi" w:hAnsiTheme="majorHAnsi"/>
              </w:rPr>
              <w:t>17</w:t>
            </w:r>
          </w:p>
          <w:p w14:paraId="6BAD93E8" w14:textId="77777777" w:rsidR="00975733" w:rsidRPr="0093628F" w:rsidRDefault="00975733" w:rsidP="00412D99">
            <w:pPr>
              <w:jc w:val="center"/>
              <w:rPr>
                <w:rFonts w:asciiTheme="majorHAnsi" w:hAnsiTheme="majorHAnsi"/>
                <w:color w:val="auto"/>
                <w:sz w:val="20"/>
                <w:szCs w:val="20"/>
              </w:rPr>
            </w:pPr>
            <w:r>
              <w:rPr>
                <w:rFonts w:asciiTheme="majorHAnsi" w:hAnsiTheme="majorHAnsi"/>
              </w:rPr>
              <w:t>(0, 10)</w:t>
            </w:r>
          </w:p>
        </w:tc>
        <w:tc>
          <w:tcPr>
            <w:tcW w:w="2839" w:type="dxa"/>
          </w:tcPr>
          <w:p w14:paraId="7D1013BA" w14:textId="6878DDB2" w:rsidR="00975733" w:rsidRDefault="00975733" w:rsidP="00412D99">
            <w:pPr>
              <w:jc w:val="center"/>
              <w:rPr>
                <w:rFonts w:asciiTheme="majorHAnsi" w:hAnsiTheme="majorHAnsi"/>
                <w:color w:val="auto"/>
                <w:sz w:val="20"/>
                <w:szCs w:val="20"/>
              </w:rPr>
            </w:pPr>
            <w:r w:rsidRPr="0093628F">
              <w:rPr>
                <w:rFonts w:asciiTheme="majorHAnsi" w:hAnsiTheme="majorHAnsi"/>
              </w:rPr>
              <w:t>3</w:t>
            </w:r>
            <w:r w:rsidR="00FD7C53">
              <w:rPr>
                <w:rFonts w:asciiTheme="majorHAnsi" w:hAnsiTheme="majorHAnsi"/>
              </w:rPr>
              <w:t>·</w:t>
            </w:r>
            <w:r w:rsidRPr="0093628F">
              <w:rPr>
                <w:rFonts w:asciiTheme="majorHAnsi" w:hAnsiTheme="majorHAnsi"/>
              </w:rPr>
              <w:t>64</w:t>
            </w:r>
          </w:p>
          <w:p w14:paraId="6CD1CEDD" w14:textId="77777777" w:rsidR="00975733" w:rsidRPr="0093628F" w:rsidRDefault="00975733" w:rsidP="00412D99">
            <w:pPr>
              <w:jc w:val="center"/>
              <w:rPr>
                <w:rFonts w:asciiTheme="majorHAnsi" w:hAnsiTheme="majorHAnsi"/>
                <w:color w:val="auto"/>
                <w:sz w:val="20"/>
                <w:szCs w:val="20"/>
              </w:rPr>
            </w:pPr>
            <w:r>
              <w:rPr>
                <w:rFonts w:asciiTheme="majorHAnsi" w:hAnsiTheme="majorHAnsi"/>
              </w:rPr>
              <w:t>(0, 14)</w:t>
            </w:r>
          </w:p>
        </w:tc>
      </w:tr>
    </w:tbl>
    <w:p w14:paraId="57BB5879" w14:textId="77777777" w:rsidR="00975733" w:rsidRDefault="00975733" w:rsidP="00412D99">
      <w:pPr>
        <w:rPr>
          <w:rFonts w:asciiTheme="majorHAnsi" w:hAnsiTheme="majorHAnsi"/>
        </w:rPr>
      </w:pPr>
    </w:p>
    <w:p w14:paraId="493DED21" w14:textId="35F6513C" w:rsidR="00975733" w:rsidRPr="0093628F" w:rsidRDefault="00975733" w:rsidP="00412D99">
      <w:pPr>
        <w:rPr>
          <w:rFonts w:asciiTheme="majorHAnsi" w:hAnsiTheme="majorHAnsi"/>
        </w:rPr>
      </w:pPr>
      <w:r>
        <w:rPr>
          <w:rFonts w:asciiTheme="majorHAnsi" w:hAnsiTheme="majorHAnsi"/>
        </w:rPr>
        <w:t>Data are number (%), except for last row</w:t>
      </w:r>
    </w:p>
    <w:p w14:paraId="7ACAC4F5" w14:textId="77777777" w:rsidR="001178C0" w:rsidRDefault="001178C0" w:rsidP="0050008E">
      <w:pPr>
        <w:pStyle w:val="Heading1"/>
        <w:rPr>
          <w:color w:val="000000" w:themeColor="text1"/>
          <w:sz w:val="24"/>
          <w:szCs w:val="24"/>
        </w:rPr>
      </w:pPr>
    </w:p>
    <w:p w14:paraId="4561FFF7" w14:textId="77777777" w:rsidR="001178C0" w:rsidRPr="001178C0" w:rsidRDefault="001178C0" w:rsidP="0004641F"/>
    <w:p w14:paraId="3F56045E" w14:textId="77777777" w:rsidR="00904A1C" w:rsidRDefault="00904A1C">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heme="majorEastAsia" w:hAnsiTheme="majorHAnsi" w:cstheme="majorBidi"/>
          <w:b/>
          <w:bCs/>
          <w:color w:val="000000" w:themeColor="text1"/>
          <w:bdr w:val="none" w:sz="0" w:space="0" w:color="auto"/>
        </w:rPr>
      </w:pPr>
      <w:r>
        <w:rPr>
          <w:color w:val="000000" w:themeColor="text1"/>
        </w:rPr>
        <w:br w:type="page"/>
      </w:r>
    </w:p>
    <w:p w14:paraId="46BE2A94" w14:textId="1B5FA552" w:rsidR="00975733" w:rsidRPr="00DF50B2" w:rsidRDefault="001178C0" w:rsidP="00022CC3">
      <w:pPr>
        <w:pStyle w:val="Heading1"/>
        <w:rPr>
          <w:b w:val="0"/>
          <w:color w:val="000000" w:themeColor="text1"/>
        </w:rPr>
      </w:pPr>
      <w:r>
        <w:rPr>
          <w:color w:val="000000" w:themeColor="text1"/>
          <w:sz w:val="24"/>
          <w:szCs w:val="24"/>
        </w:rPr>
        <w:lastRenderedPageBreak/>
        <w:t xml:space="preserve">Table </w:t>
      </w:r>
      <w:r w:rsidR="00904A1C">
        <w:rPr>
          <w:color w:val="000000" w:themeColor="text1"/>
          <w:sz w:val="24"/>
          <w:szCs w:val="24"/>
        </w:rPr>
        <w:t>5</w:t>
      </w:r>
      <w:r>
        <w:rPr>
          <w:color w:val="000000" w:themeColor="text1"/>
          <w:sz w:val="24"/>
          <w:szCs w:val="24"/>
        </w:rPr>
        <w:t xml:space="preserve">: </w:t>
      </w:r>
      <w:r w:rsidR="00975733" w:rsidRPr="00DF50B2">
        <w:rPr>
          <w:color w:val="000000" w:themeColor="text1"/>
          <w:sz w:val="24"/>
          <w:szCs w:val="24"/>
        </w:rPr>
        <w:t>Serious Adverse Events</w:t>
      </w:r>
    </w:p>
    <w:p w14:paraId="08744842" w14:textId="77777777" w:rsidR="00975733" w:rsidRPr="0093628F" w:rsidRDefault="00975733" w:rsidP="00412D99">
      <w:pPr>
        <w:rPr>
          <w:rFonts w:asciiTheme="majorHAnsi" w:hAnsiTheme="majorHAnsi"/>
        </w:rPr>
      </w:pPr>
    </w:p>
    <w:tbl>
      <w:tblPr>
        <w:tblStyle w:val="ColorfulGrid-Accent5"/>
        <w:tblW w:w="0" w:type="auto"/>
        <w:tblLook w:val="0620" w:firstRow="1" w:lastRow="0" w:firstColumn="0" w:lastColumn="0" w:noHBand="1" w:noVBand="1"/>
      </w:tblPr>
      <w:tblGrid>
        <w:gridCol w:w="2838"/>
        <w:gridCol w:w="2839"/>
        <w:gridCol w:w="2839"/>
      </w:tblGrid>
      <w:tr w:rsidR="00975733" w:rsidRPr="0093628F" w14:paraId="5081A313" w14:textId="77777777" w:rsidTr="00975733">
        <w:trPr>
          <w:cnfStyle w:val="100000000000" w:firstRow="1" w:lastRow="0" w:firstColumn="0" w:lastColumn="0" w:oddVBand="0" w:evenVBand="0" w:oddHBand="0" w:evenHBand="0" w:firstRowFirstColumn="0" w:firstRowLastColumn="0" w:lastRowFirstColumn="0" w:lastRowLastColumn="0"/>
        </w:trPr>
        <w:tc>
          <w:tcPr>
            <w:tcW w:w="2838" w:type="dxa"/>
          </w:tcPr>
          <w:p w14:paraId="7004D34E" w14:textId="77777777" w:rsidR="00975733" w:rsidRPr="0093628F" w:rsidRDefault="00975733" w:rsidP="00412D99">
            <w:pPr>
              <w:rPr>
                <w:rFonts w:asciiTheme="majorHAnsi" w:hAnsiTheme="majorHAnsi"/>
                <w:b w:val="0"/>
                <w:bCs w:val="0"/>
                <w:color w:val="auto"/>
              </w:rPr>
            </w:pPr>
          </w:p>
        </w:tc>
        <w:tc>
          <w:tcPr>
            <w:tcW w:w="2839" w:type="dxa"/>
          </w:tcPr>
          <w:p w14:paraId="042B548C" w14:textId="77777777" w:rsidR="00975733" w:rsidRPr="003A391A" w:rsidRDefault="00975733" w:rsidP="00412D99">
            <w:pPr>
              <w:jc w:val="center"/>
              <w:rPr>
                <w:rFonts w:asciiTheme="majorHAnsi" w:hAnsiTheme="majorHAnsi"/>
                <w:b w:val="0"/>
                <w:bCs w:val="0"/>
                <w:color w:val="auto"/>
                <w:sz w:val="20"/>
                <w:szCs w:val="20"/>
              </w:rPr>
            </w:pPr>
            <w:r>
              <w:rPr>
                <w:rFonts w:asciiTheme="majorHAnsi" w:hAnsiTheme="majorHAnsi"/>
                <w:b w:val="0"/>
              </w:rPr>
              <w:t>Phenytoin</w:t>
            </w:r>
          </w:p>
        </w:tc>
        <w:tc>
          <w:tcPr>
            <w:tcW w:w="2839" w:type="dxa"/>
          </w:tcPr>
          <w:p w14:paraId="0D57200E" w14:textId="77777777" w:rsidR="00975733" w:rsidRPr="0093628F" w:rsidRDefault="00975733" w:rsidP="00412D99">
            <w:pPr>
              <w:jc w:val="center"/>
              <w:rPr>
                <w:rFonts w:asciiTheme="majorHAnsi" w:hAnsiTheme="majorHAnsi"/>
                <w:b w:val="0"/>
                <w:bCs w:val="0"/>
                <w:color w:val="auto"/>
                <w:sz w:val="20"/>
                <w:szCs w:val="20"/>
              </w:rPr>
            </w:pPr>
            <w:r w:rsidRPr="0093628F">
              <w:rPr>
                <w:rFonts w:asciiTheme="majorHAnsi" w:hAnsiTheme="majorHAnsi"/>
                <w:b w:val="0"/>
              </w:rPr>
              <w:t>Placebo</w:t>
            </w:r>
          </w:p>
          <w:p w14:paraId="62757E78" w14:textId="77777777" w:rsidR="00975733" w:rsidRPr="0093628F" w:rsidRDefault="00975733" w:rsidP="00412D99">
            <w:pPr>
              <w:rPr>
                <w:rFonts w:asciiTheme="majorHAnsi" w:hAnsiTheme="majorHAnsi"/>
                <w:b w:val="0"/>
                <w:bCs w:val="0"/>
                <w:color w:val="auto"/>
              </w:rPr>
            </w:pPr>
          </w:p>
        </w:tc>
      </w:tr>
      <w:tr w:rsidR="00975733" w:rsidRPr="0093628F" w14:paraId="3123ACF5" w14:textId="77777777" w:rsidTr="00975733">
        <w:tc>
          <w:tcPr>
            <w:tcW w:w="2838" w:type="dxa"/>
          </w:tcPr>
          <w:p w14:paraId="1859F5CF" w14:textId="77777777" w:rsidR="00975733" w:rsidRPr="0093628F" w:rsidRDefault="00975733" w:rsidP="00412D99">
            <w:pPr>
              <w:rPr>
                <w:rFonts w:asciiTheme="majorHAnsi" w:hAnsiTheme="majorHAnsi"/>
                <w:color w:val="auto"/>
              </w:rPr>
            </w:pPr>
            <w:r w:rsidRPr="0093628F">
              <w:rPr>
                <w:rFonts w:asciiTheme="majorHAnsi" w:hAnsiTheme="majorHAnsi"/>
              </w:rPr>
              <w:t>Breast Malignancy</w:t>
            </w:r>
          </w:p>
        </w:tc>
        <w:tc>
          <w:tcPr>
            <w:tcW w:w="2839" w:type="dxa"/>
          </w:tcPr>
          <w:p w14:paraId="4E37BAE0" w14:textId="77777777" w:rsidR="00975733" w:rsidRPr="0093628F" w:rsidRDefault="00975733" w:rsidP="00412D99">
            <w:pPr>
              <w:jc w:val="center"/>
              <w:rPr>
                <w:rFonts w:asciiTheme="majorHAnsi" w:hAnsiTheme="majorHAnsi"/>
                <w:color w:val="auto"/>
                <w:sz w:val="20"/>
                <w:szCs w:val="20"/>
              </w:rPr>
            </w:pPr>
            <w:r w:rsidRPr="0093628F">
              <w:rPr>
                <w:rFonts w:asciiTheme="majorHAnsi" w:hAnsiTheme="majorHAnsi"/>
              </w:rPr>
              <w:t>1</w:t>
            </w:r>
          </w:p>
        </w:tc>
        <w:tc>
          <w:tcPr>
            <w:tcW w:w="2839" w:type="dxa"/>
          </w:tcPr>
          <w:p w14:paraId="4B08F173" w14:textId="77777777" w:rsidR="00975733" w:rsidRPr="0093628F" w:rsidRDefault="00975733" w:rsidP="00412D99">
            <w:pPr>
              <w:jc w:val="center"/>
              <w:rPr>
                <w:rFonts w:asciiTheme="majorHAnsi" w:hAnsiTheme="majorHAnsi"/>
                <w:color w:val="auto"/>
                <w:sz w:val="20"/>
                <w:szCs w:val="20"/>
              </w:rPr>
            </w:pPr>
            <w:r w:rsidRPr="0093628F">
              <w:rPr>
                <w:rFonts w:asciiTheme="majorHAnsi" w:hAnsiTheme="majorHAnsi"/>
              </w:rPr>
              <w:t>0</w:t>
            </w:r>
          </w:p>
        </w:tc>
      </w:tr>
      <w:tr w:rsidR="00975733" w:rsidRPr="0093628F" w14:paraId="29B3DEFE" w14:textId="77777777" w:rsidTr="00975733">
        <w:tc>
          <w:tcPr>
            <w:tcW w:w="2838" w:type="dxa"/>
          </w:tcPr>
          <w:p w14:paraId="40AF0739" w14:textId="77777777" w:rsidR="00975733" w:rsidRPr="0093628F" w:rsidRDefault="00975733" w:rsidP="00412D99">
            <w:pPr>
              <w:rPr>
                <w:rFonts w:asciiTheme="majorHAnsi" w:hAnsiTheme="majorHAnsi"/>
                <w:color w:val="auto"/>
              </w:rPr>
            </w:pPr>
            <w:r w:rsidRPr="0093628F">
              <w:rPr>
                <w:rFonts w:asciiTheme="majorHAnsi" w:hAnsiTheme="majorHAnsi"/>
              </w:rPr>
              <w:t>Dilated superior ophthalmic vein seen on MRI (requiring catheter angiogram)</w:t>
            </w:r>
          </w:p>
        </w:tc>
        <w:tc>
          <w:tcPr>
            <w:tcW w:w="2839" w:type="dxa"/>
          </w:tcPr>
          <w:p w14:paraId="15B4F5D8" w14:textId="77777777" w:rsidR="00975733" w:rsidRDefault="00975733" w:rsidP="00412D99">
            <w:pPr>
              <w:jc w:val="center"/>
              <w:rPr>
                <w:rFonts w:asciiTheme="majorHAnsi" w:hAnsiTheme="majorHAnsi"/>
                <w:color w:val="auto"/>
              </w:rPr>
            </w:pPr>
          </w:p>
          <w:p w14:paraId="5A4814AB" w14:textId="77777777" w:rsidR="00975733" w:rsidRPr="0093628F" w:rsidRDefault="00975733" w:rsidP="00412D99">
            <w:pPr>
              <w:jc w:val="center"/>
              <w:rPr>
                <w:rFonts w:asciiTheme="majorHAnsi" w:hAnsiTheme="majorHAnsi"/>
                <w:color w:val="auto"/>
                <w:sz w:val="20"/>
                <w:szCs w:val="20"/>
              </w:rPr>
            </w:pPr>
            <w:r w:rsidRPr="0093628F">
              <w:rPr>
                <w:rFonts w:asciiTheme="majorHAnsi" w:hAnsiTheme="majorHAnsi"/>
              </w:rPr>
              <w:t>1</w:t>
            </w:r>
          </w:p>
        </w:tc>
        <w:tc>
          <w:tcPr>
            <w:tcW w:w="2839" w:type="dxa"/>
          </w:tcPr>
          <w:p w14:paraId="1A4DBC9D" w14:textId="77777777" w:rsidR="00975733" w:rsidRDefault="00975733" w:rsidP="00412D99">
            <w:pPr>
              <w:jc w:val="center"/>
              <w:rPr>
                <w:rFonts w:asciiTheme="majorHAnsi" w:hAnsiTheme="majorHAnsi"/>
                <w:color w:val="auto"/>
              </w:rPr>
            </w:pPr>
          </w:p>
          <w:p w14:paraId="33499A5E" w14:textId="77777777" w:rsidR="00975733" w:rsidRPr="0093628F" w:rsidRDefault="00975733" w:rsidP="00412D99">
            <w:pPr>
              <w:jc w:val="center"/>
              <w:rPr>
                <w:rFonts w:asciiTheme="majorHAnsi" w:hAnsiTheme="majorHAnsi"/>
                <w:color w:val="auto"/>
                <w:sz w:val="20"/>
                <w:szCs w:val="20"/>
              </w:rPr>
            </w:pPr>
            <w:r w:rsidRPr="0093628F">
              <w:rPr>
                <w:rFonts w:asciiTheme="majorHAnsi" w:hAnsiTheme="majorHAnsi"/>
              </w:rPr>
              <w:t>0</w:t>
            </w:r>
          </w:p>
        </w:tc>
      </w:tr>
      <w:tr w:rsidR="00975733" w:rsidRPr="0093628F" w14:paraId="791DD25B" w14:textId="77777777" w:rsidTr="00975733">
        <w:tc>
          <w:tcPr>
            <w:tcW w:w="2838" w:type="dxa"/>
          </w:tcPr>
          <w:p w14:paraId="747E7DC1" w14:textId="77777777" w:rsidR="00975733" w:rsidRPr="0093628F" w:rsidRDefault="00975733" w:rsidP="00412D99">
            <w:pPr>
              <w:rPr>
                <w:rFonts w:asciiTheme="majorHAnsi" w:hAnsiTheme="majorHAnsi"/>
                <w:color w:val="auto"/>
              </w:rPr>
            </w:pPr>
            <w:r w:rsidRPr="0093628F">
              <w:rPr>
                <w:rFonts w:asciiTheme="majorHAnsi" w:hAnsiTheme="majorHAnsi"/>
              </w:rPr>
              <w:t>Appendicitis</w:t>
            </w:r>
          </w:p>
        </w:tc>
        <w:tc>
          <w:tcPr>
            <w:tcW w:w="2839" w:type="dxa"/>
          </w:tcPr>
          <w:p w14:paraId="33AB39E5" w14:textId="77777777" w:rsidR="00975733" w:rsidRPr="0093628F" w:rsidRDefault="00975733" w:rsidP="00412D99">
            <w:pPr>
              <w:jc w:val="center"/>
              <w:rPr>
                <w:rFonts w:asciiTheme="majorHAnsi" w:hAnsiTheme="majorHAnsi"/>
                <w:color w:val="auto"/>
                <w:sz w:val="20"/>
                <w:szCs w:val="20"/>
              </w:rPr>
            </w:pPr>
            <w:r w:rsidRPr="0093628F">
              <w:rPr>
                <w:rFonts w:asciiTheme="majorHAnsi" w:hAnsiTheme="majorHAnsi"/>
              </w:rPr>
              <w:t>2</w:t>
            </w:r>
          </w:p>
        </w:tc>
        <w:tc>
          <w:tcPr>
            <w:tcW w:w="2839" w:type="dxa"/>
          </w:tcPr>
          <w:p w14:paraId="4AD8C581" w14:textId="77777777" w:rsidR="00975733" w:rsidRPr="0093628F" w:rsidRDefault="00975733" w:rsidP="00412D99">
            <w:pPr>
              <w:jc w:val="center"/>
              <w:rPr>
                <w:rFonts w:asciiTheme="majorHAnsi" w:hAnsiTheme="majorHAnsi"/>
                <w:color w:val="auto"/>
                <w:sz w:val="20"/>
                <w:szCs w:val="20"/>
              </w:rPr>
            </w:pPr>
            <w:r w:rsidRPr="0093628F">
              <w:rPr>
                <w:rFonts w:asciiTheme="majorHAnsi" w:hAnsiTheme="majorHAnsi"/>
              </w:rPr>
              <w:t>0</w:t>
            </w:r>
          </w:p>
        </w:tc>
      </w:tr>
      <w:tr w:rsidR="00975733" w:rsidRPr="0093628F" w14:paraId="0AF7216D" w14:textId="77777777" w:rsidTr="00975733">
        <w:tc>
          <w:tcPr>
            <w:tcW w:w="2838" w:type="dxa"/>
          </w:tcPr>
          <w:p w14:paraId="081BEDDD" w14:textId="77777777" w:rsidR="00975733" w:rsidRPr="0093628F" w:rsidRDefault="00975733" w:rsidP="00412D99">
            <w:pPr>
              <w:rPr>
                <w:rFonts w:asciiTheme="majorHAnsi" w:hAnsiTheme="majorHAnsi"/>
                <w:color w:val="auto"/>
              </w:rPr>
            </w:pPr>
            <w:r w:rsidRPr="0093628F">
              <w:rPr>
                <w:rFonts w:asciiTheme="majorHAnsi" w:hAnsiTheme="majorHAnsi"/>
              </w:rPr>
              <w:t>Cellulitis</w:t>
            </w:r>
          </w:p>
        </w:tc>
        <w:tc>
          <w:tcPr>
            <w:tcW w:w="2839" w:type="dxa"/>
          </w:tcPr>
          <w:p w14:paraId="3280F40E" w14:textId="77777777" w:rsidR="00975733" w:rsidRPr="0093628F" w:rsidRDefault="00975733" w:rsidP="00412D99">
            <w:pPr>
              <w:jc w:val="center"/>
              <w:rPr>
                <w:rFonts w:asciiTheme="majorHAnsi" w:hAnsiTheme="majorHAnsi"/>
                <w:color w:val="auto"/>
                <w:sz w:val="20"/>
                <w:szCs w:val="20"/>
              </w:rPr>
            </w:pPr>
            <w:r w:rsidRPr="0093628F">
              <w:rPr>
                <w:rFonts w:asciiTheme="majorHAnsi" w:hAnsiTheme="majorHAnsi"/>
              </w:rPr>
              <w:t>0</w:t>
            </w:r>
          </w:p>
        </w:tc>
        <w:tc>
          <w:tcPr>
            <w:tcW w:w="2839" w:type="dxa"/>
          </w:tcPr>
          <w:p w14:paraId="181F7C7A" w14:textId="77777777" w:rsidR="00975733" w:rsidRPr="0093628F" w:rsidRDefault="00975733" w:rsidP="00412D99">
            <w:pPr>
              <w:jc w:val="center"/>
              <w:rPr>
                <w:rFonts w:asciiTheme="majorHAnsi" w:hAnsiTheme="majorHAnsi"/>
                <w:color w:val="auto"/>
              </w:rPr>
            </w:pPr>
            <w:r w:rsidRPr="0093628F">
              <w:rPr>
                <w:rFonts w:asciiTheme="majorHAnsi" w:hAnsiTheme="majorHAnsi"/>
              </w:rPr>
              <w:t>1</w:t>
            </w:r>
          </w:p>
        </w:tc>
      </w:tr>
      <w:tr w:rsidR="00975733" w:rsidRPr="0093628F" w14:paraId="52847897" w14:textId="77777777" w:rsidTr="00975733">
        <w:tc>
          <w:tcPr>
            <w:tcW w:w="2838" w:type="dxa"/>
          </w:tcPr>
          <w:p w14:paraId="45CA028D" w14:textId="77777777" w:rsidR="00975733" w:rsidRPr="0093628F" w:rsidRDefault="00975733" w:rsidP="00412D99">
            <w:pPr>
              <w:rPr>
                <w:rFonts w:asciiTheme="majorHAnsi" w:hAnsiTheme="majorHAnsi"/>
                <w:color w:val="auto"/>
              </w:rPr>
            </w:pPr>
            <w:r w:rsidRPr="0093628F">
              <w:rPr>
                <w:rFonts w:asciiTheme="majorHAnsi" w:hAnsiTheme="majorHAnsi"/>
              </w:rPr>
              <w:t>Severe rash</w:t>
            </w:r>
          </w:p>
        </w:tc>
        <w:tc>
          <w:tcPr>
            <w:tcW w:w="2839" w:type="dxa"/>
          </w:tcPr>
          <w:p w14:paraId="71D0BEA6" w14:textId="77777777" w:rsidR="00975733" w:rsidRPr="0093628F" w:rsidRDefault="00975733" w:rsidP="00412D99">
            <w:pPr>
              <w:jc w:val="center"/>
              <w:rPr>
                <w:rFonts w:asciiTheme="majorHAnsi" w:hAnsiTheme="majorHAnsi"/>
                <w:color w:val="auto"/>
                <w:sz w:val="20"/>
                <w:szCs w:val="20"/>
              </w:rPr>
            </w:pPr>
            <w:r w:rsidRPr="0093628F">
              <w:rPr>
                <w:rFonts w:asciiTheme="majorHAnsi" w:hAnsiTheme="majorHAnsi"/>
              </w:rPr>
              <w:t>1</w:t>
            </w:r>
          </w:p>
        </w:tc>
        <w:tc>
          <w:tcPr>
            <w:tcW w:w="2839" w:type="dxa"/>
          </w:tcPr>
          <w:p w14:paraId="702EE7EE" w14:textId="77777777" w:rsidR="00975733" w:rsidRPr="0093628F" w:rsidRDefault="00975733" w:rsidP="00412D99">
            <w:pPr>
              <w:jc w:val="center"/>
              <w:rPr>
                <w:rFonts w:asciiTheme="majorHAnsi" w:hAnsiTheme="majorHAnsi"/>
                <w:color w:val="auto"/>
                <w:sz w:val="20"/>
                <w:szCs w:val="20"/>
              </w:rPr>
            </w:pPr>
            <w:r w:rsidRPr="0093628F">
              <w:rPr>
                <w:rFonts w:asciiTheme="majorHAnsi" w:hAnsiTheme="majorHAnsi"/>
              </w:rPr>
              <w:t>0</w:t>
            </w:r>
          </w:p>
        </w:tc>
      </w:tr>
      <w:tr w:rsidR="00975733" w:rsidRPr="0093628F" w14:paraId="488FC985" w14:textId="77777777" w:rsidTr="00975733">
        <w:tc>
          <w:tcPr>
            <w:tcW w:w="2838" w:type="dxa"/>
          </w:tcPr>
          <w:p w14:paraId="3F131EAF" w14:textId="77777777" w:rsidR="00975733" w:rsidRPr="0093628F" w:rsidRDefault="00975733" w:rsidP="00412D99">
            <w:pPr>
              <w:rPr>
                <w:rFonts w:asciiTheme="majorHAnsi" w:hAnsiTheme="majorHAnsi"/>
                <w:color w:val="auto"/>
              </w:rPr>
            </w:pPr>
            <w:r w:rsidRPr="0093628F">
              <w:rPr>
                <w:rFonts w:asciiTheme="majorHAnsi" w:hAnsiTheme="majorHAnsi"/>
              </w:rPr>
              <w:t>Congenital malformation</w:t>
            </w:r>
          </w:p>
        </w:tc>
        <w:tc>
          <w:tcPr>
            <w:tcW w:w="2839" w:type="dxa"/>
          </w:tcPr>
          <w:p w14:paraId="5B8CF3A4" w14:textId="77777777" w:rsidR="00975733" w:rsidRPr="0093628F" w:rsidRDefault="00975733" w:rsidP="00412D99">
            <w:pPr>
              <w:jc w:val="center"/>
              <w:rPr>
                <w:rFonts w:asciiTheme="majorHAnsi" w:hAnsiTheme="majorHAnsi"/>
                <w:color w:val="auto"/>
                <w:sz w:val="20"/>
                <w:szCs w:val="20"/>
              </w:rPr>
            </w:pPr>
            <w:r w:rsidRPr="0093628F">
              <w:rPr>
                <w:rFonts w:asciiTheme="majorHAnsi" w:hAnsiTheme="majorHAnsi"/>
              </w:rPr>
              <w:t>0</w:t>
            </w:r>
          </w:p>
        </w:tc>
        <w:tc>
          <w:tcPr>
            <w:tcW w:w="2839" w:type="dxa"/>
          </w:tcPr>
          <w:p w14:paraId="496BD323" w14:textId="77777777" w:rsidR="00975733" w:rsidRPr="0093628F" w:rsidRDefault="00975733" w:rsidP="00412D99">
            <w:pPr>
              <w:jc w:val="center"/>
              <w:rPr>
                <w:rFonts w:asciiTheme="majorHAnsi" w:hAnsiTheme="majorHAnsi"/>
                <w:color w:val="auto"/>
                <w:sz w:val="20"/>
                <w:szCs w:val="20"/>
              </w:rPr>
            </w:pPr>
            <w:r w:rsidRPr="0093628F">
              <w:rPr>
                <w:rFonts w:asciiTheme="majorHAnsi" w:hAnsiTheme="majorHAnsi"/>
              </w:rPr>
              <w:t>1</w:t>
            </w:r>
          </w:p>
        </w:tc>
      </w:tr>
    </w:tbl>
    <w:p w14:paraId="4F32CB0F" w14:textId="77777777" w:rsidR="00975733" w:rsidRDefault="00975733" w:rsidP="00412D99">
      <w:pPr>
        <w:rPr>
          <w:rFonts w:asciiTheme="majorHAnsi" w:hAnsiTheme="majorHAnsi"/>
        </w:rPr>
      </w:pPr>
    </w:p>
    <w:p w14:paraId="27B44060" w14:textId="271A0313" w:rsidR="00CE088B" w:rsidRDefault="00975733" w:rsidP="00022CC3">
      <w:pPr>
        <w:rPr>
          <w:rFonts w:asciiTheme="majorHAnsi" w:hAnsiTheme="majorHAnsi"/>
        </w:rPr>
      </w:pPr>
      <w:r>
        <w:rPr>
          <w:rFonts w:asciiTheme="majorHAnsi" w:hAnsiTheme="majorHAnsi"/>
        </w:rPr>
        <w:t>Data are number of each adverse eve</w:t>
      </w:r>
      <w:r w:rsidR="00904A1C">
        <w:rPr>
          <w:rFonts w:asciiTheme="majorHAnsi" w:hAnsiTheme="majorHAnsi"/>
        </w:rPr>
        <w:t>nt.</w:t>
      </w:r>
    </w:p>
    <w:p w14:paraId="2BF4BFED" w14:textId="77777777" w:rsidR="00CE088B" w:rsidRDefault="00CE088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r>
        <w:rPr>
          <w:rFonts w:asciiTheme="majorHAnsi" w:hAnsiTheme="majorHAnsi"/>
        </w:rPr>
        <w:br w:type="page"/>
      </w:r>
    </w:p>
    <w:p w14:paraId="658F8803" w14:textId="77777777" w:rsidR="00CE088B" w:rsidRDefault="00CE088B" w:rsidP="00CE088B">
      <w:pPr>
        <w:jc w:val="both"/>
        <w:rPr>
          <w:rFonts w:ascii="Calibri" w:hAnsi="Calibri"/>
          <w:b/>
        </w:rPr>
      </w:pPr>
      <w:r w:rsidRPr="003318E4">
        <w:rPr>
          <w:rFonts w:ascii="Calibri" w:hAnsi="Calibri"/>
          <w:b/>
        </w:rPr>
        <w:lastRenderedPageBreak/>
        <w:t>Figure 1</w:t>
      </w:r>
      <w:r>
        <w:rPr>
          <w:rFonts w:ascii="Calibri" w:hAnsi="Calibri"/>
          <w:b/>
        </w:rPr>
        <w:t xml:space="preserve">: </w:t>
      </w:r>
      <w:r w:rsidRPr="003318E4">
        <w:rPr>
          <w:rFonts w:ascii="Calibri" w:hAnsi="Calibri"/>
          <w:b/>
        </w:rPr>
        <w:t>Trial profile</w:t>
      </w:r>
    </w:p>
    <w:p w14:paraId="27D8E009" w14:textId="77777777" w:rsidR="002547EA" w:rsidRDefault="002547EA" w:rsidP="00CE088B">
      <w:pPr>
        <w:jc w:val="both"/>
        <w:rPr>
          <w:rFonts w:ascii="Calibri" w:hAnsi="Calibri"/>
          <w:b/>
        </w:rPr>
      </w:pPr>
    </w:p>
    <w:p w14:paraId="4617859F" w14:textId="675B3D0A" w:rsidR="002547EA" w:rsidRPr="003318E4" w:rsidRDefault="00F1060B" w:rsidP="00CE088B">
      <w:pPr>
        <w:jc w:val="both"/>
        <w:rPr>
          <w:rFonts w:ascii="Calibri" w:hAnsi="Calibri"/>
          <w:b/>
        </w:rPr>
      </w:pPr>
      <w:r w:rsidRPr="00F602CE">
        <w:rPr>
          <w:rFonts w:ascii="Calibri" w:hAnsi="Calibri"/>
          <w:b/>
          <w:noProof/>
          <w:lang w:val="en-GB" w:eastAsia="en-GB"/>
        </w:rPr>
        <w:drawing>
          <wp:inline distT="0" distB="0" distL="0" distR="0" wp14:anchorId="0851F5E7" wp14:editId="552B0EE0">
            <wp:extent cx="5270500" cy="3645429"/>
            <wp:effectExtent l="25400" t="25400" r="12700" b="381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3645429"/>
                    </a:xfrm>
                    <a:prstGeom prst="rect">
                      <a:avLst/>
                    </a:prstGeom>
                    <a:noFill/>
                    <a:ln>
                      <a:solidFill>
                        <a:schemeClr val="tx1">
                          <a:lumMod val="95000"/>
                          <a:lumOff val="5000"/>
                        </a:schemeClr>
                      </a:solidFill>
                    </a:ln>
                  </pic:spPr>
                </pic:pic>
              </a:graphicData>
            </a:graphic>
          </wp:inline>
        </w:drawing>
      </w:r>
    </w:p>
    <w:p w14:paraId="4E61CBB5" w14:textId="77777777" w:rsidR="00CE088B" w:rsidRPr="00243082" w:rsidRDefault="00CE088B" w:rsidP="00CE088B">
      <w:pPr>
        <w:pStyle w:val="Body"/>
        <w:jc w:val="both"/>
        <w:rPr>
          <w:rFonts w:ascii="Calibri" w:eastAsia="Calibri" w:hAnsi="Calibri" w:cs="Calibri"/>
        </w:rPr>
      </w:pPr>
    </w:p>
    <w:p w14:paraId="6BA28808" w14:textId="77777777" w:rsidR="00EA6C64" w:rsidRPr="001256AC" w:rsidRDefault="00EA6C64" w:rsidP="001256AC">
      <w:pPr>
        <w:ind w:left="360"/>
        <w:rPr>
          <w:rFonts w:asciiTheme="majorHAnsi" w:hAnsiTheme="majorHAnsi"/>
          <w:lang w:val="en-GB"/>
        </w:rPr>
      </w:pPr>
      <w:r w:rsidRPr="001256AC">
        <w:rPr>
          <w:rFonts w:asciiTheme="majorHAnsi" w:hAnsiTheme="majorHAnsi"/>
        </w:rPr>
        <w:t>* Reasons for ineligibility were as follows:</w:t>
      </w:r>
      <w:r w:rsidRPr="001256AC">
        <w:rPr>
          <w:rFonts w:asciiTheme="majorHAnsi" w:eastAsiaTheme="minorEastAsia" w:hAnsiTheme="majorHAnsi" w:cstheme="minorBidi"/>
          <w:color w:val="000000" w:themeColor="text1"/>
          <w:kern w:val="24"/>
          <w:sz w:val="28"/>
          <w:szCs w:val="28"/>
          <w:bdr w:val="none" w:sz="0" w:space="0" w:color="auto"/>
          <w:lang w:val="en-GB"/>
        </w:rPr>
        <w:t xml:space="preserve"> </w:t>
      </w:r>
    </w:p>
    <w:p w14:paraId="04D801D5" w14:textId="7C12EFB8" w:rsidR="004D59AA" w:rsidRPr="001256AC" w:rsidRDefault="00EA6C64" w:rsidP="00EA6C64">
      <w:pPr>
        <w:numPr>
          <w:ilvl w:val="0"/>
          <w:numId w:val="2"/>
        </w:numPr>
        <w:rPr>
          <w:rFonts w:asciiTheme="majorHAnsi" w:hAnsiTheme="majorHAnsi"/>
          <w:lang w:val="en-GB"/>
        </w:rPr>
      </w:pPr>
      <w:r w:rsidRPr="001256AC">
        <w:rPr>
          <w:rFonts w:asciiTheme="majorHAnsi" w:hAnsiTheme="majorHAnsi"/>
          <w:lang w:val="en-GB"/>
        </w:rPr>
        <w:t xml:space="preserve">28 </w:t>
      </w:r>
      <w:r w:rsidR="004D59AA" w:rsidRPr="001256AC">
        <w:rPr>
          <w:rFonts w:asciiTheme="majorHAnsi" w:hAnsiTheme="majorHAnsi"/>
          <w:lang w:val="en-GB"/>
        </w:rPr>
        <w:t>visual acuity better</w:t>
      </w:r>
      <w:r w:rsidRPr="001256AC">
        <w:rPr>
          <w:rFonts w:asciiTheme="majorHAnsi" w:hAnsiTheme="majorHAnsi"/>
          <w:lang w:val="en-GB"/>
        </w:rPr>
        <w:t xml:space="preserve"> </w:t>
      </w:r>
      <w:r w:rsidR="004D59AA" w:rsidRPr="001256AC">
        <w:rPr>
          <w:rFonts w:asciiTheme="majorHAnsi" w:hAnsiTheme="majorHAnsi"/>
          <w:lang w:val="en-GB"/>
        </w:rPr>
        <w:t>than allowed</w:t>
      </w:r>
    </w:p>
    <w:p w14:paraId="7D836F7C" w14:textId="09F58678" w:rsidR="00EA6C64" w:rsidRPr="001256AC" w:rsidRDefault="00EA6C64" w:rsidP="00EA6C64">
      <w:pPr>
        <w:numPr>
          <w:ilvl w:val="0"/>
          <w:numId w:val="2"/>
        </w:numPr>
        <w:rPr>
          <w:rFonts w:asciiTheme="majorHAnsi" w:hAnsiTheme="majorHAnsi"/>
          <w:lang w:val="en-GB"/>
        </w:rPr>
      </w:pPr>
      <w:r w:rsidRPr="001256AC">
        <w:rPr>
          <w:rFonts w:asciiTheme="majorHAnsi" w:hAnsiTheme="majorHAnsi"/>
          <w:lang w:val="en-GB"/>
        </w:rPr>
        <w:t>11 time to presentation longer than allowed</w:t>
      </w:r>
    </w:p>
    <w:p w14:paraId="280B6D28" w14:textId="05106A24" w:rsidR="00EA6C64" w:rsidRPr="001256AC" w:rsidRDefault="00EA6C64" w:rsidP="00EA6C64">
      <w:pPr>
        <w:numPr>
          <w:ilvl w:val="0"/>
          <w:numId w:val="2"/>
        </w:numPr>
        <w:rPr>
          <w:rFonts w:asciiTheme="majorHAnsi" w:hAnsiTheme="majorHAnsi"/>
          <w:lang w:val="en-GB"/>
        </w:rPr>
      </w:pPr>
      <w:r w:rsidRPr="001256AC">
        <w:rPr>
          <w:rFonts w:asciiTheme="majorHAnsi" w:hAnsiTheme="majorHAnsi"/>
          <w:lang w:val="en-GB"/>
        </w:rPr>
        <w:t xml:space="preserve">5 </w:t>
      </w:r>
      <w:r w:rsidR="00A0220C" w:rsidRPr="001256AC">
        <w:rPr>
          <w:rFonts w:asciiTheme="majorHAnsi" w:hAnsiTheme="majorHAnsi"/>
          <w:lang w:val="en-GB"/>
        </w:rPr>
        <w:t xml:space="preserve">had </w:t>
      </w:r>
      <w:r w:rsidRPr="001256AC">
        <w:rPr>
          <w:rFonts w:asciiTheme="majorHAnsi" w:hAnsiTheme="majorHAnsi"/>
          <w:lang w:val="en-GB"/>
        </w:rPr>
        <w:t xml:space="preserve">bilateral optic neuritis </w:t>
      </w:r>
    </w:p>
    <w:p w14:paraId="6DCAFF60" w14:textId="61C4A1D2" w:rsidR="004D59AA" w:rsidRPr="001256AC" w:rsidRDefault="00EA6C64" w:rsidP="00EA6C64">
      <w:pPr>
        <w:numPr>
          <w:ilvl w:val="0"/>
          <w:numId w:val="2"/>
        </w:numPr>
        <w:rPr>
          <w:rFonts w:asciiTheme="majorHAnsi" w:hAnsiTheme="majorHAnsi"/>
          <w:lang w:val="en-GB"/>
        </w:rPr>
      </w:pPr>
      <w:r w:rsidRPr="001256AC">
        <w:rPr>
          <w:rFonts w:asciiTheme="majorHAnsi" w:hAnsiTheme="majorHAnsi"/>
          <w:lang w:val="en-GB"/>
        </w:rPr>
        <w:t xml:space="preserve">3 </w:t>
      </w:r>
      <w:r w:rsidR="00A0220C" w:rsidRPr="001256AC">
        <w:rPr>
          <w:rFonts w:asciiTheme="majorHAnsi" w:hAnsiTheme="majorHAnsi"/>
          <w:lang w:val="en-GB"/>
        </w:rPr>
        <w:t xml:space="preserve">had </w:t>
      </w:r>
      <w:r w:rsidR="004D59AA" w:rsidRPr="001256AC">
        <w:rPr>
          <w:rFonts w:asciiTheme="majorHAnsi" w:hAnsiTheme="majorHAnsi"/>
          <w:lang w:val="en-GB"/>
        </w:rPr>
        <w:t>previous optic neuritis</w:t>
      </w:r>
    </w:p>
    <w:p w14:paraId="1FB3EC28" w14:textId="2DA116B9" w:rsidR="004D59AA" w:rsidRPr="001256AC" w:rsidRDefault="00EA6C64" w:rsidP="00EA6C64">
      <w:pPr>
        <w:numPr>
          <w:ilvl w:val="0"/>
          <w:numId w:val="2"/>
        </w:numPr>
        <w:rPr>
          <w:rFonts w:asciiTheme="majorHAnsi" w:hAnsiTheme="majorHAnsi"/>
          <w:lang w:val="en-GB"/>
        </w:rPr>
      </w:pPr>
      <w:r w:rsidRPr="001256AC">
        <w:rPr>
          <w:rFonts w:asciiTheme="majorHAnsi" w:hAnsiTheme="majorHAnsi"/>
          <w:lang w:val="en-GB"/>
        </w:rPr>
        <w:t xml:space="preserve">1 treated with </w:t>
      </w:r>
      <w:r w:rsidR="004D59AA" w:rsidRPr="001256AC">
        <w:rPr>
          <w:rFonts w:asciiTheme="majorHAnsi" w:hAnsiTheme="majorHAnsi"/>
          <w:lang w:val="en-GB"/>
        </w:rPr>
        <w:t xml:space="preserve">long term </w:t>
      </w:r>
      <w:proofErr w:type="spellStart"/>
      <w:r w:rsidR="004D59AA" w:rsidRPr="001256AC">
        <w:rPr>
          <w:rFonts w:asciiTheme="majorHAnsi" w:hAnsiTheme="majorHAnsi"/>
          <w:lang w:val="en-GB"/>
        </w:rPr>
        <w:t>immunosupression</w:t>
      </w:r>
      <w:proofErr w:type="spellEnd"/>
    </w:p>
    <w:p w14:paraId="54776BC2" w14:textId="28054002" w:rsidR="004D59AA" w:rsidRPr="001256AC" w:rsidRDefault="004D59AA" w:rsidP="00EA6C64">
      <w:pPr>
        <w:numPr>
          <w:ilvl w:val="0"/>
          <w:numId w:val="2"/>
        </w:numPr>
        <w:rPr>
          <w:rFonts w:asciiTheme="majorHAnsi" w:hAnsiTheme="majorHAnsi"/>
          <w:lang w:val="en-GB"/>
        </w:rPr>
      </w:pPr>
      <w:r w:rsidRPr="001256AC">
        <w:rPr>
          <w:rFonts w:asciiTheme="majorHAnsi" w:hAnsiTheme="majorHAnsi"/>
          <w:lang w:val="en-GB"/>
        </w:rPr>
        <w:t xml:space="preserve">9 </w:t>
      </w:r>
      <w:r w:rsidR="00A0220C" w:rsidRPr="001256AC">
        <w:rPr>
          <w:rFonts w:asciiTheme="majorHAnsi" w:hAnsiTheme="majorHAnsi"/>
          <w:lang w:val="en-GB"/>
        </w:rPr>
        <w:t xml:space="preserve">had an uncertain </w:t>
      </w:r>
      <w:r w:rsidRPr="001256AC">
        <w:rPr>
          <w:rFonts w:asciiTheme="majorHAnsi" w:hAnsiTheme="majorHAnsi"/>
          <w:lang w:val="en-GB"/>
        </w:rPr>
        <w:t>diagnosis</w:t>
      </w:r>
    </w:p>
    <w:p w14:paraId="046DD848" w14:textId="4941F22B" w:rsidR="004D59AA" w:rsidRPr="001256AC" w:rsidRDefault="004D59AA" w:rsidP="00EA6C64">
      <w:pPr>
        <w:numPr>
          <w:ilvl w:val="0"/>
          <w:numId w:val="2"/>
        </w:numPr>
        <w:rPr>
          <w:rFonts w:asciiTheme="majorHAnsi" w:hAnsiTheme="majorHAnsi"/>
          <w:lang w:val="en-GB"/>
        </w:rPr>
      </w:pPr>
      <w:r w:rsidRPr="001256AC">
        <w:rPr>
          <w:rFonts w:asciiTheme="majorHAnsi" w:hAnsiTheme="majorHAnsi"/>
          <w:lang w:val="en-GB"/>
        </w:rPr>
        <w:t xml:space="preserve">20 </w:t>
      </w:r>
      <w:r w:rsidR="00A0220C" w:rsidRPr="001256AC">
        <w:rPr>
          <w:rFonts w:asciiTheme="majorHAnsi" w:hAnsiTheme="majorHAnsi"/>
          <w:lang w:val="en-GB"/>
        </w:rPr>
        <w:t xml:space="preserve">had </w:t>
      </w:r>
      <w:r w:rsidRPr="001256AC">
        <w:rPr>
          <w:rFonts w:asciiTheme="majorHAnsi" w:hAnsiTheme="majorHAnsi"/>
          <w:lang w:val="en-GB"/>
        </w:rPr>
        <w:t>alternative diagno</w:t>
      </w:r>
      <w:r w:rsidR="00576B21" w:rsidRPr="001256AC">
        <w:rPr>
          <w:rFonts w:asciiTheme="majorHAnsi" w:hAnsiTheme="majorHAnsi"/>
          <w:lang w:val="en-GB"/>
        </w:rPr>
        <w:t>s</w:t>
      </w:r>
      <w:r w:rsidR="00A0220C" w:rsidRPr="001256AC">
        <w:rPr>
          <w:rFonts w:asciiTheme="majorHAnsi" w:hAnsiTheme="majorHAnsi"/>
          <w:lang w:val="en-GB"/>
        </w:rPr>
        <w:t>e</w:t>
      </w:r>
      <w:r w:rsidR="00576B21" w:rsidRPr="001256AC">
        <w:rPr>
          <w:rFonts w:asciiTheme="majorHAnsi" w:hAnsiTheme="majorHAnsi"/>
          <w:lang w:val="en-GB"/>
        </w:rPr>
        <w:t>s</w:t>
      </w:r>
      <w:r w:rsidRPr="001256AC">
        <w:rPr>
          <w:rFonts w:asciiTheme="majorHAnsi" w:hAnsiTheme="majorHAnsi"/>
          <w:lang w:val="en-GB"/>
        </w:rPr>
        <w:t xml:space="preserve"> (4 functional visual loss; 3 sarcoidosis; 2 each: migraine with aura, posterior </w:t>
      </w:r>
      <w:proofErr w:type="spellStart"/>
      <w:r w:rsidRPr="001256AC">
        <w:rPr>
          <w:rFonts w:asciiTheme="majorHAnsi" w:hAnsiTheme="majorHAnsi"/>
          <w:lang w:val="en-GB"/>
        </w:rPr>
        <w:t>scleritis</w:t>
      </w:r>
      <w:proofErr w:type="spellEnd"/>
      <w:r w:rsidRPr="001256AC">
        <w:rPr>
          <w:rFonts w:asciiTheme="majorHAnsi" w:hAnsiTheme="majorHAnsi"/>
          <w:lang w:val="en-GB"/>
        </w:rPr>
        <w:t xml:space="preserve">, </w:t>
      </w:r>
      <w:proofErr w:type="spellStart"/>
      <w:r w:rsidRPr="001256AC">
        <w:rPr>
          <w:rFonts w:asciiTheme="majorHAnsi" w:hAnsiTheme="majorHAnsi"/>
          <w:lang w:val="en-GB"/>
        </w:rPr>
        <w:t>Leber’s</w:t>
      </w:r>
      <w:proofErr w:type="spellEnd"/>
      <w:r w:rsidRPr="001256AC">
        <w:rPr>
          <w:rFonts w:asciiTheme="majorHAnsi" w:hAnsiTheme="majorHAnsi"/>
          <w:lang w:val="en-GB"/>
        </w:rPr>
        <w:t xml:space="preserve"> hereditary optic neuropathy, compressive optic nerve lesions; 1 each: uveitis, toxic optic neuropathy, </w:t>
      </w:r>
      <w:proofErr w:type="spellStart"/>
      <w:r w:rsidRPr="001256AC">
        <w:rPr>
          <w:rFonts w:asciiTheme="majorHAnsi" w:hAnsiTheme="majorHAnsi"/>
          <w:lang w:val="en-GB"/>
        </w:rPr>
        <w:t>neuroretinitis</w:t>
      </w:r>
      <w:proofErr w:type="spellEnd"/>
      <w:r w:rsidRPr="001256AC">
        <w:rPr>
          <w:rFonts w:asciiTheme="majorHAnsi" w:hAnsiTheme="majorHAnsi"/>
          <w:lang w:val="en-GB"/>
        </w:rPr>
        <w:t xml:space="preserve">, central serous retinopathy, optic nerve </w:t>
      </w:r>
      <w:proofErr w:type="spellStart"/>
      <w:r w:rsidRPr="001256AC">
        <w:rPr>
          <w:rFonts w:asciiTheme="majorHAnsi" w:hAnsiTheme="majorHAnsi"/>
          <w:lang w:val="en-GB"/>
        </w:rPr>
        <w:t>drusen</w:t>
      </w:r>
      <w:proofErr w:type="spellEnd"/>
      <w:r w:rsidRPr="001256AC">
        <w:rPr>
          <w:rFonts w:asciiTheme="majorHAnsi" w:hAnsiTheme="majorHAnsi"/>
          <w:lang w:val="en-GB"/>
        </w:rPr>
        <w:t>)</w:t>
      </w:r>
    </w:p>
    <w:p w14:paraId="760B7208" w14:textId="04A38435" w:rsidR="00CE088B" w:rsidRDefault="00CE088B" w:rsidP="00CE088B"/>
    <w:p w14:paraId="3022A294" w14:textId="77777777" w:rsidR="00CE088B" w:rsidRDefault="00CE088B" w:rsidP="00CE088B"/>
    <w:p w14:paraId="3BC3E367" w14:textId="77777777" w:rsidR="00CE088B" w:rsidRDefault="00CE088B" w:rsidP="00CE088B"/>
    <w:p w14:paraId="64F7C5E0" w14:textId="77777777" w:rsidR="00CE088B" w:rsidRDefault="00CE088B" w:rsidP="00CE088B">
      <w:pPr>
        <w:jc w:val="both"/>
        <w:rPr>
          <w:rFonts w:ascii="Calibri" w:hAnsi="Calibri"/>
          <w:b/>
        </w:rPr>
      </w:pPr>
    </w:p>
    <w:p w14:paraId="106F0BF4" w14:textId="77777777" w:rsidR="00CE088B" w:rsidRDefault="00CE088B" w:rsidP="00CE088B">
      <w:pPr>
        <w:jc w:val="both"/>
        <w:rPr>
          <w:rFonts w:ascii="Calibri" w:hAnsi="Calibri"/>
          <w:b/>
        </w:rPr>
      </w:pPr>
    </w:p>
    <w:p w14:paraId="0F2A407F" w14:textId="77777777" w:rsidR="00CE088B" w:rsidRDefault="00CE088B" w:rsidP="00CE088B">
      <w:pPr>
        <w:jc w:val="both"/>
        <w:rPr>
          <w:rFonts w:asciiTheme="majorHAnsi" w:hAnsiTheme="majorHAnsi"/>
          <w:b/>
        </w:rPr>
      </w:pPr>
    </w:p>
    <w:p w14:paraId="62F90C18" w14:textId="77777777" w:rsidR="00CE088B" w:rsidRDefault="00CE088B" w:rsidP="00CE088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
        </w:rPr>
      </w:pPr>
      <w:r>
        <w:rPr>
          <w:rFonts w:asciiTheme="majorHAnsi" w:hAnsiTheme="majorHAnsi"/>
          <w:b/>
        </w:rPr>
        <w:br w:type="page"/>
      </w:r>
    </w:p>
    <w:p w14:paraId="472EFA0D" w14:textId="09E6C239" w:rsidR="00CE088B" w:rsidRDefault="00CE088B" w:rsidP="00E11AE8">
      <w:pPr>
        <w:jc w:val="both"/>
        <w:rPr>
          <w:rFonts w:asciiTheme="majorHAnsi" w:hAnsiTheme="majorHAnsi"/>
          <w:b/>
        </w:rPr>
      </w:pPr>
      <w:r w:rsidRPr="009D29CE">
        <w:rPr>
          <w:rFonts w:asciiTheme="majorHAnsi" w:hAnsiTheme="majorHAnsi"/>
          <w:b/>
        </w:rPr>
        <w:lastRenderedPageBreak/>
        <w:t>Figure 2</w:t>
      </w:r>
      <w:r>
        <w:rPr>
          <w:rFonts w:asciiTheme="majorHAnsi" w:hAnsiTheme="majorHAnsi"/>
          <w:b/>
        </w:rPr>
        <w:t xml:space="preserve">: </w:t>
      </w:r>
      <w:r w:rsidR="00EE53F0">
        <w:rPr>
          <w:rFonts w:asciiTheme="majorHAnsi" w:hAnsiTheme="majorHAnsi"/>
          <w:b/>
        </w:rPr>
        <w:t xml:space="preserve"> R</w:t>
      </w:r>
      <w:r>
        <w:rPr>
          <w:rFonts w:asciiTheme="majorHAnsi" w:hAnsiTheme="majorHAnsi"/>
          <w:b/>
        </w:rPr>
        <w:t xml:space="preserve">etinal nerve </w:t>
      </w:r>
      <w:proofErr w:type="spellStart"/>
      <w:r>
        <w:rPr>
          <w:rFonts w:asciiTheme="majorHAnsi" w:hAnsiTheme="majorHAnsi"/>
          <w:b/>
        </w:rPr>
        <w:t>fibre</w:t>
      </w:r>
      <w:proofErr w:type="spellEnd"/>
      <w:r>
        <w:rPr>
          <w:rFonts w:asciiTheme="majorHAnsi" w:hAnsiTheme="majorHAnsi"/>
          <w:b/>
        </w:rPr>
        <w:t xml:space="preserve"> layer thickness</w:t>
      </w:r>
      <w:r w:rsidR="00035651">
        <w:rPr>
          <w:rFonts w:asciiTheme="majorHAnsi" w:hAnsiTheme="majorHAnsi"/>
          <w:b/>
        </w:rPr>
        <w:t xml:space="preserve"> and </w:t>
      </w:r>
      <w:r>
        <w:rPr>
          <w:rFonts w:asciiTheme="majorHAnsi" w:hAnsiTheme="majorHAnsi"/>
          <w:b/>
        </w:rPr>
        <w:t>macular volume</w:t>
      </w:r>
      <w:r w:rsidR="00035651">
        <w:rPr>
          <w:rFonts w:asciiTheme="majorHAnsi" w:hAnsiTheme="majorHAnsi"/>
          <w:b/>
        </w:rPr>
        <w:t xml:space="preserve">, by trial group. </w:t>
      </w:r>
    </w:p>
    <w:p w14:paraId="11528DE3" w14:textId="65B819C6" w:rsidR="00243082" w:rsidRDefault="00741735" w:rsidP="00022CC3">
      <w:pPr>
        <w:rPr>
          <w:rFonts w:asciiTheme="majorHAnsi" w:hAnsiTheme="majorHAnsi"/>
        </w:rPr>
      </w:pPr>
      <w:r>
        <w:rPr>
          <w:rFonts w:asciiTheme="majorHAnsi" w:hAnsiTheme="majorHAnsi"/>
        </w:rPr>
        <w:t>R</w:t>
      </w:r>
      <w:r w:rsidR="00035651">
        <w:rPr>
          <w:rFonts w:asciiTheme="majorHAnsi" w:hAnsiTheme="majorHAnsi"/>
        </w:rPr>
        <w:t xml:space="preserve">etinal nerve </w:t>
      </w:r>
      <w:proofErr w:type="spellStart"/>
      <w:r w:rsidR="00035651">
        <w:rPr>
          <w:rFonts w:asciiTheme="majorHAnsi" w:hAnsiTheme="majorHAnsi"/>
        </w:rPr>
        <w:t>fibre</w:t>
      </w:r>
      <w:proofErr w:type="spellEnd"/>
      <w:r w:rsidR="00035651">
        <w:rPr>
          <w:rFonts w:asciiTheme="majorHAnsi" w:hAnsiTheme="majorHAnsi"/>
        </w:rPr>
        <w:t xml:space="preserve"> layer thickness in the</w:t>
      </w:r>
      <w:r w:rsidR="00CE088B" w:rsidRPr="00CE088B">
        <w:rPr>
          <w:rFonts w:asciiTheme="majorHAnsi" w:hAnsiTheme="majorHAnsi"/>
        </w:rPr>
        <w:t xml:space="preserve"> unaffected </w:t>
      </w:r>
      <w:r w:rsidR="00035651">
        <w:rPr>
          <w:rFonts w:asciiTheme="majorHAnsi" w:hAnsiTheme="majorHAnsi"/>
        </w:rPr>
        <w:t>and affected eye</w:t>
      </w:r>
      <w:r w:rsidR="0011557E">
        <w:rPr>
          <w:rFonts w:asciiTheme="majorHAnsi" w:hAnsiTheme="majorHAnsi"/>
        </w:rPr>
        <w:t xml:space="preserve">s </w:t>
      </w:r>
      <w:r w:rsidR="00035651">
        <w:rPr>
          <w:rFonts w:asciiTheme="majorHAnsi" w:hAnsiTheme="majorHAnsi"/>
        </w:rPr>
        <w:t>at baseline</w:t>
      </w:r>
      <w:r w:rsidR="0011557E">
        <w:rPr>
          <w:rFonts w:asciiTheme="majorHAnsi" w:hAnsiTheme="majorHAnsi"/>
        </w:rPr>
        <w:t xml:space="preserve"> (a) </w:t>
      </w:r>
      <w:r w:rsidR="00035651">
        <w:rPr>
          <w:rFonts w:asciiTheme="majorHAnsi" w:hAnsiTheme="majorHAnsi"/>
        </w:rPr>
        <w:t>and at six months</w:t>
      </w:r>
      <w:r w:rsidR="0011557E">
        <w:rPr>
          <w:rFonts w:asciiTheme="majorHAnsi" w:hAnsiTheme="majorHAnsi"/>
        </w:rPr>
        <w:t xml:space="preserve"> (b)</w:t>
      </w:r>
      <w:r w:rsidR="00035651">
        <w:rPr>
          <w:rFonts w:asciiTheme="majorHAnsi" w:hAnsiTheme="majorHAnsi"/>
        </w:rPr>
        <w:t xml:space="preserve">; </w:t>
      </w:r>
      <w:r>
        <w:rPr>
          <w:rFonts w:asciiTheme="majorHAnsi" w:hAnsiTheme="majorHAnsi"/>
        </w:rPr>
        <w:t>m</w:t>
      </w:r>
      <w:r w:rsidR="0011557E">
        <w:rPr>
          <w:rFonts w:asciiTheme="majorHAnsi" w:hAnsiTheme="majorHAnsi"/>
        </w:rPr>
        <w:t>acular volume in the</w:t>
      </w:r>
      <w:r w:rsidR="0011557E" w:rsidRPr="00CE088B">
        <w:rPr>
          <w:rFonts w:asciiTheme="majorHAnsi" w:hAnsiTheme="majorHAnsi"/>
        </w:rPr>
        <w:t xml:space="preserve"> unaffected </w:t>
      </w:r>
      <w:r w:rsidR="0011557E">
        <w:rPr>
          <w:rFonts w:asciiTheme="majorHAnsi" w:hAnsiTheme="majorHAnsi"/>
        </w:rPr>
        <w:t xml:space="preserve">and affected eyes at baseline (c) and at six months (d). Active-placebo comparisons were based on the difference between the six month active eye and baseline unaffected eye. </w:t>
      </w:r>
      <w:r w:rsidR="00E11AE8">
        <w:rPr>
          <w:rFonts w:asciiTheme="majorHAnsi" w:hAnsiTheme="majorHAnsi"/>
        </w:rPr>
        <w:t>Bars are standard errors around unadjusted group means</w:t>
      </w:r>
      <w:r w:rsidR="00F602CE">
        <w:rPr>
          <w:rFonts w:asciiTheme="majorHAnsi" w:hAnsiTheme="majorHAnsi"/>
        </w:rPr>
        <w:t>.</w:t>
      </w:r>
      <w:r w:rsidR="00F602CE" w:rsidRPr="00741735">
        <w:rPr>
          <w:rFonts w:asciiTheme="majorHAnsi" w:hAnsiTheme="majorHAnsi"/>
          <w:noProof/>
          <w:lang w:val="en-GB" w:eastAsia="en-GB"/>
        </w:rPr>
        <w:drawing>
          <wp:inline distT="0" distB="0" distL="0" distR="0" wp14:anchorId="601003A9" wp14:editId="1A87B17C">
            <wp:extent cx="5270500" cy="3645429"/>
            <wp:effectExtent l="0" t="0" r="6350" b="0"/>
            <wp:docPr id="6" name="Picture 6" descr="C:\Users\rkapoor\Desktop\TLN resubmission\Raftopoulos et al fig2ab\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kapoor\Desktop\TLN resubmission\Raftopoulos et al fig2ab\Slide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0" cy="3645429"/>
                    </a:xfrm>
                    <a:prstGeom prst="rect">
                      <a:avLst/>
                    </a:prstGeom>
                    <a:noFill/>
                    <a:ln>
                      <a:noFill/>
                    </a:ln>
                  </pic:spPr>
                </pic:pic>
              </a:graphicData>
            </a:graphic>
          </wp:inline>
        </w:drawing>
      </w:r>
    </w:p>
    <w:p w14:paraId="67782F1F" w14:textId="77777777" w:rsidR="00162C01" w:rsidRDefault="00F1060B" w:rsidP="00022CC3">
      <w:pPr>
        <w:rPr>
          <w:rFonts w:asciiTheme="majorHAnsi" w:hAnsiTheme="majorHAnsi"/>
        </w:rPr>
      </w:pPr>
      <w:r w:rsidRPr="001256AC">
        <w:rPr>
          <w:rFonts w:asciiTheme="majorHAnsi" w:hAnsiTheme="majorHAnsi"/>
          <w:noProof/>
          <w:lang w:val="en-GB" w:eastAsia="en-GB"/>
        </w:rPr>
        <w:drawing>
          <wp:inline distT="0" distB="0" distL="0" distR="0" wp14:anchorId="361A28C9" wp14:editId="27B7C123">
            <wp:extent cx="5270500" cy="3645429"/>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0500" cy="3645429"/>
                    </a:xfrm>
                    <a:prstGeom prst="rect">
                      <a:avLst/>
                    </a:prstGeom>
                    <a:noFill/>
                    <a:ln>
                      <a:noFill/>
                    </a:ln>
                  </pic:spPr>
                </pic:pic>
              </a:graphicData>
            </a:graphic>
          </wp:inline>
        </w:drawing>
      </w:r>
    </w:p>
    <w:p w14:paraId="2421D7D5" w14:textId="08B49819" w:rsidR="00F1060B" w:rsidRPr="00DD7AE0" w:rsidRDefault="00785605" w:rsidP="00022CC3">
      <w:pPr>
        <w:rPr>
          <w:rFonts w:asciiTheme="majorHAnsi" w:hAnsiTheme="majorHAnsi"/>
        </w:rPr>
      </w:pPr>
      <w:r w:rsidRPr="001256AC">
        <w:rPr>
          <w:rFonts w:asciiTheme="majorHAnsi" w:hAnsiTheme="majorHAnsi"/>
          <w:noProof/>
          <w:lang w:val="en-GB" w:eastAsia="en-GB"/>
        </w:rPr>
        <w:lastRenderedPageBreak/>
        <w:drawing>
          <wp:inline distT="0" distB="0" distL="0" distR="0" wp14:anchorId="747DDC4B" wp14:editId="2CC40EEB">
            <wp:extent cx="5270500" cy="3645429"/>
            <wp:effectExtent l="0" t="0" r="0" b="1270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0500" cy="3645429"/>
                    </a:xfrm>
                    <a:prstGeom prst="rect">
                      <a:avLst/>
                    </a:prstGeom>
                    <a:noFill/>
                    <a:ln>
                      <a:noFill/>
                    </a:ln>
                  </pic:spPr>
                </pic:pic>
              </a:graphicData>
            </a:graphic>
          </wp:inline>
        </w:drawing>
      </w:r>
      <w:r w:rsidRPr="001256AC">
        <w:rPr>
          <w:rFonts w:asciiTheme="majorHAnsi" w:hAnsiTheme="majorHAnsi"/>
          <w:noProof/>
          <w:lang w:val="en-GB" w:eastAsia="en-GB"/>
        </w:rPr>
        <w:drawing>
          <wp:inline distT="0" distB="0" distL="0" distR="0" wp14:anchorId="7C9FAB57" wp14:editId="142F25A3">
            <wp:extent cx="5270500" cy="3645429"/>
            <wp:effectExtent l="0" t="0" r="0" b="1270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0" cy="3645429"/>
                    </a:xfrm>
                    <a:prstGeom prst="rect">
                      <a:avLst/>
                    </a:prstGeom>
                    <a:noFill/>
                    <a:ln>
                      <a:noFill/>
                    </a:ln>
                  </pic:spPr>
                </pic:pic>
              </a:graphicData>
            </a:graphic>
          </wp:inline>
        </w:drawing>
      </w:r>
    </w:p>
    <w:sectPr w:rsidR="00F1060B" w:rsidRPr="00DD7AE0" w:rsidSect="00D77540">
      <w:footerReference w:type="even" r:id="rId16"/>
      <w:footerReference w:type="default" r:id="rId1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8F039" w14:textId="77777777" w:rsidR="006B21B6" w:rsidRDefault="006B21B6" w:rsidP="007A0D21">
      <w:r>
        <w:separator/>
      </w:r>
    </w:p>
  </w:endnote>
  <w:endnote w:type="continuationSeparator" w:id="0">
    <w:p w14:paraId="170FDF2A" w14:textId="77777777" w:rsidR="006B21B6" w:rsidRDefault="006B21B6" w:rsidP="007A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yriad Pro">
    <w:charset w:val="00"/>
    <w:family w:val="auto"/>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559F6" w14:textId="77777777" w:rsidR="00274B5D" w:rsidRDefault="00274B5D" w:rsidP="00857C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18E23F" w14:textId="77777777" w:rsidR="00274B5D" w:rsidRDefault="00274B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5A0B8" w14:textId="77777777" w:rsidR="00274B5D" w:rsidRDefault="00274B5D" w:rsidP="00857C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0F97">
      <w:rPr>
        <w:rStyle w:val="PageNumber"/>
        <w:noProof/>
      </w:rPr>
      <w:t>24</w:t>
    </w:r>
    <w:r>
      <w:rPr>
        <w:rStyle w:val="PageNumber"/>
      </w:rPr>
      <w:fldChar w:fldCharType="end"/>
    </w:r>
  </w:p>
  <w:p w14:paraId="4CF36F16" w14:textId="77777777" w:rsidR="00274B5D" w:rsidRDefault="00274B5D" w:rsidP="001256A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FA07A" w14:textId="77777777" w:rsidR="006B21B6" w:rsidRDefault="006B21B6" w:rsidP="007A0D21">
      <w:r>
        <w:separator/>
      </w:r>
    </w:p>
  </w:footnote>
  <w:footnote w:type="continuationSeparator" w:id="0">
    <w:p w14:paraId="4FC62161" w14:textId="77777777" w:rsidR="006B21B6" w:rsidRDefault="006B21B6" w:rsidP="007A0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735C4"/>
    <w:multiLevelType w:val="hybridMultilevel"/>
    <w:tmpl w:val="A45852C2"/>
    <w:lvl w:ilvl="0" w:tplc="3EF0E28C">
      <w:start w:val="1"/>
      <w:numFmt w:val="bullet"/>
      <w:lvlText w:val="•"/>
      <w:lvlJc w:val="left"/>
      <w:pPr>
        <w:tabs>
          <w:tab w:val="num" w:pos="720"/>
        </w:tabs>
        <w:ind w:left="720" w:hanging="360"/>
      </w:pPr>
      <w:rPr>
        <w:rFonts w:ascii="Arial" w:hAnsi="Arial" w:hint="default"/>
      </w:rPr>
    </w:lvl>
    <w:lvl w:ilvl="1" w:tplc="BBFC2414" w:tentative="1">
      <w:start w:val="1"/>
      <w:numFmt w:val="bullet"/>
      <w:lvlText w:val="•"/>
      <w:lvlJc w:val="left"/>
      <w:pPr>
        <w:tabs>
          <w:tab w:val="num" w:pos="1440"/>
        </w:tabs>
        <w:ind w:left="1440" w:hanging="360"/>
      </w:pPr>
      <w:rPr>
        <w:rFonts w:ascii="Arial" w:hAnsi="Arial" w:hint="default"/>
      </w:rPr>
    </w:lvl>
    <w:lvl w:ilvl="2" w:tplc="56EC0496" w:tentative="1">
      <w:start w:val="1"/>
      <w:numFmt w:val="bullet"/>
      <w:lvlText w:val="•"/>
      <w:lvlJc w:val="left"/>
      <w:pPr>
        <w:tabs>
          <w:tab w:val="num" w:pos="2160"/>
        </w:tabs>
        <w:ind w:left="2160" w:hanging="360"/>
      </w:pPr>
      <w:rPr>
        <w:rFonts w:ascii="Arial" w:hAnsi="Arial" w:hint="default"/>
      </w:rPr>
    </w:lvl>
    <w:lvl w:ilvl="3" w:tplc="4A840222" w:tentative="1">
      <w:start w:val="1"/>
      <w:numFmt w:val="bullet"/>
      <w:lvlText w:val="•"/>
      <w:lvlJc w:val="left"/>
      <w:pPr>
        <w:tabs>
          <w:tab w:val="num" w:pos="2880"/>
        </w:tabs>
        <w:ind w:left="2880" w:hanging="360"/>
      </w:pPr>
      <w:rPr>
        <w:rFonts w:ascii="Arial" w:hAnsi="Arial" w:hint="default"/>
      </w:rPr>
    </w:lvl>
    <w:lvl w:ilvl="4" w:tplc="1ADCEC82" w:tentative="1">
      <w:start w:val="1"/>
      <w:numFmt w:val="bullet"/>
      <w:lvlText w:val="•"/>
      <w:lvlJc w:val="left"/>
      <w:pPr>
        <w:tabs>
          <w:tab w:val="num" w:pos="3600"/>
        </w:tabs>
        <w:ind w:left="3600" w:hanging="360"/>
      </w:pPr>
      <w:rPr>
        <w:rFonts w:ascii="Arial" w:hAnsi="Arial" w:hint="default"/>
      </w:rPr>
    </w:lvl>
    <w:lvl w:ilvl="5" w:tplc="C92C440C" w:tentative="1">
      <w:start w:val="1"/>
      <w:numFmt w:val="bullet"/>
      <w:lvlText w:val="•"/>
      <w:lvlJc w:val="left"/>
      <w:pPr>
        <w:tabs>
          <w:tab w:val="num" w:pos="4320"/>
        </w:tabs>
        <w:ind w:left="4320" w:hanging="360"/>
      </w:pPr>
      <w:rPr>
        <w:rFonts w:ascii="Arial" w:hAnsi="Arial" w:hint="default"/>
      </w:rPr>
    </w:lvl>
    <w:lvl w:ilvl="6" w:tplc="099A94E4" w:tentative="1">
      <w:start w:val="1"/>
      <w:numFmt w:val="bullet"/>
      <w:lvlText w:val="•"/>
      <w:lvlJc w:val="left"/>
      <w:pPr>
        <w:tabs>
          <w:tab w:val="num" w:pos="5040"/>
        </w:tabs>
        <w:ind w:left="5040" w:hanging="360"/>
      </w:pPr>
      <w:rPr>
        <w:rFonts w:ascii="Arial" w:hAnsi="Arial" w:hint="default"/>
      </w:rPr>
    </w:lvl>
    <w:lvl w:ilvl="7" w:tplc="9CEC95AE" w:tentative="1">
      <w:start w:val="1"/>
      <w:numFmt w:val="bullet"/>
      <w:lvlText w:val="•"/>
      <w:lvlJc w:val="left"/>
      <w:pPr>
        <w:tabs>
          <w:tab w:val="num" w:pos="5760"/>
        </w:tabs>
        <w:ind w:left="5760" w:hanging="360"/>
      </w:pPr>
      <w:rPr>
        <w:rFonts w:ascii="Arial" w:hAnsi="Arial" w:hint="default"/>
      </w:rPr>
    </w:lvl>
    <w:lvl w:ilvl="8" w:tplc="B69C341E" w:tentative="1">
      <w:start w:val="1"/>
      <w:numFmt w:val="bullet"/>
      <w:lvlText w:val="•"/>
      <w:lvlJc w:val="left"/>
      <w:pPr>
        <w:tabs>
          <w:tab w:val="num" w:pos="6480"/>
        </w:tabs>
        <w:ind w:left="6480" w:hanging="360"/>
      </w:pPr>
      <w:rPr>
        <w:rFonts w:ascii="Arial" w:hAnsi="Arial" w:hint="default"/>
      </w:rPr>
    </w:lvl>
  </w:abstractNum>
  <w:abstractNum w:abstractNumId="1">
    <w:nsid w:val="5BCE3886"/>
    <w:multiLevelType w:val="multilevel"/>
    <w:tmpl w:val="4802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s>
  <w:rsids>
    <w:rsidRoot w:val="00573084"/>
    <w:rsid w:val="00001243"/>
    <w:rsid w:val="00001E10"/>
    <w:rsid w:val="000101E4"/>
    <w:rsid w:val="000104B2"/>
    <w:rsid w:val="000207A3"/>
    <w:rsid w:val="00022CC3"/>
    <w:rsid w:val="00022CC9"/>
    <w:rsid w:val="00026298"/>
    <w:rsid w:val="00035651"/>
    <w:rsid w:val="00035ACF"/>
    <w:rsid w:val="0004641F"/>
    <w:rsid w:val="00047149"/>
    <w:rsid w:val="00052672"/>
    <w:rsid w:val="00053198"/>
    <w:rsid w:val="00053471"/>
    <w:rsid w:val="000607A9"/>
    <w:rsid w:val="00060F97"/>
    <w:rsid w:val="00061D7F"/>
    <w:rsid w:val="00062823"/>
    <w:rsid w:val="000710B4"/>
    <w:rsid w:val="0007226F"/>
    <w:rsid w:val="00074BC6"/>
    <w:rsid w:val="000771D9"/>
    <w:rsid w:val="0008238D"/>
    <w:rsid w:val="00082631"/>
    <w:rsid w:val="00084722"/>
    <w:rsid w:val="00084EDF"/>
    <w:rsid w:val="000867E2"/>
    <w:rsid w:val="000878F2"/>
    <w:rsid w:val="000924AE"/>
    <w:rsid w:val="000A06F3"/>
    <w:rsid w:val="000A0C8E"/>
    <w:rsid w:val="000A48C9"/>
    <w:rsid w:val="000B6E60"/>
    <w:rsid w:val="000C3A2C"/>
    <w:rsid w:val="000C7DB1"/>
    <w:rsid w:val="000D2A1E"/>
    <w:rsid w:val="000D3B7F"/>
    <w:rsid w:val="000D6A74"/>
    <w:rsid w:val="000E6002"/>
    <w:rsid w:val="000F26B9"/>
    <w:rsid w:val="000F6632"/>
    <w:rsid w:val="00102205"/>
    <w:rsid w:val="001076C1"/>
    <w:rsid w:val="001113C7"/>
    <w:rsid w:val="0011557E"/>
    <w:rsid w:val="001178C0"/>
    <w:rsid w:val="00122A17"/>
    <w:rsid w:val="00124E8F"/>
    <w:rsid w:val="001256AC"/>
    <w:rsid w:val="001315AC"/>
    <w:rsid w:val="00131C0E"/>
    <w:rsid w:val="0013441A"/>
    <w:rsid w:val="00136525"/>
    <w:rsid w:val="00141A71"/>
    <w:rsid w:val="00145CCC"/>
    <w:rsid w:val="001515C2"/>
    <w:rsid w:val="00151BDB"/>
    <w:rsid w:val="001607D9"/>
    <w:rsid w:val="001627C4"/>
    <w:rsid w:val="00162C01"/>
    <w:rsid w:val="00164280"/>
    <w:rsid w:val="001649FF"/>
    <w:rsid w:val="001738F0"/>
    <w:rsid w:val="0019512F"/>
    <w:rsid w:val="001961AA"/>
    <w:rsid w:val="00197974"/>
    <w:rsid w:val="001A1728"/>
    <w:rsid w:val="001A7C20"/>
    <w:rsid w:val="001B68CE"/>
    <w:rsid w:val="001C02B6"/>
    <w:rsid w:val="001C1B9F"/>
    <w:rsid w:val="001C6051"/>
    <w:rsid w:val="001D4155"/>
    <w:rsid w:val="001D7ED1"/>
    <w:rsid w:val="001E09DF"/>
    <w:rsid w:val="001E229B"/>
    <w:rsid w:val="001E3F14"/>
    <w:rsid w:val="001E46DD"/>
    <w:rsid w:val="001E5C1A"/>
    <w:rsid w:val="001F0A90"/>
    <w:rsid w:val="001F2F8C"/>
    <w:rsid w:val="001F6A45"/>
    <w:rsid w:val="002070FE"/>
    <w:rsid w:val="00210CA1"/>
    <w:rsid w:val="002233E4"/>
    <w:rsid w:val="002253AF"/>
    <w:rsid w:val="00235222"/>
    <w:rsid w:val="00237950"/>
    <w:rsid w:val="0024020A"/>
    <w:rsid w:val="00243082"/>
    <w:rsid w:val="002436F3"/>
    <w:rsid w:val="002460D7"/>
    <w:rsid w:val="0025047D"/>
    <w:rsid w:val="0025100C"/>
    <w:rsid w:val="002518DC"/>
    <w:rsid w:val="00251BAE"/>
    <w:rsid w:val="002536BB"/>
    <w:rsid w:val="002547EA"/>
    <w:rsid w:val="00255972"/>
    <w:rsid w:val="0026120A"/>
    <w:rsid w:val="002650A2"/>
    <w:rsid w:val="00267835"/>
    <w:rsid w:val="0027236C"/>
    <w:rsid w:val="00274B5D"/>
    <w:rsid w:val="002757FD"/>
    <w:rsid w:val="00276BA2"/>
    <w:rsid w:val="00277FAB"/>
    <w:rsid w:val="0028315B"/>
    <w:rsid w:val="00283305"/>
    <w:rsid w:val="00283E89"/>
    <w:rsid w:val="002841C1"/>
    <w:rsid w:val="00285EB7"/>
    <w:rsid w:val="0029183F"/>
    <w:rsid w:val="00291F2F"/>
    <w:rsid w:val="002976F5"/>
    <w:rsid w:val="002976FA"/>
    <w:rsid w:val="002A226A"/>
    <w:rsid w:val="002C2150"/>
    <w:rsid w:val="002C2DE8"/>
    <w:rsid w:val="002D5312"/>
    <w:rsid w:val="002F038C"/>
    <w:rsid w:val="002F2CD2"/>
    <w:rsid w:val="00304006"/>
    <w:rsid w:val="0030425D"/>
    <w:rsid w:val="00305330"/>
    <w:rsid w:val="003138EB"/>
    <w:rsid w:val="00316AB4"/>
    <w:rsid w:val="00321A29"/>
    <w:rsid w:val="003224D1"/>
    <w:rsid w:val="003247A1"/>
    <w:rsid w:val="00325051"/>
    <w:rsid w:val="00327C40"/>
    <w:rsid w:val="00327DBE"/>
    <w:rsid w:val="003302F0"/>
    <w:rsid w:val="003357F5"/>
    <w:rsid w:val="003450FB"/>
    <w:rsid w:val="0035120A"/>
    <w:rsid w:val="003538F9"/>
    <w:rsid w:val="00361631"/>
    <w:rsid w:val="0036773D"/>
    <w:rsid w:val="00367A57"/>
    <w:rsid w:val="00370F78"/>
    <w:rsid w:val="003730BC"/>
    <w:rsid w:val="003779EF"/>
    <w:rsid w:val="00380A59"/>
    <w:rsid w:val="00381615"/>
    <w:rsid w:val="0038634D"/>
    <w:rsid w:val="0039201C"/>
    <w:rsid w:val="00394157"/>
    <w:rsid w:val="00394B05"/>
    <w:rsid w:val="00394FAE"/>
    <w:rsid w:val="00397BC2"/>
    <w:rsid w:val="003A0438"/>
    <w:rsid w:val="003A44F0"/>
    <w:rsid w:val="003A56DB"/>
    <w:rsid w:val="003A62AA"/>
    <w:rsid w:val="003B0DFF"/>
    <w:rsid w:val="003B2154"/>
    <w:rsid w:val="003B7972"/>
    <w:rsid w:val="003C34BD"/>
    <w:rsid w:val="003C405D"/>
    <w:rsid w:val="003C5FAC"/>
    <w:rsid w:val="003D054F"/>
    <w:rsid w:val="003D27E8"/>
    <w:rsid w:val="003D6F74"/>
    <w:rsid w:val="003E1BBA"/>
    <w:rsid w:val="003E773C"/>
    <w:rsid w:val="003F5356"/>
    <w:rsid w:val="00400405"/>
    <w:rsid w:val="00401BB2"/>
    <w:rsid w:val="00401ED5"/>
    <w:rsid w:val="004117A1"/>
    <w:rsid w:val="00412D99"/>
    <w:rsid w:val="00415BF5"/>
    <w:rsid w:val="00420BD7"/>
    <w:rsid w:val="0042397F"/>
    <w:rsid w:val="004243B4"/>
    <w:rsid w:val="00426DCE"/>
    <w:rsid w:val="0045052D"/>
    <w:rsid w:val="004519A4"/>
    <w:rsid w:val="0045337C"/>
    <w:rsid w:val="0045354C"/>
    <w:rsid w:val="00461A87"/>
    <w:rsid w:val="0046221D"/>
    <w:rsid w:val="00481D72"/>
    <w:rsid w:val="00486095"/>
    <w:rsid w:val="00487D8B"/>
    <w:rsid w:val="00492873"/>
    <w:rsid w:val="00494DC3"/>
    <w:rsid w:val="004978F8"/>
    <w:rsid w:val="004B0A79"/>
    <w:rsid w:val="004B1997"/>
    <w:rsid w:val="004B4563"/>
    <w:rsid w:val="004B4BF0"/>
    <w:rsid w:val="004B50B6"/>
    <w:rsid w:val="004B5674"/>
    <w:rsid w:val="004C2739"/>
    <w:rsid w:val="004C4DA2"/>
    <w:rsid w:val="004D59AA"/>
    <w:rsid w:val="004E02BC"/>
    <w:rsid w:val="004E14F1"/>
    <w:rsid w:val="004E1D52"/>
    <w:rsid w:val="004E1F3C"/>
    <w:rsid w:val="004E4C27"/>
    <w:rsid w:val="004F1933"/>
    <w:rsid w:val="004F44EC"/>
    <w:rsid w:val="004F4813"/>
    <w:rsid w:val="004F6869"/>
    <w:rsid w:val="0050008E"/>
    <w:rsid w:val="005004D7"/>
    <w:rsid w:val="00510584"/>
    <w:rsid w:val="005152C2"/>
    <w:rsid w:val="00520974"/>
    <w:rsid w:val="00521084"/>
    <w:rsid w:val="00522AD4"/>
    <w:rsid w:val="00524543"/>
    <w:rsid w:val="0052742E"/>
    <w:rsid w:val="00530F7B"/>
    <w:rsid w:val="005332F5"/>
    <w:rsid w:val="0053767E"/>
    <w:rsid w:val="005503E5"/>
    <w:rsid w:val="0055122C"/>
    <w:rsid w:val="00551D60"/>
    <w:rsid w:val="00553524"/>
    <w:rsid w:val="00562C23"/>
    <w:rsid w:val="005658B2"/>
    <w:rsid w:val="00565A74"/>
    <w:rsid w:val="00565A96"/>
    <w:rsid w:val="00571929"/>
    <w:rsid w:val="00573084"/>
    <w:rsid w:val="00573A86"/>
    <w:rsid w:val="00576B21"/>
    <w:rsid w:val="00581E47"/>
    <w:rsid w:val="005932C8"/>
    <w:rsid w:val="005A0DC8"/>
    <w:rsid w:val="005A2135"/>
    <w:rsid w:val="005B2ABF"/>
    <w:rsid w:val="005B3F94"/>
    <w:rsid w:val="005C4BB2"/>
    <w:rsid w:val="005C767A"/>
    <w:rsid w:val="005D06C0"/>
    <w:rsid w:val="005E09E2"/>
    <w:rsid w:val="005E29B0"/>
    <w:rsid w:val="005E41C0"/>
    <w:rsid w:val="005E4D35"/>
    <w:rsid w:val="005F194B"/>
    <w:rsid w:val="005F2C6F"/>
    <w:rsid w:val="005F755F"/>
    <w:rsid w:val="006020B3"/>
    <w:rsid w:val="00602909"/>
    <w:rsid w:val="00603067"/>
    <w:rsid w:val="00606133"/>
    <w:rsid w:val="006115D3"/>
    <w:rsid w:val="00611A24"/>
    <w:rsid w:val="00614877"/>
    <w:rsid w:val="00614B2D"/>
    <w:rsid w:val="00620CED"/>
    <w:rsid w:val="00624046"/>
    <w:rsid w:val="006359DE"/>
    <w:rsid w:val="00637031"/>
    <w:rsid w:val="0064050E"/>
    <w:rsid w:val="006458CD"/>
    <w:rsid w:val="00652DDD"/>
    <w:rsid w:val="006742C5"/>
    <w:rsid w:val="00674ADD"/>
    <w:rsid w:val="006763E4"/>
    <w:rsid w:val="006825E1"/>
    <w:rsid w:val="00684770"/>
    <w:rsid w:val="00684983"/>
    <w:rsid w:val="0069497F"/>
    <w:rsid w:val="006978F7"/>
    <w:rsid w:val="006A568E"/>
    <w:rsid w:val="006A6C9A"/>
    <w:rsid w:val="006B0907"/>
    <w:rsid w:val="006B0C43"/>
    <w:rsid w:val="006B1005"/>
    <w:rsid w:val="006B21B6"/>
    <w:rsid w:val="006B4735"/>
    <w:rsid w:val="006B615F"/>
    <w:rsid w:val="006C1809"/>
    <w:rsid w:val="006C337D"/>
    <w:rsid w:val="006C70BD"/>
    <w:rsid w:val="006D29F0"/>
    <w:rsid w:val="006D3666"/>
    <w:rsid w:val="006E0D11"/>
    <w:rsid w:val="006E3A3F"/>
    <w:rsid w:val="006F1217"/>
    <w:rsid w:val="006F23F3"/>
    <w:rsid w:val="006F4B39"/>
    <w:rsid w:val="0071264D"/>
    <w:rsid w:val="0071547C"/>
    <w:rsid w:val="00715976"/>
    <w:rsid w:val="00720BBF"/>
    <w:rsid w:val="00721F84"/>
    <w:rsid w:val="00735991"/>
    <w:rsid w:val="00741735"/>
    <w:rsid w:val="00744344"/>
    <w:rsid w:val="00746D19"/>
    <w:rsid w:val="00757706"/>
    <w:rsid w:val="00763A58"/>
    <w:rsid w:val="00764DE1"/>
    <w:rsid w:val="00765997"/>
    <w:rsid w:val="00765FD4"/>
    <w:rsid w:val="007701F2"/>
    <w:rsid w:val="00773353"/>
    <w:rsid w:val="00781281"/>
    <w:rsid w:val="007816E0"/>
    <w:rsid w:val="00785605"/>
    <w:rsid w:val="00793E79"/>
    <w:rsid w:val="007951D7"/>
    <w:rsid w:val="007969FC"/>
    <w:rsid w:val="007A0D21"/>
    <w:rsid w:val="007A2108"/>
    <w:rsid w:val="007A26D6"/>
    <w:rsid w:val="007A2B6B"/>
    <w:rsid w:val="007B2748"/>
    <w:rsid w:val="007B2EA9"/>
    <w:rsid w:val="007B5CE0"/>
    <w:rsid w:val="007C0B95"/>
    <w:rsid w:val="007C1BD2"/>
    <w:rsid w:val="007C2732"/>
    <w:rsid w:val="007C3183"/>
    <w:rsid w:val="007C5105"/>
    <w:rsid w:val="007C7944"/>
    <w:rsid w:val="007D30BF"/>
    <w:rsid w:val="007D47B0"/>
    <w:rsid w:val="007D68DC"/>
    <w:rsid w:val="007D7C62"/>
    <w:rsid w:val="007E195E"/>
    <w:rsid w:val="007E1B5E"/>
    <w:rsid w:val="007F0333"/>
    <w:rsid w:val="00811C4D"/>
    <w:rsid w:val="00813F10"/>
    <w:rsid w:val="00826630"/>
    <w:rsid w:val="0082668D"/>
    <w:rsid w:val="00827117"/>
    <w:rsid w:val="008457D5"/>
    <w:rsid w:val="00851903"/>
    <w:rsid w:val="0085424C"/>
    <w:rsid w:val="0085712B"/>
    <w:rsid w:val="00857CA5"/>
    <w:rsid w:val="00863936"/>
    <w:rsid w:val="00863D50"/>
    <w:rsid w:val="00867DB5"/>
    <w:rsid w:val="00871209"/>
    <w:rsid w:val="00873B88"/>
    <w:rsid w:val="0088149C"/>
    <w:rsid w:val="0089282D"/>
    <w:rsid w:val="00892A9A"/>
    <w:rsid w:val="00892FF3"/>
    <w:rsid w:val="008A0AD9"/>
    <w:rsid w:val="008A1E1E"/>
    <w:rsid w:val="008A31E8"/>
    <w:rsid w:val="008A4E99"/>
    <w:rsid w:val="008B378B"/>
    <w:rsid w:val="008B6173"/>
    <w:rsid w:val="008B6B3F"/>
    <w:rsid w:val="008C48B9"/>
    <w:rsid w:val="008C4FC2"/>
    <w:rsid w:val="008E42A1"/>
    <w:rsid w:val="008E4EDC"/>
    <w:rsid w:val="008E5B73"/>
    <w:rsid w:val="008F0CBE"/>
    <w:rsid w:val="008F7072"/>
    <w:rsid w:val="00903E82"/>
    <w:rsid w:val="00904A1C"/>
    <w:rsid w:val="009063F6"/>
    <w:rsid w:val="0091229E"/>
    <w:rsid w:val="0091746C"/>
    <w:rsid w:val="009209BB"/>
    <w:rsid w:val="009276A5"/>
    <w:rsid w:val="009332C8"/>
    <w:rsid w:val="00936F9E"/>
    <w:rsid w:val="0096376A"/>
    <w:rsid w:val="00964398"/>
    <w:rsid w:val="00966A86"/>
    <w:rsid w:val="00970D99"/>
    <w:rsid w:val="009740E8"/>
    <w:rsid w:val="00975733"/>
    <w:rsid w:val="009775AA"/>
    <w:rsid w:val="00990085"/>
    <w:rsid w:val="009961BA"/>
    <w:rsid w:val="00997795"/>
    <w:rsid w:val="009A2FA1"/>
    <w:rsid w:val="009A64EA"/>
    <w:rsid w:val="009C59E7"/>
    <w:rsid w:val="009C694B"/>
    <w:rsid w:val="009C6CCE"/>
    <w:rsid w:val="009E341D"/>
    <w:rsid w:val="009E5243"/>
    <w:rsid w:val="009E5F71"/>
    <w:rsid w:val="009F201F"/>
    <w:rsid w:val="009F50BF"/>
    <w:rsid w:val="00A0220C"/>
    <w:rsid w:val="00A062C0"/>
    <w:rsid w:val="00A107AB"/>
    <w:rsid w:val="00A1440C"/>
    <w:rsid w:val="00A24225"/>
    <w:rsid w:val="00A2771E"/>
    <w:rsid w:val="00A311ED"/>
    <w:rsid w:val="00A314C9"/>
    <w:rsid w:val="00A421D1"/>
    <w:rsid w:val="00A501EE"/>
    <w:rsid w:val="00A5410B"/>
    <w:rsid w:val="00A65B21"/>
    <w:rsid w:val="00A671AF"/>
    <w:rsid w:val="00A67686"/>
    <w:rsid w:val="00A7216E"/>
    <w:rsid w:val="00A770DF"/>
    <w:rsid w:val="00A8031C"/>
    <w:rsid w:val="00A80FD3"/>
    <w:rsid w:val="00A85DA1"/>
    <w:rsid w:val="00AA12CB"/>
    <w:rsid w:val="00AA22E2"/>
    <w:rsid w:val="00AA30DB"/>
    <w:rsid w:val="00AA4EBF"/>
    <w:rsid w:val="00AA547D"/>
    <w:rsid w:val="00AA62E8"/>
    <w:rsid w:val="00AB1495"/>
    <w:rsid w:val="00AB3589"/>
    <w:rsid w:val="00AB5EDF"/>
    <w:rsid w:val="00AB622C"/>
    <w:rsid w:val="00AE2FB3"/>
    <w:rsid w:val="00AE3EE0"/>
    <w:rsid w:val="00AE4643"/>
    <w:rsid w:val="00AF1351"/>
    <w:rsid w:val="00AF1895"/>
    <w:rsid w:val="00AF56CA"/>
    <w:rsid w:val="00B03E09"/>
    <w:rsid w:val="00B04148"/>
    <w:rsid w:val="00B053A8"/>
    <w:rsid w:val="00B06AF9"/>
    <w:rsid w:val="00B10A0C"/>
    <w:rsid w:val="00B13394"/>
    <w:rsid w:val="00B14265"/>
    <w:rsid w:val="00B174CE"/>
    <w:rsid w:val="00B202FE"/>
    <w:rsid w:val="00B26BA0"/>
    <w:rsid w:val="00B32057"/>
    <w:rsid w:val="00B32BA7"/>
    <w:rsid w:val="00B3335D"/>
    <w:rsid w:val="00B3606A"/>
    <w:rsid w:val="00B40C9E"/>
    <w:rsid w:val="00B442A3"/>
    <w:rsid w:val="00B56243"/>
    <w:rsid w:val="00B6504C"/>
    <w:rsid w:val="00B6584E"/>
    <w:rsid w:val="00B6732A"/>
    <w:rsid w:val="00B753D1"/>
    <w:rsid w:val="00B76BCC"/>
    <w:rsid w:val="00B82403"/>
    <w:rsid w:val="00B8626B"/>
    <w:rsid w:val="00B91ADD"/>
    <w:rsid w:val="00B9341E"/>
    <w:rsid w:val="00B97655"/>
    <w:rsid w:val="00BA1B38"/>
    <w:rsid w:val="00BA244D"/>
    <w:rsid w:val="00BA245D"/>
    <w:rsid w:val="00BA6E03"/>
    <w:rsid w:val="00BB042C"/>
    <w:rsid w:val="00BB1998"/>
    <w:rsid w:val="00BB28CC"/>
    <w:rsid w:val="00BC2DDD"/>
    <w:rsid w:val="00BC375F"/>
    <w:rsid w:val="00BC3BC0"/>
    <w:rsid w:val="00BC3F19"/>
    <w:rsid w:val="00BC55E6"/>
    <w:rsid w:val="00BD2F68"/>
    <w:rsid w:val="00BD4238"/>
    <w:rsid w:val="00BD4CD4"/>
    <w:rsid w:val="00BD5340"/>
    <w:rsid w:val="00BD7930"/>
    <w:rsid w:val="00BE13E9"/>
    <w:rsid w:val="00BE4629"/>
    <w:rsid w:val="00BE4D11"/>
    <w:rsid w:val="00BE6F39"/>
    <w:rsid w:val="00BF025E"/>
    <w:rsid w:val="00BF229E"/>
    <w:rsid w:val="00BF5821"/>
    <w:rsid w:val="00C00F19"/>
    <w:rsid w:val="00C028E4"/>
    <w:rsid w:val="00C14376"/>
    <w:rsid w:val="00C14BCC"/>
    <w:rsid w:val="00C14C71"/>
    <w:rsid w:val="00C23D8C"/>
    <w:rsid w:val="00C336FA"/>
    <w:rsid w:val="00C35577"/>
    <w:rsid w:val="00C36D8A"/>
    <w:rsid w:val="00C3752C"/>
    <w:rsid w:val="00C41308"/>
    <w:rsid w:val="00C53131"/>
    <w:rsid w:val="00C55694"/>
    <w:rsid w:val="00C5591C"/>
    <w:rsid w:val="00C67E2F"/>
    <w:rsid w:val="00C67FB0"/>
    <w:rsid w:val="00C722EA"/>
    <w:rsid w:val="00C7634E"/>
    <w:rsid w:val="00C826A9"/>
    <w:rsid w:val="00C86046"/>
    <w:rsid w:val="00C94D13"/>
    <w:rsid w:val="00C979CA"/>
    <w:rsid w:val="00CA0A54"/>
    <w:rsid w:val="00CA25FA"/>
    <w:rsid w:val="00CA6E4B"/>
    <w:rsid w:val="00CB52A1"/>
    <w:rsid w:val="00CB5CE6"/>
    <w:rsid w:val="00CB6D45"/>
    <w:rsid w:val="00CC64E1"/>
    <w:rsid w:val="00CD1107"/>
    <w:rsid w:val="00CE088B"/>
    <w:rsid w:val="00CE77D2"/>
    <w:rsid w:val="00CF19B7"/>
    <w:rsid w:val="00CF5B56"/>
    <w:rsid w:val="00CF5E4F"/>
    <w:rsid w:val="00D0157A"/>
    <w:rsid w:val="00D025FC"/>
    <w:rsid w:val="00D11F20"/>
    <w:rsid w:val="00D14CCB"/>
    <w:rsid w:val="00D26EB3"/>
    <w:rsid w:val="00D27B63"/>
    <w:rsid w:val="00D419EA"/>
    <w:rsid w:val="00D42989"/>
    <w:rsid w:val="00D436BF"/>
    <w:rsid w:val="00D450BD"/>
    <w:rsid w:val="00D533EA"/>
    <w:rsid w:val="00D54F57"/>
    <w:rsid w:val="00D57A6E"/>
    <w:rsid w:val="00D624B0"/>
    <w:rsid w:val="00D627BB"/>
    <w:rsid w:val="00D63AEF"/>
    <w:rsid w:val="00D703DA"/>
    <w:rsid w:val="00D715E1"/>
    <w:rsid w:val="00D77289"/>
    <w:rsid w:val="00D77540"/>
    <w:rsid w:val="00D7762B"/>
    <w:rsid w:val="00D7766C"/>
    <w:rsid w:val="00D77ED7"/>
    <w:rsid w:val="00D80634"/>
    <w:rsid w:val="00D84C3D"/>
    <w:rsid w:val="00D85A28"/>
    <w:rsid w:val="00D9150D"/>
    <w:rsid w:val="00D917C2"/>
    <w:rsid w:val="00DA10A3"/>
    <w:rsid w:val="00DA4968"/>
    <w:rsid w:val="00DA4AC1"/>
    <w:rsid w:val="00DB32C4"/>
    <w:rsid w:val="00DB4528"/>
    <w:rsid w:val="00DB6F3B"/>
    <w:rsid w:val="00DC2914"/>
    <w:rsid w:val="00DC70F8"/>
    <w:rsid w:val="00DD0D5D"/>
    <w:rsid w:val="00DD5214"/>
    <w:rsid w:val="00DD7AE0"/>
    <w:rsid w:val="00DE0C5D"/>
    <w:rsid w:val="00DF2FA3"/>
    <w:rsid w:val="00DF49C2"/>
    <w:rsid w:val="00DF53B3"/>
    <w:rsid w:val="00E02CC4"/>
    <w:rsid w:val="00E10F8B"/>
    <w:rsid w:val="00E1110A"/>
    <w:rsid w:val="00E11AE8"/>
    <w:rsid w:val="00E15017"/>
    <w:rsid w:val="00E15368"/>
    <w:rsid w:val="00E21F1C"/>
    <w:rsid w:val="00E229EA"/>
    <w:rsid w:val="00E25EA0"/>
    <w:rsid w:val="00E32D74"/>
    <w:rsid w:val="00E34101"/>
    <w:rsid w:val="00E352DD"/>
    <w:rsid w:val="00E42185"/>
    <w:rsid w:val="00E44756"/>
    <w:rsid w:val="00E44D46"/>
    <w:rsid w:val="00E50875"/>
    <w:rsid w:val="00E531CE"/>
    <w:rsid w:val="00E63E3A"/>
    <w:rsid w:val="00E741B3"/>
    <w:rsid w:val="00E81B28"/>
    <w:rsid w:val="00E85950"/>
    <w:rsid w:val="00E95223"/>
    <w:rsid w:val="00E95DA7"/>
    <w:rsid w:val="00EA2F97"/>
    <w:rsid w:val="00EA6C64"/>
    <w:rsid w:val="00EA7EE2"/>
    <w:rsid w:val="00EC129E"/>
    <w:rsid w:val="00EC234D"/>
    <w:rsid w:val="00EC4874"/>
    <w:rsid w:val="00EC7967"/>
    <w:rsid w:val="00ED183D"/>
    <w:rsid w:val="00ED44E1"/>
    <w:rsid w:val="00EE15E0"/>
    <w:rsid w:val="00EE277E"/>
    <w:rsid w:val="00EE47E2"/>
    <w:rsid w:val="00EE508F"/>
    <w:rsid w:val="00EE53F0"/>
    <w:rsid w:val="00EE6D10"/>
    <w:rsid w:val="00F02ABA"/>
    <w:rsid w:val="00F055AF"/>
    <w:rsid w:val="00F1060B"/>
    <w:rsid w:val="00F17E38"/>
    <w:rsid w:val="00F23812"/>
    <w:rsid w:val="00F26372"/>
    <w:rsid w:val="00F27F9A"/>
    <w:rsid w:val="00F368E2"/>
    <w:rsid w:val="00F53D85"/>
    <w:rsid w:val="00F602CE"/>
    <w:rsid w:val="00F67D39"/>
    <w:rsid w:val="00F70B59"/>
    <w:rsid w:val="00F746D8"/>
    <w:rsid w:val="00F777C7"/>
    <w:rsid w:val="00F81EA1"/>
    <w:rsid w:val="00F83ADD"/>
    <w:rsid w:val="00F90B12"/>
    <w:rsid w:val="00F93294"/>
    <w:rsid w:val="00F93405"/>
    <w:rsid w:val="00F96B5E"/>
    <w:rsid w:val="00F974AB"/>
    <w:rsid w:val="00FB20A3"/>
    <w:rsid w:val="00FB2E0E"/>
    <w:rsid w:val="00FB4E7B"/>
    <w:rsid w:val="00FB5557"/>
    <w:rsid w:val="00FB6DC1"/>
    <w:rsid w:val="00FC07E4"/>
    <w:rsid w:val="00FC0A5C"/>
    <w:rsid w:val="00FC11EA"/>
    <w:rsid w:val="00FC3AB5"/>
    <w:rsid w:val="00FD7C53"/>
    <w:rsid w:val="00FE1ACF"/>
    <w:rsid w:val="00FE5A6A"/>
    <w:rsid w:val="00FF16A9"/>
    <w:rsid w:val="00FF55AE"/>
    <w:rsid w:val="00FF78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912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73084"/>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uiPriority w:val="9"/>
    <w:qFormat/>
    <w:rsid w:val="00975733"/>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outlineLvl w:val="0"/>
    </w:pPr>
    <w:rPr>
      <w:rFonts w:asciiTheme="majorHAnsi" w:eastAsiaTheme="majorEastAsia" w:hAnsiTheme="majorHAnsi" w:cstheme="majorBidi"/>
      <w:b/>
      <w:bCs/>
      <w:color w:val="345A8A" w:themeColor="accent1" w:themeShade="B5"/>
      <w:sz w:val="32"/>
      <w:szCs w:val="3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73084"/>
    <w:pPr>
      <w:pBdr>
        <w:top w:val="nil"/>
        <w:left w:val="nil"/>
        <w:bottom w:val="nil"/>
        <w:right w:val="nil"/>
        <w:between w:val="nil"/>
        <w:bar w:val="nil"/>
      </w:pBdr>
    </w:pPr>
    <w:rPr>
      <w:rFonts w:ascii="Cambria" w:eastAsia="Cambria" w:hAnsi="Cambria" w:cs="Cambria"/>
      <w:color w:val="000000"/>
      <w:u w:color="000000"/>
      <w:bdr w:val="nil"/>
      <w:lang w:val="en-GB" w:eastAsia="en-GB"/>
    </w:rPr>
  </w:style>
  <w:style w:type="character" w:customStyle="1" w:styleId="Hyperlink0">
    <w:name w:val="Hyperlink.0"/>
    <w:basedOn w:val="DefaultParagraphFont"/>
    <w:rsid w:val="00573084"/>
    <w:rPr>
      <w:rFonts w:ascii="Calibri" w:eastAsia="Calibri" w:hAnsi="Calibri" w:cs="Calibri"/>
      <w:vertAlign w:val="superscript"/>
    </w:rPr>
  </w:style>
  <w:style w:type="character" w:customStyle="1" w:styleId="Hyperlink1">
    <w:name w:val="Hyperlink.1"/>
    <w:basedOn w:val="DefaultParagraphFont"/>
    <w:rsid w:val="00573084"/>
    <w:rPr>
      <w:rFonts w:ascii="Calibri" w:eastAsia="Calibri" w:hAnsi="Calibri" w:cs="Calibri"/>
      <w:color w:val="0000FF"/>
      <w:u w:val="single" w:color="0000FF"/>
    </w:rPr>
  </w:style>
  <w:style w:type="table" w:styleId="MediumGrid2-Accent1">
    <w:name w:val="Medium Grid 2 Accent 1"/>
    <w:basedOn w:val="TableNormal"/>
    <w:uiPriority w:val="68"/>
    <w:rsid w:val="00573084"/>
    <w:pPr>
      <w:pBdr>
        <w:top w:val="nil"/>
        <w:left w:val="nil"/>
        <w:bottom w:val="nil"/>
        <w:right w:val="nil"/>
        <w:between w:val="nil"/>
        <w:bar w:val="nil"/>
      </w:pBdr>
    </w:pPr>
    <w:rPr>
      <w:rFonts w:asciiTheme="majorHAnsi" w:eastAsiaTheme="majorEastAsia" w:hAnsiTheme="majorHAnsi" w:cstheme="majorBidi"/>
      <w:color w:val="000000" w:themeColor="text1"/>
      <w:sz w:val="20"/>
      <w:szCs w:val="20"/>
      <w:bdr w:val="nil"/>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olorfulGrid-Accent5">
    <w:name w:val="Colorful Grid Accent 5"/>
    <w:basedOn w:val="TableNormal"/>
    <w:uiPriority w:val="73"/>
    <w:rsid w:val="00573084"/>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BalloonText">
    <w:name w:val="Balloon Text"/>
    <w:basedOn w:val="Normal"/>
    <w:link w:val="BalloonTextChar"/>
    <w:uiPriority w:val="99"/>
    <w:semiHidden/>
    <w:unhideWhenUsed/>
    <w:rsid w:val="007A0D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0D21"/>
    <w:rPr>
      <w:rFonts w:ascii="Lucida Grande" w:eastAsia="Arial Unicode MS" w:hAnsi="Lucida Grande" w:cs="Lucida Grande"/>
      <w:sz w:val="18"/>
      <w:szCs w:val="18"/>
      <w:bdr w:val="nil"/>
    </w:rPr>
  </w:style>
  <w:style w:type="character" w:customStyle="1" w:styleId="Hyperlink2">
    <w:name w:val="Hyperlink.2"/>
    <w:basedOn w:val="DefaultParagraphFont"/>
    <w:rsid w:val="007A0D21"/>
    <w:rPr>
      <w:rFonts w:ascii="Calibri" w:eastAsia="Calibri" w:hAnsi="Calibri" w:cs="Calibri"/>
      <w:color w:val="000000"/>
      <w:u w:color="000000"/>
    </w:rPr>
  </w:style>
  <w:style w:type="paragraph" w:customStyle="1" w:styleId="EndNoteBibliography">
    <w:name w:val="EndNote Bibliography"/>
    <w:basedOn w:val="Normal"/>
    <w:rsid w:val="007A0D21"/>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Theme="minorEastAsia" w:hAnsi="Cambria" w:cstheme="minorBidi"/>
      <w:bdr w:val="none" w:sz="0" w:space="0" w:color="auto"/>
    </w:rPr>
  </w:style>
  <w:style w:type="table" w:styleId="ColorfulGrid-Accent1">
    <w:name w:val="Colorful Grid Accent 1"/>
    <w:basedOn w:val="TableNormal"/>
    <w:uiPriority w:val="73"/>
    <w:rsid w:val="007A0D21"/>
    <w:pPr>
      <w:pBdr>
        <w:top w:val="nil"/>
        <w:left w:val="nil"/>
        <w:bottom w:val="nil"/>
        <w:right w:val="nil"/>
        <w:between w:val="nil"/>
        <w:bar w:val="nil"/>
      </w:pBdr>
    </w:pPr>
    <w:rPr>
      <w:rFonts w:ascii="Times New Roman" w:eastAsia="Arial Unicode MS" w:hAnsi="Times New Roman" w:cs="Times New Roman"/>
      <w:color w:val="000000" w:themeColor="text1"/>
      <w:sz w:val="20"/>
      <w:szCs w:val="20"/>
      <w:bdr w:val="nil"/>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Footer">
    <w:name w:val="footer"/>
    <w:basedOn w:val="Normal"/>
    <w:link w:val="FooterChar"/>
    <w:uiPriority w:val="99"/>
    <w:unhideWhenUsed/>
    <w:rsid w:val="007A0D21"/>
    <w:pPr>
      <w:tabs>
        <w:tab w:val="center" w:pos="4320"/>
        <w:tab w:val="right" w:pos="8640"/>
      </w:tabs>
    </w:pPr>
  </w:style>
  <w:style w:type="character" w:customStyle="1" w:styleId="FooterChar">
    <w:name w:val="Footer Char"/>
    <w:basedOn w:val="DefaultParagraphFont"/>
    <w:link w:val="Footer"/>
    <w:uiPriority w:val="99"/>
    <w:rsid w:val="007A0D21"/>
    <w:rPr>
      <w:rFonts w:ascii="Times New Roman" w:eastAsia="Arial Unicode MS" w:hAnsi="Times New Roman" w:cs="Times New Roman"/>
      <w:bdr w:val="nil"/>
    </w:rPr>
  </w:style>
  <w:style w:type="character" w:styleId="PageNumber">
    <w:name w:val="page number"/>
    <w:basedOn w:val="DefaultParagraphFont"/>
    <w:unhideWhenUsed/>
    <w:rsid w:val="007A0D21"/>
  </w:style>
  <w:style w:type="character" w:styleId="Hyperlink">
    <w:name w:val="Hyperlink"/>
    <w:basedOn w:val="DefaultParagraphFont"/>
    <w:uiPriority w:val="99"/>
    <w:unhideWhenUsed/>
    <w:rsid w:val="00CB6D45"/>
    <w:rPr>
      <w:color w:val="0000FF" w:themeColor="hyperlink"/>
      <w:u w:val="single"/>
    </w:rPr>
  </w:style>
  <w:style w:type="character" w:styleId="CommentReference">
    <w:name w:val="annotation reference"/>
    <w:basedOn w:val="DefaultParagraphFont"/>
    <w:uiPriority w:val="99"/>
    <w:semiHidden/>
    <w:unhideWhenUsed/>
    <w:rsid w:val="002D5312"/>
    <w:rPr>
      <w:sz w:val="16"/>
      <w:szCs w:val="16"/>
    </w:rPr>
  </w:style>
  <w:style w:type="paragraph" w:styleId="CommentText">
    <w:name w:val="annotation text"/>
    <w:basedOn w:val="Normal"/>
    <w:link w:val="CommentTextChar"/>
    <w:uiPriority w:val="99"/>
    <w:semiHidden/>
    <w:unhideWhenUsed/>
    <w:rsid w:val="002D5312"/>
    <w:rPr>
      <w:sz w:val="20"/>
      <w:szCs w:val="20"/>
    </w:rPr>
  </w:style>
  <w:style w:type="character" w:customStyle="1" w:styleId="CommentTextChar">
    <w:name w:val="Comment Text Char"/>
    <w:basedOn w:val="DefaultParagraphFont"/>
    <w:link w:val="CommentText"/>
    <w:uiPriority w:val="99"/>
    <w:semiHidden/>
    <w:rsid w:val="002D5312"/>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2D5312"/>
    <w:rPr>
      <w:b/>
      <w:bCs/>
    </w:rPr>
  </w:style>
  <w:style w:type="character" w:customStyle="1" w:styleId="CommentSubjectChar">
    <w:name w:val="Comment Subject Char"/>
    <w:basedOn w:val="CommentTextChar"/>
    <w:link w:val="CommentSubject"/>
    <w:uiPriority w:val="99"/>
    <w:semiHidden/>
    <w:rsid w:val="002D5312"/>
    <w:rPr>
      <w:rFonts w:ascii="Times New Roman" w:eastAsia="Arial Unicode MS" w:hAnsi="Times New Roman" w:cs="Times New Roman"/>
      <w:b/>
      <w:bCs/>
      <w:sz w:val="20"/>
      <w:szCs w:val="20"/>
      <w:bdr w:val="nil"/>
    </w:rPr>
  </w:style>
  <w:style w:type="paragraph" w:styleId="NormalWeb">
    <w:name w:val="Normal (Web)"/>
    <w:basedOn w:val="Normal"/>
    <w:uiPriority w:val="99"/>
    <w:unhideWhenUsed/>
    <w:rsid w:val="00F746D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EastAsia" w:hAnsi="Times"/>
      <w:sz w:val="20"/>
      <w:szCs w:val="20"/>
      <w:bdr w:val="none" w:sz="0" w:space="0" w:color="auto"/>
      <w:lang w:val="en-GB"/>
    </w:rPr>
  </w:style>
  <w:style w:type="paragraph" w:customStyle="1" w:styleId="EndNoteBibliographyTitle">
    <w:name w:val="EndNote Bibliography Title"/>
    <w:basedOn w:val="Normal"/>
    <w:rsid w:val="00D27B63"/>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Cambria" w:eastAsiaTheme="minorEastAsia" w:hAnsi="Cambria" w:cstheme="minorBidi"/>
      <w:bdr w:val="none" w:sz="0" w:space="0" w:color="auto"/>
    </w:rPr>
  </w:style>
  <w:style w:type="paragraph" w:styleId="Header">
    <w:name w:val="header"/>
    <w:basedOn w:val="Normal"/>
    <w:link w:val="HeaderChar"/>
    <w:uiPriority w:val="99"/>
    <w:unhideWhenUsed/>
    <w:rsid w:val="00D80634"/>
    <w:pPr>
      <w:tabs>
        <w:tab w:val="center" w:pos="4513"/>
        <w:tab w:val="right" w:pos="9026"/>
      </w:tabs>
    </w:pPr>
  </w:style>
  <w:style w:type="character" w:customStyle="1" w:styleId="HeaderChar">
    <w:name w:val="Header Char"/>
    <w:basedOn w:val="DefaultParagraphFont"/>
    <w:link w:val="Header"/>
    <w:uiPriority w:val="99"/>
    <w:rsid w:val="00D80634"/>
    <w:rPr>
      <w:rFonts w:ascii="Times New Roman" w:eastAsia="Arial Unicode MS" w:hAnsi="Times New Roman" w:cs="Times New Roman"/>
      <w:bdr w:val="nil"/>
    </w:rPr>
  </w:style>
  <w:style w:type="character" w:customStyle="1" w:styleId="Heading1Char">
    <w:name w:val="Heading 1 Char"/>
    <w:basedOn w:val="DefaultParagraphFont"/>
    <w:link w:val="Heading1"/>
    <w:uiPriority w:val="9"/>
    <w:rsid w:val="00975733"/>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EA6C64"/>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imes" w:eastAsiaTheme="minorEastAsia" w:hAnsi="Times" w:cstheme="minorBidi"/>
      <w:sz w:val="20"/>
      <w:szCs w:val="20"/>
      <w:bdr w:val="none" w:sz="0" w:space="0" w:color="auto"/>
      <w:lang w:val="en-GB"/>
    </w:rPr>
  </w:style>
  <w:style w:type="paragraph" w:customStyle="1" w:styleId="Default">
    <w:name w:val="Default"/>
    <w:rsid w:val="009A2FA1"/>
    <w:pPr>
      <w:pBdr>
        <w:top w:val="nil"/>
        <w:left w:val="nil"/>
        <w:bottom w:val="nil"/>
        <w:right w:val="nil"/>
        <w:between w:val="nil"/>
        <w:bar w:val="nil"/>
      </w:pBdr>
    </w:pPr>
    <w:rPr>
      <w:rFonts w:ascii="Helvetica" w:eastAsia="Helvetica" w:hAnsi="Helvetica" w:cs="Helvetica"/>
      <w:color w:val="000000"/>
      <w:sz w:val="22"/>
      <w:szCs w:val="22"/>
      <w:bdr w:val="nil"/>
      <w:lang w:val="en-GB"/>
    </w:rPr>
  </w:style>
  <w:style w:type="table" w:styleId="TableGrid">
    <w:name w:val="Table Grid"/>
    <w:basedOn w:val="TableNormal"/>
    <w:uiPriority w:val="59"/>
    <w:rsid w:val="00274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274B5D"/>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274B5D"/>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1">
    <w:name w:val="Medium Shading 1 Accent 1"/>
    <w:basedOn w:val="TableNormal"/>
    <w:uiPriority w:val="63"/>
    <w:rsid w:val="00274B5D"/>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1-Accent1">
    <w:name w:val="Medium Grid 1 Accent 1"/>
    <w:basedOn w:val="TableNormal"/>
    <w:uiPriority w:val="67"/>
    <w:rsid w:val="00274B5D"/>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5">
    <w:name w:val="Medium Grid 1 Accent 5"/>
    <w:basedOn w:val="TableNormal"/>
    <w:uiPriority w:val="67"/>
    <w:rsid w:val="00274B5D"/>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Shading1-Accent5">
    <w:name w:val="Medium Shading 1 Accent 5"/>
    <w:basedOn w:val="TableNormal"/>
    <w:uiPriority w:val="63"/>
    <w:rsid w:val="00274B5D"/>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E02CC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73084"/>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uiPriority w:val="9"/>
    <w:qFormat/>
    <w:rsid w:val="00975733"/>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outlineLvl w:val="0"/>
    </w:pPr>
    <w:rPr>
      <w:rFonts w:asciiTheme="majorHAnsi" w:eastAsiaTheme="majorEastAsia" w:hAnsiTheme="majorHAnsi" w:cstheme="majorBidi"/>
      <w:b/>
      <w:bCs/>
      <w:color w:val="345A8A" w:themeColor="accent1" w:themeShade="B5"/>
      <w:sz w:val="32"/>
      <w:szCs w:val="3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73084"/>
    <w:pPr>
      <w:pBdr>
        <w:top w:val="nil"/>
        <w:left w:val="nil"/>
        <w:bottom w:val="nil"/>
        <w:right w:val="nil"/>
        <w:between w:val="nil"/>
        <w:bar w:val="nil"/>
      </w:pBdr>
    </w:pPr>
    <w:rPr>
      <w:rFonts w:ascii="Cambria" w:eastAsia="Cambria" w:hAnsi="Cambria" w:cs="Cambria"/>
      <w:color w:val="000000"/>
      <w:u w:color="000000"/>
      <w:bdr w:val="nil"/>
      <w:lang w:val="en-GB" w:eastAsia="en-GB"/>
    </w:rPr>
  </w:style>
  <w:style w:type="character" w:customStyle="1" w:styleId="Hyperlink0">
    <w:name w:val="Hyperlink.0"/>
    <w:basedOn w:val="DefaultParagraphFont"/>
    <w:rsid w:val="00573084"/>
    <w:rPr>
      <w:rFonts w:ascii="Calibri" w:eastAsia="Calibri" w:hAnsi="Calibri" w:cs="Calibri"/>
      <w:vertAlign w:val="superscript"/>
    </w:rPr>
  </w:style>
  <w:style w:type="character" w:customStyle="1" w:styleId="Hyperlink1">
    <w:name w:val="Hyperlink.1"/>
    <w:basedOn w:val="DefaultParagraphFont"/>
    <w:rsid w:val="00573084"/>
    <w:rPr>
      <w:rFonts w:ascii="Calibri" w:eastAsia="Calibri" w:hAnsi="Calibri" w:cs="Calibri"/>
      <w:color w:val="0000FF"/>
      <w:u w:val="single" w:color="0000FF"/>
    </w:rPr>
  </w:style>
  <w:style w:type="table" w:styleId="MediumGrid2-Accent1">
    <w:name w:val="Medium Grid 2 Accent 1"/>
    <w:basedOn w:val="TableNormal"/>
    <w:uiPriority w:val="68"/>
    <w:rsid w:val="00573084"/>
    <w:pPr>
      <w:pBdr>
        <w:top w:val="nil"/>
        <w:left w:val="nil"/>
        <w:bottom w:val="nil"/>
        <w:right w:val="nil"/>
        <w:between w:val="nil"/>
        <w:bar w:val="nil"/>
      </w:pBdr>
    </w:pPr>
    <w:rPr>
      <w:rFonts w:asciiTheme="majorHAnsi" w:eastAsiaTheme="majorEastAsia" w:hAnsiTheme="majorHAnsi" w:cstheme="majorBidi"/>
      <w:color w:val="000000" w:themeColor="text1"/>
      <w:sz w:val="20"/>
      <w:szCs w:val="20"/>
      <w:bdr w:val="nil"/>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olorfulGrid-Accent5">
    <w:name w:val="Colorful Grid Accent 5"/>
    <w:basedOn w:val="TableNormal"/>
    <w:uiPriority w:val="73"/>
    <w:rsid w:val="00573084"/>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BalloonText">
    <w:name w:val="Balloon Text"/>
    <w:basedOn w:val="Normal"/>
    <w:link w:val="BalloonTextChar"/>
    <w:uiPriority w:val="99"/>
    <w:semiHidden/>
    <w:unhideWhenUsed/>
    <w:rsid w:val="007A0D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0D21"/>
    <w:rPr>
      <w:rFonts w:ascii="Lucida Grande" w:eastAsia="Arial Unicode MS" w:hAnsi="Lucida Grande" w:cs="Lucida Grande"/>
      <w:sz w:val="18"/>
      <w:szCs w:val="18"/>
      <w:bdr w:val="nil"/>
    </w:rPr>
  </w:style>
  <w:style w:type="character" w:customStyle="1" w:styleId="Hyperlink2">
    <w:name w:val="Hyperlink.2"/>
    <w:basedOn w:val="DefaultParagraphFont"/>
    <w:rsid w:val="007A0D21"/>
    <w:rPr>
      <w:rFonts w:ascii="Calibri" w:eastAsia="Calibri" w:hAnsi="Calibri" w:cs="Calibri"/>
      <w:color w:val="000000"/>
      <w:u w:color="000000"/>
    </w:rPr>
  </w:style>
  <w:style w:type="paragraph" w:customStyle="1" w:styleId="EndNoteBibliography">
    <w:name w:val="EndNote Bibliography"/>
    <w:basedOn w:val="Normal"/>
    <w:rsid w:val="007A0D21"/>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Theme="minorEastAsia" w:hAnsi="Cambria" w:cstheme="minorBidi"/>
      <w:bdr w:val="none" w:sz="0" w:space="0" w:color="auto"/>
    </w:rPr>
  </w:style>
  <w:style w:type="table" w:styleId="ColorfulGrid-Accent1">
    <w:name w:val="Colorful Grid Accent 1"/>
    <w:basedOn w:val="TableNormal"/>
    <w:uiPriority w:val="73"/>
    <w:rsid w:val="007A0D21"/>
    <w:pPr>
      <w:pBdr>
        <w:top w:val="nil"/>
        <w:left w:val="nil"/>
        <w:bottom w:val="nil"/>
        <w:right w:val="nil"/>
        <w:between w:val="nil"/>
        <w:bar w:val="nil"/>
      </w:pBdr>
    </w:pPr>
    <w:rPr>
      <w:rFonts w:ascii="Times New Roman" w:eastAsia="Arial Unicode MS" w:hAnsi="Times New Roman" w:cs="Times New Roman"/>
      <w:color w:val="000000" w:themeColor="text1"/>
      <w:sz w:val="20"/>
      <w:szCs w:val="20"/>
      <w:bdr w:val="nil"/>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Footer">
    <w:name w:val="footer"/>
    <w:basedOn w:val="Normal"/>
    <w:link w:val="FooterChar"/>
    <w:uiPriority w:val="99"/>
    <w:unhideWhenUsed/>
    <w:rsid w:val="007A0D21"/>
    <w:pPr>
      <w:tabs>
        <w:tab w:val="center" w:pos="4320"/>
        <w:tab w:val="right" w:pos="8640"/>
      </w:tabs>
    </w:pPr>
  </w:style>
  <w:style w:type="character" w:customStyle="1" w:styleId="FooterChar">
    <w:name w:val="Footer Char"/>
    <w:basedOn w:val="DefaultParagraphFont"/>
    <w:link w:val="Footer"/>
    <w:uiPriority w:val="99"/>
    <w:rsid w:val="007A0D21"/>
    <w:rPr>
      <w:rFonts w:ascii="Times New Roman" w:eastAsia="Arial Unicode MS" w:hAnsi="Times New Roman" w:cs="Times New Roman"/>
      <w:bdr w:val="nil"/>
    </w:rPr>
  </w:style>
  <w:style w:type="character" w:styleId="PageNumber">
    <w:name w:val="page number"/>
    <w:basedOn w:val="DefaultParagraphFont"/>
    <w:unhideWhenUsed/>
    <w:rsid w:val="007A0D21"/>
  </w:style>
  <w:style w:type="character" w:styleId="Hyperlink">
    <w:name w:val="Hyperlink"/>
    <w:basedOn w:val="DefaultParagraphFont"/>
    <w:uiPriority w:val="99"/>
    <w:unhideWhenUsed/>
    <w:rsid w:val="00CB6D45"/>
    <w:rPr>
      <w:color w:val="0000FF" w:themeColor="hyperlink"/>
      <w:u w:val="single"/>
    </w:rPr>
  </w:style>
  <w:style w:type="character" w:styleId="CommentReference">
    <w:name w:val="annotation reference"/>
    <w:basedOn w:val="DefaultParagraphFont"/>
    <w:uiPriority w:val="99"/>
    <w:semiHidden/>
    <w:unhideWhenUsed/>
    <w:rsid w:val="002D5312"/>
    <w:rPr>
      <w:sz w:val="16"/>
      <w:szCs w:val="16"/>
    </w:rPr>
  </w:style>
  <w:style w:type="paragraph" w:styleId="CommentText">
    <w:name w:val="annotation text"/>
    <w:basedOn w:val="Normal"/>
    <w:link w:val="CommentTextChar"/>
    <w:uiPriority w:val="99"/>
    <w:semiHidden/>
    <w:unhideWhenUsed/>
    <w:rsid w:val="002D5312"/>
    <w:rPr>
      <w:sz w:val="20"/>
      <w:szCs w:val="20"/>
    </w:rPr>
  </w:style>
  <w:style w:type="character" w:customStyle="1" w:styleId="CommentTextChar">
    <w:name w:val="Comment Text Char"/>
    <w:basedOn w:val="DefaultParagraphFont"/>
    <w:link w:val="CommentText"/>
    <w:uiPriority w:val="99"/>
    <w:semiHidden/>
    <w:rsid w:val="002D5312"/>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2D5312"/>
    <w:rPr>
      <w:b/>
      <w:bCs/>
    </w:rPr>
  </w:style>
  <w:style w:type="character" w:customStyle="1" w:styleId="CommentSubjectChar">
    <w:name w:val="Comment Subject Char"/>
    <w:basedOn w:val="CommentTextChar"/>
    <w:link w:val="CommentSubject"/>
    <w:uiPriority w:val="99"/>
    <w:semiHidden/>
    <w:rsid w:val="002D5312"/>
    <w:rPr>
      <w:rFonts w:ascii="Times New Roman" w:eastAsia="Arial Unicode MS" w:hAnsi="Times New Roman" w:cs="Times New Roman"/>
      <w:b/>
      <w:bCs/>
      <w:sz w:val="20"/>
      <w:szCs w:val="20"/>
      <w:bdr w:val="nil"/>
    </w:rPr>
  </w:style>
  <w:style w:type="paragraph" w:styleId="NormalWeb">
    <w:name w:val="Normal (Web)"/>
    <w:basedOn w:val="Normal"/>
    <w:uiPriority w:val="99"/>
    <w:unhideWhenUsed/>
    <w:rsid w:val="00F746D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EastAsia" w:hAnsi="Times"/>
      <w:sz w:val="20"/>
      <w:szCs w:val="20"/>
      <w:bdr w:val="none" w:sz="0" w:space="0" w:color="auto"/>
      <w:lang w:val="en-GB"/>
    </w:rPr>
  </w:style>
  <w:style w:type="paragraph" w:customStyle="1" w:styleId="EndNoteBibliographyTitle">
    <w:name w:val="EndNote Bibliography Title"/>
    <w:basedOn w:val="Normal"/>
    <w:rsid w:val="00D27B63"/>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Cambria" w:eastAsiaTheme="minorEastAsia" w:hAnsi="Cambria" w:cstheme="minorBidi"/>
      <w:bdr w:val="none" w:sz="0" w:space="0" w:color="auto"/>
    </w:rPr>
  </w:style>
  <w:style w:type="paragraph" w:styleId="Header">
    <w:name w:val="header"/>
    <w:basedOn w:val="Normal"/>
    <w:link w:val="HeaderChar"/>
    <w:uiPriority w:val="99"/>
    <w:unhideWhenUsed/>
    <w:rsid w:val="00D80634"/>
    <w:pPr>
      <w:tabs>
        <w:tab w:val="center" w:pos="4513"/>
        <w:tab w:val="right" w:pos="9026"/>
      </w:tabs>
    </w:pPr>
  </w:style>
  <w:style w:type="character" w:customStyle="1" w:styleId="HeaderChar">
    <w:name w:val="Header Char"/>
    <w:basedOn w:val="DefaultParagraphFont"/>
    <w:link w:val="Header"/>
    <w:uiPriority w:val="99"/>
    <w:rsid w:val="00D80634"/>
    <w:rPr>
      <w:rFonts w:ascii="Times New Roman" w:eastAsia="Arial Unicode MS" w:hAnsi="Times New Roman" w:cs="Times New Roman"/>
      <w:bdr w:val="nil"/>
    </w:rPr>
  </w:style>
  <w:style w:type="character" w:customStyle="1" w:styleId="Heading1Char">
    <w:name w:val="Heading 1 Char"/>
    <w:basedOn w:val="DefaultParagraphFont"/>
    <w:link w:val="Heading1"/>
    <w:uiPriority w:val="9"/>
    <w:rsid w:val="00975733"/>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EA6C64"/>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imes" w:eastAsiaTheme="minorEastAsia" w:hAnsi="Times" w:cstheme="minorBidi"/>
      <w:sz w:val="20"/>
      <w:szCs w:val="20"/>
      <w:bdr w:val="none" w:sz="0" w:space="0" w:color="auto"/>
      <w:lang w:val="en-GB"/>
    </w:rPr>
  </w:style>
  <w:style w:type="paragraph" w:customStyle="1" w:styleId="Default">
    <w:name w:val="Default"/>
    <w:rsid w:val="009A2FA1"/>
    <w:pPr>
      <w:pBdr>
        <w:top w:val="nil"/>
        <w:left w:val="nil"/>
        <w:bottom w:val="nil"/>
        <w:right w:val="nil"/>
        <w:between w:val="nil"/>
        <w:bar w:val="nil"/>
      </w:pBdr>
    </w:pPr>
    <w:rPr>
      <w:rFonts w:ascii="Helvetica" w:eastAsia="Helvetica" w:hAnsi="Helvetica" w:cs="Helvetica"/>
      <w:color w:val="000000"/>
      <w:sz w:val="22"/>
      <w:szCs w:val="22"/>
      <w:bdr w:val="nil"/>
      <w:lang w:val="en-GB"/>
    </w:rPr>
  </w:style>
  <w:style w:type="table" w:styleId="TableGrid">
    <w:name w:val="Table Grid"/>
    <w:basedOn w:val="TableNormal"/>
    <w:uiPriority w:val="59"/>
    <w:rsid w:val="00274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274B5D"/>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274B5D"/>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1">
    <w:name w:val="Medium Shading 1 Accent 1"/>
    <w:basedOn w:val="TableNormal"/>
    <w:uiPriority w:val="63"/>
    <w:rsid w:val="00274B5D"/>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1-Accent1">
    <w:name w:val="Medium Grid 1 Accent 1"/>
    <w:basedOn w:val="TableNormal"/>
    <w:uiPriority w:val="67"/>
    <w:rsid w:val="00274B5D"/>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5">
    <w:name w:val="Medium Grid 1 Accent 5"/>
    <w:basedOn w:val="TableNormal"/>
    <w:uiPriority w:val="67"/>
    <w:rsid w:val="00274B5D"/>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Shading1-Accent5">
    <w:name w:val="Medium Shading 1 Accent 5"/>
    <w:basedOn w:val="TableNormal"/>
    <w:uiPriority w:val="63"/>
    <w:rsid w:val="00274B5D"/>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E02CC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111573">
      <w:bodyDiv w:val="1"/>
      <w:marLeft w:val="0"/>
      <w:marRight w:val="0"/>
      <w:marTop w:val="0"/>
      <w:marBottom w:val="0"/>
      <w:divBdr>
        <w:top w:val="none" w:sz="0" w:space="0" w:color="auto"/>
        <w:left w:val="none" w:sz="0" w:space="0" w:color="auto"/>
        <w:bottom w:val="none" w:sz="0" w:space="0" w:color="auto"/>
        <w:right w:val="none" w:sz="0" w:space="0" w:color="auto"/>
      </w:divBdr>
      <w:divsChild>
        <w:div w:id="576984436">
          <w:marLeft w:val="0"/>
          <w:marRight w:val="0"/>
          <w:marTop w:val="0"/>
          <w:marBottom w:val="0"/>
          <w:divBdr>
            <w:top w:val="none" w:sz="0" w:space="0" w:color="auto"/>
            <w:left w:val="none" w:sz="0" w:space="0" w:color="auto"/>
            <w:bottom w:val="none" w:sz="0" w:space="0" w:color="auto"/>
            <w:right w:val="none" w:sz="0" w:space="0" w:color="auto"/>
          </w:divBdr>
          <w:divsChild>
            <w:div w:id="1500345126">
              <w:marLeft w:val="0"/>
              <w:marRight w:val="0"/>
              <w:marTop w:val="0"/>
              <w:marBottom w:val="0"/>
              <w:divBdr>
                <w:top w:val="none" w:sz="0" w:space="0" w:color="auto"/>
                <w:left w:val="none" w:sz="0" w:space="0" w:color="auto"/>
                <w:bottom w:val="none" w:sz="0" w:space="0" w:color="auto"/>
                <w:right w:val="none" w:sz="0" w:space="0" w:color="auto"/>
              </w:divBdr>
              <w:divsChild>
                <w:div w:id="317195677">
                  <w:marLeft w:val="0"/>
                  <w:marRight w:val="0"/>
                  <w:marTop w:val="0"/>
                  <w:marBottom w:val="0"/>
                  <w:divBdr>
                    <w:top w:val="none" w:sz="0" w:space="0" w:color="auto"/>
                    <w:left w:val="none" w:sz="0" w:space="0" w:color="auto"/>
                    <w:bottom w:val="none" w:sz="0" w:space="0" w:color="auto"/>
                    <w:right w:val="none" w:sz="0" w:space="0" w:color="auto"/>
                  </w:divBdr>
                  <w:divsChild>
                    <w:div w:id="7525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934757">
      <w:bodyDiv w:val="1"/>
      <w:marLeft w:val="0"/>
      <w:marRight w:val="0"/>
      <w:marTop w:val="0"/>
      <w:marBottom w:val="0"/>
      <w:divBdr>
        <w:top w:val="none" w:sz="0" w:space="0" w:color="auto"/>
        <w:left w:val="none" w:sz="0" w:space="0" w:color="auto"/>
        <w:bottom w:val="none" w:sz="0" w:space="0" w:color="auto"/>
        <w:right w:val="none" w:sz="0" w:space="0" w:color="auto"/>
      </w:divBdr>
      <w:divsChild>
        <w:div w:id="1403943872">
          <w:marLeft w:val="446"/>
          <w:marRight w:val="0"/>
          <w:marTop w:val="0"/>
          <w:marBottom w:val="0"/>
          <w:divBdr>
            <w:top w:val="none" w:sz="0" w:space="0" w:color="auto"/>
            <w:left w:val="none" w:sz="0" w:space="0" w:color="auto"/>
            <w:bottom w:val="none" w:sz="0" w:space="0" w:color="auto"/>
            <w:right w:val="none" w:sz="0" w:space="0" w:color="auto"/>
          </w:divBdr>
        </w:div>
        <w:div w:id="828716893">
          <w:marLeft w:val="446"/>
          <w:marRight w:val="0"/>
          <w:marTop w:val="0"/>
          <w:marBottom w:val="0"/>
          <w:divBdr>
            <w:top w:val="none" w:sz="0" w:space="0" w:color="auto"/>
            <w:left w:val="none" w:sz="0" w:space="0" w:color="auto"/>
            <w:bottom w:val="none" w:sz="0" w:space="0" w:color="auto"/>
            <w:right w:val="none" w:sz="0" w:space="0" w:color="auto"/>
          </w:divBdr>
        </w:div>
        <w:div w:id="871840803">
          <w:marLeft w:val="446"/>
          <w:marRight w:val="0"/>
          <w:marTop w:val="0"/>
          <w:marBottom w:val="0"/>
          <w:divBdr>
            <w:top w:val="none" w:sz="0" w:space="0" w:color="auto"/>
            <w:left w:val="none" w:sz="0" w:space="0" w:color="auto"/>
            <w:bottom w:val="none" w:sz="0" w:space="0" w:color="auto"/>
            <w:right w:val="none" w:sz="0" w:space="0" w:color="auto"/>
          </w:divBdr>
        </w:div>
        <w:div w:id="392507825">
          <w:marLeft w:val="446"/>
          <w:marRight w:val="0"/>
          <w:marTop w:val="0"/>
          <w:marBottom w:val="0"/>
          <w:divBdr>
            <w:top w:val="none" w:sz="0" w:space="0" w:color="auto"/>
            <w:left w:val="none" w:sz="0" w:space="0" w:color="auto"/>
            <w:bottom w:val="none" w:sz="0" w:space="0" w:color="auto"/>
            <w:right w:val="none" w:sz="0" w:space="0" w:color="auto"/>
          </w:divBdr>
        </w:div>
        <w:div w:id="688524800">
          <w:marLeft w:val="446"/>
          <w:marRight w:val="0"/>
          <w:marTop w:val="0"/>
          <w:marBottom w:val="0"/>
          <w:divBdr>
            <w:top w:val="none" w:sz="0" w:space="0" w:color="auto"/>
            <w:left w:val="none" w:sz="0" w:space="0" w:color="auto"/>
            <w:bottom w:val="none" w:sz="0" w:space="0" w:color="auto"/>
            <w:right w:val="none" w:sz="0" w:space="0" w:color="auto"/>
          </w:divBdr>
        </w:div>
      </w:divsChild>
    </w:div>
    <w:div w:id="1248461662">
      <w:bodyDiv w:val="1"/>
      <w:marLeft w:val="0"/>
      <w:marRight w:val="0"/>
      <w:marTop w:val="0"/>
      <w:marBottom w:val="0"/>
      <w:divBdr>
        <w:top w:val="none" w:sz="0" w:space="0" w:color="auto"/>
        <w:left w:val="none" w:sz="0" w:space="0" w:color="auto"/>
        <w:bottom w:val="none" w:sz="0" w:space="0" w:color="auto"/>
        <w:right w:val="none" w:sz="0" w:space="0" w:color="auto"/>
      </w:divBdr>
      <w:divsChild>
        <w:div w:id="2143234233">
          <w:marLeft w:val="0"/>
          <w:marRight w:val="0"/>
          <w:marTop w:val="0"/>
          <w:marBottom w:val="0"/>
          <w:divBdr>
            <w:top w:val="none" w:sz="0" w:space="0" w:color="auto"/>
            <w:left w:val="none" w:sz="0" w:space="0" w:color="auto"/>
            <w:bottom w:val="none" w:sz="0" w:space="0" w:color="auto"/>
            <w:right w:val="none" w:sz="0" w:space="0" w:color="auto"/>
          </w:divBdr>
          <w:divsChild>
            <w:div w:id="68971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24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www.sealedenvelope.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r.kapoor@nhs.net"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99FFFD-2285-4EDD-A830-4CCAFF652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7803</Words>
  <Characters>44478</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Sheffield Teaching Hospital NHS Foundation Trust</Company>
  <LinksUpToDate>false</LinksUpToDate>
  <CharactersWithSpaces>52177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 Raftopoulos</dc:creator>
  <cp:lastModifiedBy>Kapoor,Raj</cp:lastModifiedBy>
  <cp:revision>8</cp:revision>
  <cp:lastPrinted>2015-09-28T13:48:00Z</cp:lastPrinted>
  <dcterms:created xsi:type="dcterms:W3CDTF">2015-12-10T12:42:00Z</dcterms:created>
  <dcterms:modified xsi:type="dcterms:W3CDTF">2015-12-10T14:17:00Z</dcterms:modified>
</cp:coreProperties>
</file>